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C5" w:rsidRDefault="006167C5"/>
    <w:tbl>
      <w:tblPr>
        <w:tblStyle w:val="TableGrid"/>
        <w:tblW w:w="216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220"/>
        <w:gridCol w:w="142"/>
        <w:gridCol w:w="1228"/>
        <w:gridCol w:w="3025"/>
        <w:gridCol w:w="1417"/>
        <w:gridCol w:w="2977"/>
        <w:gridCol w:w="1559"/>
        <w:gridCol w:w="1559"/>
        <w:gridCol w:w="2835"/>
        <w:gridCol w:w="2127"/>
      </w:tblGrid>
      <w:tr w:rsidR="00D8053A" w:rsidTr="000016E6">
        <w:trPr>
          <w:trHeight w:val="585"/>
          <w:tblHeader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7BA6" w:rsidRPr="001C2725" w:rsidRDefault="00D77BA6" w:rsidP="00A55A18">
            <w:pPr>
              <w:jc w:val="center"/>
              <w:rPr>
                <w:sz w:val="20"/>
              </w:rPr>
            </w:pP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7BA6" w:rsidRPr="001C2725" w:rsidRDefault="00D77BA6" w:rsidP="00A55A18">
            <w:pPr>
              <w:jc w:val="center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7BA6" w:rsidRPr="001C2725" w:rsidRDefault="00D77BA6" w:rsidP="00A55A18">
            <w:pPr>
              <w:rPr>
                <w:sz w:val="20"/>
              </w:rPr>
            </w:pPr>
          </w:p>
        </w:tc>
        <w:tc>
          <w:tcPr>
            <w:tcW w:w="4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BA6" w:rsidRPr="001C2725" w:rsidRDefault="00D77BA6" w:rsidP="00A55A18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3"/>
            <w:tcBorders>
              <w:left w:val="single" w:sz="8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77BA6" w:rsidRPr="009F0F1D" w:rsidRDefault="00D77BA6" w:rsidP="00A5485C">
            <w:pPr>
              <w:tabs>
                <w:tab w:val="left" w:pos="0"/>
              </w:tabs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TESTIRANJE SUSTAVA / POSTUPKA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D77BA6" w:rsidRPr="009F0F1D" w:rsidRDefault="00D77BA6" w:rsidP="00A55A18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TESTIRANJE TRANSAKCIJA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auto"/>
            <w:vAlign w:val="bottom"/>
          </w:tcPr>
          <w:p w:rsidR="00D77BA6" w:rsidRPr="009F0F1D" w:rsidRDefault="00D77BA6" w:rsidP="00F22E82">
            <w:pPr>
              <w:tabs>
                <w:tab w:val="left" w:pos="0"/>
              </w:tabs>
              <w:jc w:val="center"/>
              <w:rPr>
                <w:sz w:val="18"/>
              </w:rPr>
            </w:pPr>
          </w:p>
        </w:tc>
      </w:tr>
      <w:tr w:rsidR="005E7BEF" w:rsidRPr="00C86F3B" w:rsidTr="000016E6">
        <w:trPr>
          <w:trHeight w:val="20"/>
          <w:tblHeader/>
        </w:trPr>
        <w:tc>
          <w:tcPr>
            <w:tcW w:w="4820" w:type="dxa"/>
            <w:gridSpan w:val="2"/>
            <w:shd w:val="pct15" w:color="auto" w:fill="auto"/>
            <w:vAlign w:val="center"/>
          </w:tcPr>
          <w:p w:rsidR="00F94E8D" w:rsidRPr="009F0F1D" w:rsidRDefault="001B1321" w:rsidP="00F22160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Postupak</w:t>
            </w:r>
          </w:p>
        </w:tc>
        <w:tc>
          <w:tcPr>
            <w:tcW w:w="5812" w:type="dxa"/>
            <w:gridSpan w:val="4"/>
            <w:shd w:val="pct15" w:color="auto" w:fill="auto"/>
            <w:vAlign w:val="center"/>
          </w:tcPr>
          <w:p w:rsidR="00F94E8D" w:rsidRPr="009F0F1D" w:rsidRDefault="001B1321" w:rsidP="00F22160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Obilježja rizika</w:t>
            </w:r>
          </w:p>
        </w:tc>
        <w:tc>
          <w:tcPr>
            <w:tcW w:w="6095" w:type="dxa"/>
            <w:gridSpan w:val="3"/>
            <w:shd w:val="pct15" w:color="auto" w:fill="auto"/>
            <w:vAlign w:val="center"/>
          </w:tcPr>
          <w:p w:rsidR="00F94E8D" w:rsidRPr="009F0F1D" w:rsidRDefault="001B1321" w:rsidP="00F22160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Obilježja kontrole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F94E8D" w:rsidRPr="009F0F1D" w:rsidRDefault="001B1321" w:rsidP="00F22160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 revizije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pct15" w:color="auto" w:fill="auto"/>
            <w:vAlign w:val="center"/>
          </w:tcPr>
          <w:p w:rsidR="00F94E8D" w:rsidRPr="00F22160" w:rsidRDefault="004379F0" w:rsidP="00F90B40">
            <w:pPr>
              <w:tabs>
                <w:tab w:val="left" w:pos="0"/>
              </w:tabs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C93F2B" w:rsidRPr="00C86F3B" w:rsidTr="000016E6">
        <w:trPr>
          <w:tblHeader/>
        </w:trPr>
        <w:tc>
          <w:tcPr>
            <w:tcW w:w="600" w:type="dxa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Br.</w:t>
            </w:r>
          </w:p>
        </w:tc>
        <w:tc>
          <w:tcPr>
            <w:tcW w:w="4220" w:type="dxa"/>
            <w:shd w:val="pct15" w:color="auto" w:fill="auto"/>
            <w:vAlign w:val="center"/>
          </w:tcPr>
          <w:p w:rsidR="00C93F2B" w:rsidRPr="00F94E8D" w:rsidRDefault="00C93F2B" w:rsidP="00D445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postupka / aktivnosti – cilj</w:t>
            </w:r>
          </w:p>
        </w:tc>
        <w:tc>
          <w:tcPr>
            <w:tcW w:w="4395" w:type="dxa"/>
            <w:gridSpan w:val="3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rizika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Procjena svojstvenih rizika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C93F2B" w:rsidRPr="00F94E8D" w:rsidRDefault="00D44540" w:rsidP="00F90B40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 kontrola za ublažavanje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Učestalost kontrola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Adekvatnost kontrola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C93F2B" w:rsidRPr="00F94E8D" w:rsidRDefault="00C93F2B" w:rsidP="00F90B4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Učinkovitost kontrola</w:t>
            </w:r>
          </w:p>
        </w:tc>
        <w:tc>
          <w:tcPr>
            <w:tcW w:w="2127" w:type="dxa"/>
            <w:tcBorders>
              <w:top w:val="nil"/>
            </w:tcBorders>
            <w:shd w:val="pct15" w:color="auto" w:fill="auto"/>
            <w:vAlign w:val="center"/>
          </w:tcPr>
          <w:p w:rsidR="00C93F2B" w:rsidRPr="00F94E8D" w:rsidRDefault="00C93F2B" w:rsidP="00F90B40">
            <w:pPr>
              <w:tabs>
                <w:tab w:val="left" w:pos="0"/>
              </w:tabs>
              <w:jc w:val="center"/>
              <w:rPr>
                <w:b/>
                <w:sz w:val="18"/>
              </w:rPr>
            </w:pPr>
          </w:p>
        </w:tc>
      </w:tr>
    </w:tbl>
    <w:p w:rsidR="00184724" w:rsidRPr="00C93F2B" w:rsidRDefault="00AD2E4D" w:rsidP="00A64842">
      <w:pPr>
        <w:rPr>
          <w:rFonts w:ascii="Calibri" w:hAnsi="Calibri"/>
          <w:sz w:val="16"/>
          <w:szCs w:val="16"/>
        </w:rPr>
      </w:pPr>
      <w:r w:rsidRPr="00AD2E4D">
        <w:rPr>
          <w:rFonts w:ascii="Calibri" w:hAnsi="Calibri"/>
          <w:sz w:val="16"/>
          <w:szCs w:val="16"/>
        </w:rPr>
        <w:fldChar w:fldCharType="begin"/>
      </w:r>
      <w:r w:rsidRPr="00AD2E4D">
        <w:rPr>
          <w:rFonts w:ascii="Calibri" w:hAnsi="Calibri"/>
          <w:sz w:val="16"/>
          <w:szCs w:val="16"/>
        </w:rPr>
        <w:instrText xml:space="preserve"> &lt;tm:format font-override="true"&gt; </w:instrText>
      </w:r>
      <w:r w:rsidRPr="00AD2E4D">
        <w:rPr>
          <w:rFonts w:ascii="Calibri" w:hAnsi="Calibri"/>
          <w:sz w:val="16"/>
          <w:szCs w:val="16"/>
        </w:rPr>
        <w:fldChar w:fldCharType="end"/>
      </w:r>
      <w:r w:rsidR="007A3F95" w:rsidRPr="00C93F2B">
        <w:rPr>
          <w:rFonts w:ascii="Calibri" w:hAnsi="Calibri"/>
          <w:sz w:val="16"/>
          <w:szCs w:val="16"/>
        </w:rPr>
        <w:fldChar w:fldCharType="begin"/>
      </w:r>
      <w:r w:rsidR="007A3F95" w:rsidRPr="00C93F2B">
        <w:rPr>
          <w:rFonts w:ascii="Calibri" w:hAnsi="Calibri"/>
          <w:sz w:val="16"/>
          <w:szCs w:val="16"/>
        </w:rPr>
        <w:instrText xml:space="preserve"> &lt;tm:consolidate-table&gt; </w:instrText>
      </w:r>
      <w:r w:rsidR="007A3F95" w:rsidRPr="00C93F2B">
        <w:rPr>
          <w:rFonts w:ascii="Calibri" w:hAnsi="Calibri"/>
          <w:sz w:val="16"/>
          <w:szCs w:val="16"/>
        </w:rPr>
        <w:fldChar w:fldCharType="end"/>
      </w:r>
      <w:r w:rsidR="007C241D" w:rsidRPr="00C93F2B">
        <w:rPr>
          <w:rFonts w:ascii="Calibri" w:hAnsi="Calibri"/>
          <w:sz w:val="16"/>
          <w:szCs w:val="16"/>
        </w:rPr>
        <w:fldChar w:fldCharType="begin"/>
      </w:r>
      <w:r w:rsidR="007C241D" w:rsidRPr="00C93F2B">
        <w:rPr>
          <w:rFonts w:ascii="Calibri" w:hAnsi="Calibri"/>
          <w:sz w:val="16"/>
          <w:szCs w:val="16"/>
        </w:rPr>
        <w:instrText xml:space="preserve"> </w:instrText>
      </w:r>
      <w:r w:rsidR="007C241D" w:rsidRPr="00C93F2B">
        <w:rPr>
          <w:rFonts w:ascii="Calibri" w:hAnsi="Calibri"/>
          <w:color w:val="00B050"/>
          <w:sz w:val="16"/>
          <w:szCs w:val="16"/>
        </w:rPr>
        <w:instrText>&lt;xsl:for-each select=</w:instrText>
      </w:r>
      <w:r w:rsidR="007C241D" w:rsidRPr="00C93F2B">
        <w:rPr>
          <w:rFonts w:ascii="Calibri" w:hAnsi="Calibri"/>
          <w:sz w:val="16"/>
          <w:szCs w:val="16"/>
        </w:rPr>
        <w:instrText>"</w:instrText>
      </w:r>
      <w:r w:rsidR="008876D2" w:rsidRPr="00C93F2B">
        <w:rPr>
          <w:rFonts w:ascii="Calibri" w:hAnsi="Calibri"/>
          <w:sz w:val="16"/>
          <w:szCs w:val="16"/>
        </w:rPr>
        <w:instrText>/</w:instrText>
      </w:r>
      <w:r w:rsidR="007C241D" w:rsidRPr="00C93F2B">
        <w:rPr>
          <w:rFonts w:ascii="Calibri" w:hAnsi="Calibri"/>
          <w:sz w:val="16"/>
          <w:szCs w:val="16"/>
        </w:rPr>
        <w:instrText>TmData/PROJECT/</w:instrText>
      </w:r>
      <w:r w:rsidR="008876D2" w:rsidRPr="00C93F2B">
        <w:rPr>
          <w:rFonts w:ascii="Calibri" w:hAnsi="Calibri"/>
          <w:sz w:val="16"/>
          <w:szCs w:val="16"/>
        </w:rPr>
        <w:instrText>EntityToRiskAssociations/EntityToRiskAssociation</w:instrText>
      </w:r>
      <w:r w:rsidR="007C241D" w:rsidRPr="00C93F2B">
        <w:rPr>
          <w:rFonts w:ascii="Calibri" w:hAnsi="Calibri"/>
          <w:sz w:val="16"/>
          <w:szCs w:val="16"/>
        </w:rPr>
        <w:instrText xml:space="preserve">"&gt; </w:instrText>
      </w:r>
      <w:r w:rsidR="007C241D" w:rsidRPr="00C93F2B">
        <w:rPr>
          <w:rFonts w:ascii="Calibri" w:hAnsi="Calibri"/>
          <w:sz w:val="16"/>
          <w:szCs w:val="16"/>
        </w:rPr>
        <w:fldChar w:fldCharType="end"/>
      </w:r>
      <w:r w:rsidR="00384928" w:rsidRPr="00C93F2B">
        <w:rPr>
          <w:rFonts w:ascii="Calibri" w:hAnsi="Calibri"/>
          <w:sz w:val="16"/>
          <w:szCs w:val="16"/>
        </w:rPr>
        <w:fldChar w:fldCharType="begin"/>
      </w:r>
      <w:r w:rsidR="00384928" w:rsidRPr="00C93F2B">
        <w:rPr>
          <w:rFonts w:ascii="Calibri" w:hAnsi="Calibri"/>
          <w:sz w:val="16"/>
          <w:szCs w:val="16"/>
        </w:rPr>
        <w:instrText xml:space="preserve"> &lt;</w:instrText>
      </w:r>
      <w:r w:rsidR="00D44540">
        <w:rPr>
          <w:rFonts w:ascii="Calibri" w:hAnsi="Calibri"/>
          <w:sz w:val="16"/>
          <w:szCs w:val="16"/>
        </w:rPr>
        <w:instrText>xsl:sort select=</w:instrText>
      </w:r>
      <w:r w:rsidR="00D44540" w:rsidRPr="00D44540">
        <w:rPr>
          <w:rFonts w:ascii="Calibri" w:hAnsi="Calibri"/>
          <w:sz w:val="16"/>
          <w:szCs w:val="16"/>
        </w:rPr>
        <w:instrText xml:space="preserve">"Entity" </w:instrText>
      </w:r>
      <w:r w:rsidR="00384928" w:rsidRPr="00C93F2B">
        <w:rPr>
          <w:rFonts w:ascii="Calibri" w:hAnsi="Calibri"/>
          <w:sz w:val="16"/>
          <w:szCs w:val="16"/>
        </w:rPr>
        <w:instrText xml:space="preserve"> order="ascending"/&gt; </w:instrText>
      </w:r>
      <w:r w:rsidR="00384928" w:rsidRPr="00C93F2B">
        <w:rPr>
          <w:rFonts w:ascii="Calibri" w:hAnsi="Calibri"/>
          <w:sz w:val="16"/>
          <w:szCs w:val="16"/>
        </w:rPr>
        <w:fldChar w:fldCharType="end"/>
      </w:r>
    </w:p>
    <w:tbl>
      <w:tblPr>
        <w:tblStyle w:val="TableGrid"/>
        <w:tblW w:w="216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228"/>
        <w:gridCol w:w="4395"/>
        <w:gridCol w:w="1417"/>
        <w:gridCol w:w="2977"/>
        <w:gridCol w:w="1559"/>
        <w:gridCol w:w="1559"/>
        <w:gridCol w:w="2835"/>
        <w:gridCol w:w="2127"/>
      </w:tblGrid>
      <w:tr w:rsidR="00F03D6F" w:rsidRPr="00C93F2B" w:rsidTr="006309C8">
        <w:trPr>
          <w:trHeight w:val="242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F03D6F" w:rsidRPr="00C93F2B" w:rsidRDefault="00F03D6F" w:rsidP="00C2723D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&lt;xsl:for-each 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"/TmData/PROJECT/RiskToControlAssociations/RiskToControlAssociation[Risk =</w:instrText>
            </w:r>
            <w:r w:rsidR="00384928" w:rsidRPr="00C93F2B">
              <w:rPr>
                <w:rFonts w:ascii="Calibri" w:hAnsi="Calibri"/>
                <w:sz w:val="16"/>
                <w:szCs w:val="16"/>
              </w:rPr>
              <w:instrText>'</w:instrText>
            </w:r>
            <w:r w:rsidR="00384928" w:rsidRPr="00C93F2B">
              <w:rPr>
                <w:rFonts w:ascii="Calibri" w:hAnsi="Calibri"/>
                <w:color w:val="00B050"/>
                <w:sz w:val="16"/>
                <w:szCs w:val="16"/>
              </w:rPr>
              <w:fldChar w:fldCharType="begin"/>
            </w:r>
            <w:r w:rsidR="00384928" w:rsidRPr="00C93F2B">
              <w:rPr>
                <w:rFonts w:ascii="Calibri" w:hAnsi="Calibri"/>
                <w:color w:val="00B050"/>
                <w:sz w:val="16"/>
                <w:szCs w:val="16"/>
              </w:rPr>
              <w:instrText xml:space="preserve"> &lt;xsl:value-of select="</w:instrText>
            </w:r>
            <w:r w:rsidR="00C2723D" w:rsidRPr="00C93F2B">
              <w:rPr>
                <w:rFonts w:ascii="Calibri" w:hAnsi="Calibri"/>
                <w:color w:val="00B050"/>
                <w:sz w:val="16"/>
                <w:szCs w:val="16"/>
              </w:rPr>
              <w:instrText>Risk</w:instrText>
            </w:r>
            <w:r w:rsidR="00384928" w:rsidRPr="00C93F2B">
              <w:rPr>
                <w:rFonts w:ascii="Calibri" w:hAnsi="Calibri"/>
                <w:color w:val="00B050"/>
                <w:sz w:val="16"/>
                <w:szCs w:val="16"/>
              </w:rPr>
              <w:instrText xml:space="preserve">"/&gt; </w:instrText>
            </w:r>
            <w:r w:rsidR="00384928" w:rsidRPr="00C93F2B">
              <w:rPr>
                <w:rFonts w:ascii="Calibri" w:hAnsi="Calibri"/>
                <w:color w:val="00B050"/>
                <w:sz w:val="16"/>
                <w:szCs w:val="16"/>
              </w:rPr>
              <w:fldChar w:fldCharType="end"/>
            </w:r>
            <w:r w:rsidR="00384928" w:rsidRPr="00C93F2B">
              <w:rPr>
                <w:rFonts w:ascii="Calibri" w:hAnsi="Calibri"/>
                <w:sz w:val="16"/>
                <w:szCs w:val="16"/>
              </w:rPr>
              <w:instrText>'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F35A40" w:rsidRPr="00C93F2B" w:rsidTr="000016E6">
        <w:trPr>
          <w:trHeight w:val="283"/>
        </w:trPr>
        <w:tc>
          <w:tcPr>
            <w:tcW w:w="592" w:type="dxa"/>
            <w:shd w:val="clear" w:color="auto" w:fill="auto"/>
            <w:vAlign w:val="center"/>
          </w:tcPr>
          <w:p w:rsidR="00C93F2B" w:rsidRPr="00C93F2B" w:rsidRDefault="00C93F2B" w:rsidP="00A7051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C93F2B" w:rsidRPr="00B3259B" w:rsidRDefault="00211A46" w:rsidP="009C38F4">
            <w:pPr>
              <w:rPr>
                <w:rFonts w:ascii="Calibri" w:hAnsi="Calibri"/>
                <w:sz w:val="16"/>
                <w:szCs w:val="16"/>
              </w:rPr>
            </w:pPr>
            <w:r w:rsidRPr="009C38F4">
              <w:rPr>
                <w:rFonts w:ascii="Calibri" w:hAnsi="Calibri"/>
                <w:sz w:val="16"/>
                <w:szCs w:val="16"/>
              </w:rPr>
              <w:t>Opća pitanja</w:t>
            </w:r>
            <w:bookmarkStart w:id="0" w:name="_GoBack"/>
            <w:bookmarkEnd w:id="0"/>
            <w:r w:rsidR="00C93F2B"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B3259B">
              <w:rPr>
                <w:rFonts w:ascii="Calibri" w:hAnsi="Calibri"/>
                <w:sz w:val="16"/>
                <w:szCs w:val="16"/>
              </w:rPr>
              <w:instrText xml:space="preserve"> &lt;xsl:value-of select="//Entities/Entity[@ID= //EntityToRiskAssociations/EntityToRiskAssociation[Risk = '</w:instrText>
            </w:r>
            <w:r w:rsidR="00C93F2B" w:rsidRPr="009C38F4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9C38F4">
              <w:rPr>
                <w:rFonts w:ascii="Calibri" w:hAnsi="Calibri"/>
                <w:sz w:val="16"/>
                <w:szCs w:val="16"/>
              </w:rPr>
              <w:instrText xml:space="preserve"> &lt;xsl:value-of select="Risk"/&gt; </w:instrText>
            </w:r>
            <w:r w:rsidR="00C93F2B" w:rsidRPr="009C38F4">
              <w:rPr>
                <w:rFonts w:ascii="Calibri" w:hAnsi="Calibri"/>
                <w:sz w:val="16"/>
                <w:szCs w:val="16"/>
              </w:rPr>
              <w:fldChar w:fldCharType="end"/>
            </w:r>
            <w:r w:rsidR="00C93F2B" w:rsidRPr="00B3259B">
              <w:rPr>
                <w:rFonts w:ascii="Calibri" w:hAnsi="Calibri"/>
                <w:sz w:val="16"/>
                <w:szCs w:val="16"/>
              </w:rPr>
              <w:instrText xml:space="preserve">']/Entity]/Title"/&gt; </w:instrText>
            </w:r>
            <w:r w:rsidR="00C93F2B"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1A1AE9" w:rsidRPr="00B3259B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1.1.</w:t>
            </w:r>
            <w:r>
              <w:rPr>
                <w:rFonts w:ascii="Calibri" w:hAnsi="Calibri"/>
                <w:sz w:val="16"/>
                <w:szCs w:val="16"/>
              </w:rPr>
              <w:tab/>
              <w:t>„Moguće nejasne ili neažurirane smjernice i postupci mogu dovesti do neusklađenosti s odgovarajućom pravnom osnovom (Financijska uredba, pravila primjene), posebnim propisima (radni program Obzor 2020.) i stoga dovesti do spora ili naštetiti ugledu.</w:t>
            </w:r>
          </w:p>
          <w:p w:rsidR="001A1AE9" w:rsidRPr="00B3259B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B3259B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Napomena: GU X nije izvijestio o tekućim sudskim parnicama, pritužbama ili istragama Europskog ureda za borbu protiv prijevara (OLAF-a) u vezi s nabavom”</w:t>
            </w:r>
          </w:p>
          <w:p w:rsidR="001A1AE9" w:rsidRPr="00B3259B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1.2.</w:t>
            </w:r>
            <w:r>
              <w:rPr>
                <w:rFonts w:ascii="Calibri" w:hAnsi="Calibri"/>
                <w:sz w:val="16"/>
                <w:szCs w:val="16"/>
              </w:rPr>
              <w:tab/>
              <w:t>Nepravilnosti i pogreške zbog nepostojanja određenog osposobljavanja ili nedovoljne stručnosti / iskustva.</w:t>
            </w: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C93F2B" w:rsidRPr="00B3259B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1.3.</w:t>
            </w:r>
            <w:r>
              <w:rPr>
                <w:rFonts w:ascii="Calibri" w:hAnsi="Calibri"/>
                <w:sz w:val="16"/>
                <w:szCs w:val="16"/>
              </w:rPr>
              <w:tab/>
              <w:t>Neadekvatni postupci (tj. „uska grla” postupaka) i koordinacija među operativnim jedinicama i sektorom središnje nabave mogu uzrokovati kašnjenja, neefikasnost i negativan utjecaj na ostvarivanje ciljeva GU-a</w:t>
            </w: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Pr="00B3259B" w:rsidRDefault="00B3259B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1.4. Preuzimanja obveza u pogledu proračunskih odobrenih sredstava koja su delegirana ostalim GU-ovima, a za koja je GU X još uvijek odgovoran (križna daljnja delegacija i vertikalna sudelegacija kada se uspostave u povezanom sporazumu) možda neće dobiti utemeljeno uvjerenje.</w:t>
            </w:r>
          </w:p>
        </w:tc>
        <w:tc>
          <w:tcPr>
            <w:tcW w:w="1417" w:type="dxa"/>
            <w:shd w:val="clear" w:color="auto" w:fill="auto"/>
          </w:tcPr>
          <w:p w:rsidR="001A1AE9" w:rsidRPr="001A1AE9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Srednji</w:t>
            </w: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3259B" w:rsidRDefault="00B3259B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3259B">
            <w:pPr>
              <w:rPr>
                <w:rFonts w:ascii="Calibri" w:hAnsi="Calibri"/>
                <w:sz w:val="16"/>
                <w:szCs w:val="16"/>
              </w:rPr>
            </w:pPr>
          </w:p>
          <w:p w:rsidR="009B5618" w:rsidRDefault="001A1AE9" w:rsidP="00B3259B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Srednji</w: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']/UserCategory2"/&gt; </w:instrTex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9B5618" w:rsidRDefault="00C93F2B" w:rsidP="009B56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A1AE9" w:rsidRPr="001A1AE9" w:rsidRDefault="00C93F2B" w:rsidP="00BE16DD">
            <w:pPr>
              <w:rPr>
                <w:rFonts w:ascii="Calibri" w:hAnsi="Calibri"/>
                <w:sz w:val="16"/>
                <w:szCs w:val="16"/>
              </w:rPr>
            </w:pPr>
            <w:r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 &lt;xsl:value-of select="//Controls/Control[@ID = '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 &lt;xsl:value-of select="Control"/&gt; 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9B5618">
              <w:rPr>
                <w:rFonts w:ascii="Calibri" w:hAnsi="Calibri"/>
                <w:sz w:val="16"/>
                <w:szCs w:val="16"/>
              </w:rPr>
              <w:t>- operativne uprave koriste se standardnim kontrolnim popisima za pokretanje poziva na podnošenje ponuda i dodjelu ugovora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osposobljavanje na radnom mjestu; kontrolori se biraju među predanim inicijatorima”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- unutarnji postupci GU-a X povezani s nabavom (uključujući smjernice korak po korak s odgovornim sudionicima i kontrolnim popisima) objavljuju se na: CONNECTED.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SPC-ov „kalendar” postupaka nabave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popis nabave na servisu SharePoint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popis odobrenih događaja i studija”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„Ugovori o razini usluge s delegiranim GU-ovima </w:t>
            </w:r>
          </w:p>
          <w:p w:rsidR="00C93F2B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Godišnja jamstvena izvješća o odobrenim sredstvima kojima se koriste delegirani GU-ovi.”</w:t>
            </w:r>
          </w:p>
          <w:p w:rsidR="00C93F2B" w:rsidRPr="00C93F2B" w:rsidRDefault="00C93F2B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&lt;tm:format font-override="true"&gt;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select="//Controls/Control[@ID = '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 &lt;xsl:value-of select="Control"/&gt; 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']/Description"/&gt;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&lt;/tm:format&gt;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C93F2B" w:rsidRPr="00C93F2B" w:rsidRDefault="001A1AE9" w:rsidP="009B5618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Po transakciji</w: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select="//Controls/Control[@ID = '</w:instrText>
            </w:r>
            <w:r w:rsidR="00C93F2B" w:rsidRPr="00BE16DD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BE16DD">
              <w:rPr>
                <w:rFonts w:ascii="Calibri" w:hAnsi="Calibri"/>
                <w:sz w:val="16"/>
                <w:szCs w:val="16"/>
              </w:rPr>
              <w:instrText xml:space="preserve"> &lt;xsl:value-of select="Control"/&gt; </w:instrText>
            </w:r>
            <w:r w:rsidR="00C93F2B" w:rsidRPr="00BE16DD">
              <w:rPr>
                <w:rFonts w:ascii="Calibri" w:hAnsi="Calibri"/>
                <w:sz w:val="16"/>
                <w:szCs w:val="16"/>
              </w:rPr>
              <w:fldChar w:fldCharType="end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']/PreAuditEfficiency"/&gt; </w:instrTex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F2B" w:rsidRPr="00C93F2B" w:rsidRDefault="00C93F2B" w:rsidP="000C392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select="//Controls/Control[@ID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select="Control"/&gt;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']/PreAuditEffectiveness"/&gt;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„1.1.a. Analize dokumenata sa smjernicama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1.1.b. Analize podataka iz izvješća računovodstvenog sustava na temelju nastanka poslovnog događaja (ABAC-a) radi utvrđivanja moguće podjele ugovora na manje ugovore (fr. „saucissonage”) (potrebno razmotriti pri odabiru uzorka)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razgovori”</w:t>
            </w: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2. Testovi salda i razgovori </w:t>
            </w: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„1.3.a. Analize povezanih dokumenata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Smjernice/pomoć dostupna organizacijama proizvođača tijekom planiranja i javnog nadmetanja u pogledu testova salda.”</w:t>
            </w: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C93F2B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1.5. Pregled ugovora o razini usluge na najviše iznose i odgovarajućih godišnjih jamstvenih izvješća GU-ova</w: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select="//Controls/Control[@ID = 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instrText>'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select="Control"/&gt; 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instrText>'</w:instrText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]/PostAuditEffectiveness"/&gt; </w:instrTex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C93F2B" w:rsidRPr="00C93F2B" w:rsidRDefault="00C93F2B" w:rsidP="00F35A4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&lt;xsl:for-each 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"/TmData/PROJECT/LINKS/LINK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[SOURCE/OBJECTTYPE=4]</w:instrText>
            </w:r>
            <w:r w:rsidRPr="00C93F2B">
              <w:rPr>
                <w:rFonts w:ascii="Calibri" w:hAnsi="Calibri"/>
                <w:color w:val="00B050"/>
                <w:sz w:val="16"/>
                <w:szCs w:val="16"/>
              </w:rPr>
              <w:instrText>[TARGET/OBJECTTYPE=31]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 xml:space="preserve">[TARGET/OBJECTGUID = 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>']/@GUID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>]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023DC96E" wp14:editId="17654406">
                  <wp:extent cx="177282" cy="1181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&lt;xsl:for-each select="/TmData/PROJECT/ISSUES/ISSUE[ORIGIN/STEP[@ID='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'']/@ID"/&gt;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2EF6377" wp14:editId="54C78912">
                  <wp:extent cx="157146" cy="149290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3" cy="16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&lt;/xsl:for-each&gt;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tabs>
                <w:tab w:val="left" w:pos="0"/>
              </w:tabs>
              <w:rPr>
                <w:rFonts w:ascii="Calibri" w:hAnsi="Calibri"/>
                <w:color w:val="FF0000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&lt;xsl:for-each </w:instrText>
            </w:r>
          </w:p>
          <w:p w:rsidR="00C93F2B" w:rsidRPr="00C93F2B" w:rsidRDefault="00C93F2B" w:rsidP="00F35A4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"/TmData/PROJECT/LINKS/LINK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[SOURCE/OBJECTTYPE=4]</w:instrText>
            </w:r>
            <w:r w:rsidRPr="00C93F2B">
              <w:rPr>
                <w:rFonts w:ascii="Calibri" w:hAnsi="Calibri"/>
                <w:color w:val="00B050"/>
                <w:sz w:val="16"/>
                <w:szCs w:val="16"/>
              </w:rPr>
              <w:instrText>[TARGET/OBJECTTYPE=32]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 xml:space="preserve">[TARGET/OBJECTGUID = 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//Controls/Control[@ID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select="Control"/&gt;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>']/@GUID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>]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05E26444" wp14:editId="592D2752">
                  <wp:extent cx="177282" cy="11818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&lt;xsl:for-each select="/TmData/PROJECT/ISSUES/ISSUE[ORIGIN/STEP[@ID='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']/@ID"/&gt;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344A4B7B" wp14:editId="213E8D98">
                  <wp:extent cx="157146" cy="149290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3" cy="16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&lt;/xsl:for-each&gt;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C93F2B" w:rsidP="00F35A4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</w:p>
        </w:tc>
      </w:tr>
      <w:tr w:rsidR="00F03D6F" w:rsidRPr="00C93F2B" w:rsidTr="006309C8">
        <w:trPr>
          <w:trHeight w:val="242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F03D6F" w:rsidRPr="00C93F2B" w:rsidRDefault="00F03D6F" w:rsidP="001027DC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F3A93" w:rsidRPr="00C93F2B" w:rsidTr="006309C8">
        <w:tblPrEx>
          <w:shd w:val="clear" w:color="auto" w:fill="92D050"/>
        </w:tblPrEx>
        <w:trPr>
          <w:trHeight w:val="263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DF3A93" w:rsidRPr="00C93F2B" w:rsidRDefault="001A1AE9" w:rsidP="007A3F95">
            <w:pPr>
              <w:rPr>
                <w:rFonts w:ascii="Calibri" w:hAnsi="Calibri"/>
                <w:sz w:val="16"/>
                <w:szCs w:val="16"/>
              </w:rPr>
            </w:pPr>
            <w:r w:rsidRPr="009C38F4">
              <w:rPr>
                <w:rFonts w:ascii="Calibri" w:hAnsi="Calibri"/>
                <w:sz w:val="16"/>
                <w:szCs w:val="16"/>
              </w:rPr>
              <w:t>1. Faza prije poziva na podnošenje ponuda</w:t>
            </w:r>
            <w:r w:rsidR="00DF3A93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DF3A93"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="00DF3A93" w:rsidRPr="009C38F4">
              <w:rPr>
                <w:rFonts w:ascii="Calibri" w:hAnsi="Calibri"/>
                <w:sz w:val="16"/>
                <w:szCs w:val="16"/>
              </w:rPr>
              <w:instrText>&lt;xsl:for-each select=</w:instrText>
            </w:r>
            <w:r w:rsidR="00DF3A93" w:rsidRPr="00C93F2B">
              <w:rPr>
                <w:rFonts w:ascii="Calibri" w:hAnsi="Calibri"/>
                <w:sz w:val="16"/>
                <w:szCs w:val="16"/>
              </w:rPr>
              <w:instrText>"/TmData/PROJECT/EntityToRiskAssociations/EntityToRiskAssociation[not(Risk = //RiskToControlAssociations/RiskToControlAssociation/Risk)]</w:instrText>
            </w:r>
            <w:r w:rsidR="007A3F95" w:rsidRPr="00C93F2B">
              <w:rPr>
                <w:rFonts w:ascii="Calibri" w:hAnsi="Calibri"/>
                <w:sz w:val="16"/>
                <w:szCs w:val="16"/>
              </w:rPr>
              <w:instrText>[@ID ='</w:instrText>
            </w:r>
            <w:r w:rsidR="007A3F95" w:rsidRPr="009C38F4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7A3F95" w:rsidRPr="009C38F4">
              <w:rPr>
                <w:rFonts w:ascii="Calibri" w:hAnsi="Calibri"/>
                <w:sz w:val="16"/>
                <w:szCs w:val="16"/>
              </w:rPr>
              <w:instrText xml:space="preserve"> &lt;xsl:value-of select="@ID"/&gt; </w:instrText>
            </w:r>
            <w:r w:rsidR="007A3F95" w:rsidRPr="009C38F4">
              <w:rPr>
                <w:rFonts w:ascii="Calibri" w:hAnsi="Calibri"/>
                <w:sz w:val="16"/>
                <w:szCs w:val="16"/>
              </w:rPr>
              <w:fldChar w:fldCharType="end"/>
            </w:r>
            <w:r w:rsidR="007A3F95" w:rsidRPr="00C93F2B">
              <w:rPr>
                <w:rFonts w:ascii="Calibri" w:hAnsi="Calibri"/>
                <w:sz w:val="16"/>
                <w:szCs w:val="16"/>
              </w:rPr>
              <w:instrText>' ]</w:instrText>
            </w:r>
            <w:r w:rsidR="00DF3A93"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="00DF3A93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5E7BEF" w:rsidRPr="00C93F2B" w:rsidTr="000016E6">
        <w:tblPrEx>
          <w:shd w:val="clear" w:color="auto" w:fill="92D050"/>
        </w:tblPrEx>
        <w:trPr>
          <w:trHeight w:val="263"/>
        </w:trPr>
        <w:tc>
          <w:tcPr>
            <w:tcW w:w="592" w:type="dxa"/>
            <w:shd w:val="clear" w:color="auto" w:fill="auto"/>
            <w:vAlign w:val="center"/>
          </w:tcPr>
          <w:p w:rsidR="00C93F2B" w:rsidRPr="00C93F2B" w:rsidRDefault="00C93F2B" w:rsidP="00073D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C93F2B" w:rsidRPr="00211A46" w:rsidRDefault="00211A46" w:rsidP="009C38F4">
            <w:pPr>
              <w:rPr>
                <w:rFonts w:ascii="Calibri" w:hAnsi="Calibri"/>
                <w:sz w:val="16"/>
                <w:szCs w:val="16"/>
              </w:rPr>
            </w:pPr>
            <w:r w:rsidRPr="009C38F4">
              <w:rPr>
                <w:rFonts w:ascii="Calibri" w:hAnsi="Calibri"/>
                <w:sz w:val="16"/>
                <w:szCs w:val="16"/>
              </w:rPr>
              <w:t>Potrebni su analiza, opće planiranje i organizacija postupka nabave</w:t>
            </w:r>
            <w:r w:rsidR="00C93F2B" w:rsidRPr="00211A46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211A46">
              <w:rPr>
                <w:rFonts w:ascii="Calibri" w:hAnsi="Calibri"/>
                <w:sz w:val="16"/>
                <w:szCs w:val="16"/>
              </w:rPr>
              <w:instrText xml:space="preserve"> &lt;xsl:value-of select="//Entities/Entity[@ID= '</w:instrText>
            </w:r>
            <w:r w:rsidR="00C93F2B"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B3259B">
              <w:rPr>
                <w:rFonts w:ascii="Calibri" w:hAnsi="Calibri"/>
                <w:sz w:val="16"/>
                <w:szCs w:val="16"/>
              </w:rPr>
              <w:instrText xml:space="preserve"> &lt;xsl:value-of select="Entity"/&gt; </w:instrText>
            </w:r>
            <w:r w:rsidR="00C93F2B"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="00C93F2B" w:rsidRPr="00211A46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="00C93F2B" w:rsidRPr="00211A46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1A1AE9" w:rsidRPr="001A1AE9" w:rsidRDefault="00C93F2B" w:rsidP="00BE16DD">
            <w:pPr>
              <w:rPr>
                <w:rFonts w:ascii="Calibri" w:hAnsi="Calibri"/>
                <w:sz w:val="16"/>
                <w:szCs w:val="16"/>
              </w:rPr>
            </w:pPr>
            <w:r w:rsidRPr="00BE16DD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E16DD">
              <w:rPr>
                <w:rFonts w:ascii="Calibri" w:hAnsi="Calibri"/>
                <w:sz w:val="16"/>
                <w:szCs w:val="16"/>
              </w:rPr>
              <w:instrText xml:space="preserve"> &lt;xsl:value-of select="//Risks/Risk[@ID =  '</w:instrText>
            </w:r>
            <w:r w:rsidRPr="00BE16DD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E16DD">
              <w:rPr>
                <w:rFonts w:ascii="Calibri" w:hAnsi="Calibri"/>
                <w:sz w:val="16"/>
                <w:szCs w:val="16"/>
              </w:rPr>
              <w:instrText xml:space="preserve"> &lt;xsl:value-of select="Risk"/&gt; </w:instrText>
            </w:r>
            <w:r w:rsidRPr="00BE16DD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BE16DD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BE16DD"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t>2.1.</w:t>
            </w:r>
            <w:r>
              <w:rPr>
                <w:rFonts w:ascii="Calibri" w:hAnsi="Calibri"/>
                <w:sz w:val="16"/>
                <w:szCs w:val="16"/>
              </w:rPr>
              <w:tab/>
              <w:t>Neusklađenost strateških ciljeva, radnog programa i primijenjenih postupaka nabave, nepostojanje pouzdanih postupaka za utvrđivanje potreba ili neefektivno prenošenje potreba u uvjete (natječajne specifikacije) može utjecati na ostvarivanje ciljeva nabave.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2.2.</w:t>
            </w:r>
            <w:r>
              <w:rPr>
                <w:rFonts w:ascii="Calibri" w:hAnsi="Calibri"/>
                <w:sz w:val="16"/>
                <w:szCs w:val="16"/>
              </w:rPr>
              <w:tab/>
              <w:t>Loše planiranje nabave može uzrokovati prekid ili nedostupnost usluge, nepotrebno trošenje vremena i resursa.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2.3.</w:t>
            </w:r>
            <w:r>
              <w:rPr>
                <w:rFonts w:ascii="Calibri" w:hAnsi="Calibri"/>
                <w:sz w:val="16"/>
                <w:szCs w:val="16"/>
              </w:rPr>
              <w:tab/>
              <w:t>Nedovoljno razmatranje zamjena za nabavu (npr. interni stručnjaci, zajednička nabava, uporaba već postojećih okvirnih ugovora) ili drugih mogućnosti (administrativnih dogovora, bespovratnih sredstava) može dovesti do neefektivne uporabe resursa.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C93F2B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2.4.</w:t>
            </w:r>
            <w:r>
              <w:rPr>
                <w:rFonts w:ascii="Calibri" w:hAnsi="Calibri"/>
                <w:sz w:val="16"/>
                <w:szCs w:val="16"/>
              </w:rPr>
              <w:tab/>
              <w:t>Nedovoljna uporaba namjenske središnje baze podataka EZ-a, posebno za studije, može dovesti do udvostručivanja nabave.</w:t>
            </w:r>
          </w:p>
          <w:p w:rsidR="00C93F2B" w:rsidRPr="00C93F2B" w:rsidRDefault="00C93F2B" w:rsidP="00BE16DD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lastRenderedPageBreak/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Pr="00BE16DD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E16DD">
              <w:rPr>
                <w:rFonts w:ascii="Calibri" w:hAnsi="Calibri"/>
                <w:sz w:val="16"/>
                <w:szCs w:val="16"/>
              </w:rPr>
              <w:instrText xml:space="preserve"> &lt;xsl:value-of select="Risk"/&gt; </w:instrText>
            </w:r>
            <w:r w:rsidRPr="00BE16DD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']/Description"/&gt;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Visok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9B5618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Visok</w: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="00C93F2B"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="00C93F2B" w:rsidRPr="00C93F2B">
              <w:rPr>
                <w:rFonts w:ascii="Calibri" w:hAnsi="Calibri"/>
                <w:sz w:val="16"/>
                <w:szCs w:val="16"/>
              </w:rPr>
              <w:instrText xml:space="preserve">']/UserCategory2"/&gt; </w:instrText>
            </w:r>
            <w:r w:rsidR="00C93F2B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9B5618" w:rsidRDefault="00C93F2B" w:rsidP="009B561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„- odluke o financiranju (radni programi) odobravaju se putem skupa postupaka Comitology; globalne omotnice odobrava GU Z</w:t>
            </w: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-pokretanje postupaka odobrava se na razini uprave</w:t>
            </w:r>
          </w:p>
          <w:p w:rsid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popis studija i događaja odobrava MT;</w:t>
            </w:r>
          </w:p>
          <w:p w:rsidR="00BE16DD" w:rsidRPr="001A1AE9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„- odluke o financiranju (radni programi) čine opći, okvirni plan nabave</w:t>
            </w: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lokalni IT alati (PUMA, iFlow) pomažu u praćenju napretka spisa”</w:t>
            </w: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za studije i događaje odobrenje potreba i odabira potrebno je na razini MT-a</w:t>
            </w: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„- provjeru postoje li slične studije u ostalim jedinicama/GU-ovima provode operativna jedinica i F4</w:t>
            </w: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popis postojećih okvirnih ugovora</w:t>
            </w:r>
          </w:p>
          <w:p w:rsidR="00C93F2B" w:rsidRPr="00C93F2B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- obrazac zahtjeva za studiju uključuje „Rezultat bibliografske pretrage”</w:t>
            </w:r>
          </w:p>
        </w:tc>
        <w:tc>
          <w:tcPr>
            <w:tcW w:w="1559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Godišnja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Godišnja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C93F2B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F2B" w:rsidRPr="00C93F2B" w:rsidRDefault="00C93F2B" w:rsidP="00073DE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0016E6" w:rsidRDefault="000016E6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„2.4.a. Analize provedenih studija, tj. provjera jesu li sve studije GU-a Y: 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 objavljene u MP-u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 xml:space="preserve">b) objavljene u bazi podataka studija EZ-a </w:t>
            </w: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c) objavljene u prilogu godišnjem izvješću o aktivnostima</w:t>
            </w:r>
          </w:p>
          <w:p w:rsidR="00C93F2B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 salda (npr. slične / dvostruke studije)”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77C20" w:rsidRPr="00C93F2B" w:rsidRDefault="00077C20" w:rsidP="00077C2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lastRenderedPageBreak/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&lt;xsl:for-each 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"/TmData/PROJECT/LINKS/LINK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[SOURCE/OBJECTTYPE=4]</w:instrText>
            </w:r>
            <w:r w:rsidRPr="00C93F2B">
              <w:rPr>
                <w:rFonts w:ascii="Calibri" w:hAnsi="Calibri"/>
                <w:color w:val="00B050"/>
                <w:sz w:val="16"/>
                <w:szCs w:val="16"/>
              </w:rPr>
              <w:instrText>[TARGET/OBJECTTYPE=31]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 xml:space="preserve">[TARGET/OBJECTGUID = 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>']/@GUID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>]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2D8B634" wp14:editId="6ED2A282">
                  <wp:extent cx="177282" cy="11818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077C20" w:rsidRPr="00C93F2B" w:rsidRDefault="00077C20" w:rsidP="00077C2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&lt;xsl:for-each select="/TmData/PROJECT/ISSUES/ISSUE[ORIGIN/STEP[@ID='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'']/@ID"/&gt;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1B14938" wp14:editId="2952A3B7">
                  <wp:extent cx="157146" cy="149290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3" cy="16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077C20" w:rsidRPr="00C93F2B" w:rsidRDefault="00077C20" w:rsidP="00077C2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&lt;/xsl:for-each&gt;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C93F2B" w:rsidRPr="00C93F2B" w:rsidRDefault="00077C20" w:rsidP="00077C2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DF3A93" w:rsidRPr="00C93F2B" w:rsidTr="006309C8">
        <w:tblPrEx>
          <w:shd w:val="clear" w:color="auto" w:fill="92D050"/>
        </w:tblPrEx>
        <w:trPr>
          <w:trHeight w:val="242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DF3A93" w:rsidRPr="00C93F2B" w:rsidRDefault="001A1AE9" w:rsidP="009C38F4">
            <w:pPr>
              <w:rPr>
                <w:rFonts w:ascii="Calibri" w:hAnsi="Calibri"/>
                <w:sz w:val="16"/>
                <w:szCs w:val="16"/>
              </w:rPr>
            </w:pPr>
            <w:r w:rsidRPr="009C38F4">
              <w:rPr>
                <w:rFonts w:ascii="Calibri" w:hAnsi="Calibri"/>
                <w:sz w:val="16"/>
                <w:szCs w:val="16"/>
              </w:rPr>
              <w:lastRenderedPageBreak/>
              <w:t>Faza poziva na podnošenje ponuda</w:t>
            </w:r>
            <w:r w:rsidR="00DF3A93"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="00DF3A93"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="00DF3A93" w:rsidRPr="00C93F2B">
              <w:rPr>
                <w:rFonts w:ascii="Calibri" w:hAnsi="Calibri"/>
                <w:color w:val="00B050"/>
                <w:sz w:val="16"/>
                <w:szCs w:val="16"/>
              </w:rPr>
              <w:instrText>&lt;/xsl:for-each&gt;</w:instrText>
            </w:r>
            <w:r w:rsidR="00DF3A93"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="00DF3A93"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A1AE9" w:rsidRPr="00C93F2B" w:rsidTr="000016E6">
        <w:tblPrEx>
          <w:shd w:val="clear" w:color="auto" w:fill="92D050"/>
        </w:tblPrEx>
        <w:trPr>
          <w:trHeight w:val="263"/>
        </w:trPr>
        <w:tc>
          <w:tcPr>
            <w:tcW w:w="592" w:type="dxa"/>
            <w:shd w:val="clear" w:color="auto" w:fill="auto"/>
            <w:vAlign w:val="center"/>
          </w:tcPr>
          <w:p w:rsidR="001A1AE9" w:rsidRPr="00C93F2B" w:rsidRDefault="001A1AE9" w:rsidP="004B4B6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1A1AE9" w:rsidRPr="00211A46" w:rsidRDefault="001A1AE9" w:rsidP="009C38F4">
            <w:pPr>
              <w:rPr>
                <w:rFonts w:ascii="Calibri" w:hAnsi="Calibri"/>
                <w:sz w:val="16"/>
                <w:szCs w:val="16"/>
              </w:rPr>
            </w:pPr>
            <w:r w:rsidRPr="009C38F4">
              <w:rPr>
                <w:rFonts w:ascii="Calibri" w:hAnsi="Calibri"/>
                <w:sz w:val="16"/>
                <w:szCs w:val="16"/>
              </w:rPr>
              <w:t>Priprema postupka nabave</w:t>
            </w:r>
            <w:r w:rsidRPr="00211A46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211A46">
              <w:rPr>
                <w:rFonts w:ascii="Calibri" w:hAnsi="Calibri"/>
                <w:sz w:val="16"/>
                <w:szCs w:val="16"/>
              </w:rPr>
              <w:instrText xml:space="preserve"> &lt;xsl:value-of select="//Entities/Entity[@ID= '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 &lt;xsl:value-of select="Entity"/&gt; 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11A46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211A46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1AE9" w:rsidRPr="001A1AE9" w:rsidRDefault="001A1AE9" w:rsidP="001A1AE9">
            <w:pPr>
              <w:rPr>
                <w:rFonts w:ascii="Calibri" w:hAnsi="Calibri"/>
                <w:sz w:val="16"/>
                <w:szCs w:val="16"/>
              </w:rPr>
            </w:pPr>
            <w:r w:rsidRPr="00AD2E4D">
              <w:rPr>
                <w:rFonts w:ascii="Calibri" w:hAnsi="Calibri"/>
                <w:b/>
                <w:sz w:val="16"/>
                <w:szCs w:val="16"/>
              </w:rPr>
              <w:fldChar w:fldCharType="begin"/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instrText xml:space="preserve"> &lt;xsl:value-of select="//Risks/Risk[@ID =  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>'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fldChar w:fldCharType="begin"/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fldChar w:fldCharType="end"/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>'</w:instrText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instrText xml:space="preserve">]/Title"/&gt; </w:instrText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t>3.1.</w:t>
            </w:r>
            <w:r>
              <w:rPr>
                <w:rFonts w:ascii="Calibri" w:hAnsi="Calibri"/>
                <w:sz w:val="16"/>
                <w:szCs w:val="16"/>
              </w:rPr>
              <w:tab/>
              <w:t>Ciljne specifikacije mogu uzrokovati nepravedno ograničavanje tržišnog natjecanja.</w:t>
            </w:r>
          </w:p>
          <w:p w:rsidR="00BE16DD" w:rsidRDefault="00BE16DD" w:rsidP="001A1AE9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1A1AE9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1A1AE9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1A1AE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3.2.</w:t>
            </w:r>
            <w:r>
              <w:rPr>
                <w:rFonts w:ascii="Calibri" w:hAnsi="Calibri"/>
                <w:sz w:val="16"/>
                <w:szCs w:val="16"/>
              </w:rPr>
              <w:tab/>
              <w:t>Loše utvrđeni kriteriji odabira i dodjele ili njihovi ponderi mogu uzrokovati neadekvatnu evaluaciju ponuda ili neusklađenost potreba i predmeta isporuke.</w:t>
            </w:r>
          </w:p>
          <w:p w:rsidR="00BE16DD" w:rsidRDefault="00BE16DD" w:rsidP="001A1AE9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1A1AE9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3.3.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Pr="009B5618">
              <w:rPr>
                <w:rFonts w:ascii="Calibri" w:hAnsi="Calibri"/>
                <w:sz w:val="16"/>
                <w:szCs w:val="16"/>
              </w:rPr>
              <w:t>Neispravno izvršenje ugovora ili neispravni predmeti ugovora zbog nedostataka natječajne dokumentacije ili nepostojanja ugovornih odredaba / neadekvatno primijenjenih ugovornih odredaba, neopravdane izmjene predložaka ugovora GU-a Z.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Pr="009B5618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9B5618">
              <w:rPr>
                <w:rFonts w:ascii="Calibri" w:hAnsi="Calibri"/>
                <w:sz w:val="16"/>
                <w:szCs w:val="16"/>
              </w:rPr>
              <w:instrText xml:space="preserve"> &lt;xsl:value-of select="Risk"/&gt; </w:instrText>
            </w:r>
            <w:r w:rsidRPr="009B5618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']/Description"/&gt;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Visok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']/UserCategory2"/&gt;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1AE9" w:rsidRPr="001A1AE9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 - operativne jedinice koriste se standardnim kontrolnim propisima</w:t>
            </w:r>
          </w:p>
          <w:p w:rsidR="001A1AE9" w:rsidRPr="001A1AE9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nabava)”</w:t>
            </w:r>
          </w:p>
          <w:p w:rsidR="00BE16DD" w:rsidRDefault="00BE16DD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 - operativne jedinice koriste se standardnim kontrolnim propisima</w:t>
            </w:r>
          </w:p>
          <w:p w:rsidR="001A1AE9" w:rsidRPr="001A1AE9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nabava)”</w:t>
            </w:r>
          </w:p>
          <w:p w:rsidR="00BE16DD" w:rsidRDefault="00BE16DD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 - operativne jedinice koriste se standardnim kontrolnim propisima</w:t>
            </w:r>
          </w:p>
          <w:p w:rsidR="001A1AE9" w:rsidRPr="00C93F2B" w:rsidRDefault="001A1AE9" w:rsidP="001A1A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nabava)”</w:t>
            </w:r>
          </w:p>
        </w:tc>
        <w:tc>
          <w:tcPr>
            <w:tcW w:w="1559" w:type="dxa"/>
            <w:shd w:val="clear" w:color="auto" w:fill="auto"/>
          </w:tcPr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AE9" w:rsidRPr="00C93F2B" w:rsidRDefault="001A1AE9" w:rsidP="004B4B6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0016E6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0016E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1AE9" w:rsidRPr="00C93F2B" w:rsidRDefault="001A1AE9" w:rsidP="004B4B6F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&lt;xsl:for-each 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"/TmData/PROJECT/LINKS/LINK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[SOURCE/OBJECTTYPE=4]</w:instrText>
            </w:r>
            <w:r w:rsidRPr="00C93F2B">
              <w:rPr>
                <w:rFonts w:ascii="Calibri" w:hAnsi="Calibri"/>
                <w:color w:val="00B050"/>
                <w:sz w:val="16"/>
                <w:szCs w:val="16"/>
              </w:rPr>
              <w:instrText>[TARGET/OBJECTTYPE=31]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 xml:space="preserve">[TARGET/OBJECTGUID = 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>']/@GUID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>]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E9E97F3" wp14:editId="05383E24">
                  <wp:extent cx="177282" cy="1181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4B4B6F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&lt;xsl:for-each select="/TmData/PROJECT/ISSUES/ISSUE[ORIGIN/STEP[@ID='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'']/@ID"/&gt;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9B49E07" wp14:editId="011F602B">
                  <wp:extent cx="157146" cy="149290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3" cy="16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4B4B6F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&lt;/xsl:for-each&gt;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4B4B6F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A1AE9" w:rsidRPr="00C93F2B" w:rsidTr="006309C8">
        <w:tblPrEx>
          <w:shd w:val="clear" w:color="auto" w:fill="92D050"/>
        </w:tblPrEx>
        <w:trPr>
          <w:trHeight w:val="242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1A1AE9" w:rsidRPr="00C93F2B" w:rsidRDefault="001A1AE9" w:rsidP="00073D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1A1AE9" w:rsidRPr="00C93F2B" w:rsidTr="000016E6">
        <w:tblPrEx>
          <w:shd w:val="clear" w:color="auto" w:fill="92D050"/>
        </w:tblPrEx>
        <w:trPr>
          <w:trHeight w:val="263"/>
        </w:trPr>
        <w:tc>
          <w:tcPr>
            <w:tcW w:w="592" w:type="dxa"/>
            <w:shd w:val="clear" w:color="auto" w:fill="auto"/>
            <w:vAlign w:val="center"/>
          </w:tcPr>
          <w:p w:rsidR="001A1AE9" w:rsidRPr="00C93F2B" w:rsidRDefault="001A1AE9" w:rsidP="007C12B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1A1AE9" w:rsidRPr="001A1AE9" w:rsidRDefault="001A1AE9" w:rsidP="009C38F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Odabir i dodjela </w:t>
            </w:r>
          </w:p>
          <w:p w:rsidR="001A1AE9" w:rsidRPr="001A1AE9" w:rsidRDefault="001A1AE9" w:rsidP="009C38F4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211A46" w:rsidRDefault="001A1AE9" w:rsidP="009C38F4">
            <w:pPr>
              <w:rPr>
                <w:rFonts w:ascii="Calibri" w:hAnsi="Calibri"/>
                <w:sz w:val="16"/>
                <w:szCs w:val="16"/>
              </w:rPr>
            </w:pPr>
            <w:r w:rsidRPr="00211A46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211A46">
              <w:rPr>
                <w:rFonts w:ascii="Calibri" w:hAnsi="Calibri"/>
                <w:sz w:val="16"/>
                <w:szCs w:val="16"/>
              </w:rPr>
              <w:instrText xml:space="preserve"> &lt;xsl:value-of select="//Entities/Entity[@ID= '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B3259B">
              <w:rPr>
                <w:rFonts w:ascii="Calibri" w:hAnsi="Calibri"/>
                <w:sz w:val="16"/>
                <w:szCs w:val="16"/>
              </w:rPr>
              <w:instrText xml:space="preserve"> &lt;xsl:value-of select="Entity"/&gt; </w:instrText>
            </w:r>
            <w:r w:rsidRPr="00B3259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11A46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211A46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b/>
                <w:sz w:val="16"/>
                <w:szCs w:val="16"/>
              </w:rPr>
            </w:pPr>
            <w:r w:rsidRPr="00AD2E4D">
              <w:rPr>
                <w:rFonts w:ascii="Calibri" w:hAnsi="Calibri"/>
                <w:b/>
                <w:sz w:val="16"/>
                <w:szCs w:val="16"/>
              </w:rPr>
              <w:fldChar w:fldCharType="begin"/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instrText xml:space="preserve"> &lt;xsl:value-of select="//Risks/Risk[@ID =  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>'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fldChar w:fldCharType="begin"/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fldChar w:fldCharType="end"/>
            </w:r>
            <w:r w:rsidRPr="00AD2E4D">
              <w:rPr>
                <w:rFonts w:ascii="Calibri" w:hAnsi="Calibri"/>
                <w:b/>
                <w:color w:val="FF0000"/>
                <w:sz w:val="16"/>
                <w:szCs w:val="16"/>
              </w:rPr>
              <w:instrText>'</w:instrText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instrText xml:space="preserve">]/Title"/&gt; </w:instrText>
            </w:r>
            <w:r w:rsidRPr="00AD2E4D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>
              <w:t>4.1.</w:t>
            </w:r>
            <w:r>
              <w:rPr>
                <w:rFonts w:ascii="Calibri" w:hAnsi="Calibri"/>
                <w:b/>
                <w:sz w:val="16"/>
                <w:szCs w:val="16"/>
              </w:rPr>
              <w:tab/>
              <w:t>Nejasni, neadekvatni kriteriji odabira i dodjele ili nepodoban / pristran odbor za evaluaciju može dovesti do toga da se ne dobije „najbolja vrijednost za novac”</w:t>
            </w:r>
          </w:p>
          <w:p w:rsidR="00BE16DD" w:rsidRDefault="00BE16DD" w:rsidP="00BE16D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4.2.</w:t>
            </w:r>
            <w:r>
              <w:rPr>
                <w:rFonts w:ascii="Calibri" w:hAnsi="Calibri"/>
                <w:b/>
                <w:sz w:val="16"/>
                <w:szCs w:val="16"/>
              </w:rPr>
              <w:tab/>
              <w:t>Neutvrđena prijevara ili sukob interesa koji za posljedicu ima pristranu primjenu kriterija odabira i dodjele može dovesti do nejednakog postupanja prema ponuditeljima.</w:t>
            </w:r>
          </w:p>
          <w:p w:rsidR="00BE16DD" w:rsidRDefault="00BE16DD" w:rsidP="00BE16D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1A1AE9" w:rsidRDefault="001A1AE9" w:rsidP="00BE16DD">
            <w:r>
              <w:rPr>
                <w:rFonts w:ascii="Calibri" w:hAnsi="Calibri"/>
                <w:b/>
                <w:sz w:val="16"/>
                <w:szCs w:val="16"/>
              </w:rPr>
              <w:t>4.3.</w:t>
            </w:r>
            <w:r>
              <w:rPr>
                <w:rFonts w:ascii="Calibri" w:hAnsi="Calibri"/>
                <w:b/>
                <w:sz w:val="16"/>
                <w:szCs w:val="16"/>
              </w:rPr>
              <w:tab/>
              <w:t>Nedovoljna opravdanost (dokumentacija) odluka o dodjeli.</w:t>
            </w:r>
          </w:p>
          <w:p w:rsidR="001A1AE9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']/Description"/&gt;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Visok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Srednji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 w:rsidRPr="009B5618">
              <w:rPr>
                <w:rFonts w:ascii="Calibri" w:hAnsi="Calibri"/>
                <w:sz w:val="16"/>
                <w:szCs w:val="16"/>
              </w:rPr>
              <w:t>Srednji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']/UserCategory2"/&gt;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</w:t>
            </w:r>
            <w: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„- operativne jedinice koriste se standardnim kontrolnim propisima</w:t>
            </w: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nabava)”</w:t>
            </w: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„-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</w:t>
            </w:r>
          </w:p>
          <w:p w:rsidR="00BE16DD" w:rsidRDefault="00BE16DD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„</w:t>
            </w:r>
          </w:p>
          <w:p w:rsidR="001A1AE9" w:rsidRPr="00C93F2B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- centralizirana </w:t>
            </w:r>
            <w:r>
              <w:rPr>
                <w:rFonts w:ascii="Calibri" w:hAnsi="Calibri"/>
                <w:i/>
                <w:sz w:val="16"/>
                <w:szCs w:val="16"/>
              </w:rPr>
              <w:t>ex-ante</w:t>
            </w:r>
            <w:r>
              <w:rPr>
                <w:rFonts w:ascii="Calibri" w:hAnsi="Calibri"/>
                <w:sz w:val="16"/>
                <w:szCs w:val="16"/>
              </w:rPr>
              <w:t xml:space="preserve"> kontrola natječajne dokumentacije (R.2. Javna nabava)</w:t>
            </w:r>
          </w:p>
          <w:p w:rsidR="001A1AE9" w:rsidRPr="00C93F2B" w:rsidRDefault="001A1AE9" w:rsidP="00BE16DD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 transakciji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1AE9" w:rsidRPr="00C93F2B" w:rsidRDefault="001A1AE9" w:rsidP="007C12B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1A1AE9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BE16DD" w:rsidRDefault="00BE16DD" w:rsidP="00BE16DD">
            <w:pPr>
              <w:rPr>
                <w:rFonts w:ascii="Calibri" w:hAnsi="Calibri"/>
                <w:sz w:val="16"/>
                <w:szCs w:val="16"/>
              </w:rPr>
            </w:pPr>
          </w:p>
          <w:p w:rsidR="001A1AE9" w:rsidRPr="00C93F2B" w:rsidRDefault="001A1AE9" w:rsidP="00BE16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 Testovi salda i razgovori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1AE9" w:rsidRPr="00C93F2B" w:rsidRDefault="001A1AE9" w:rsidP="007C12B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&lt;xsl:for-each select=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"/TmData/PROJECT/LINKS/LINK</w:instrText>
            </w:r>
            <w:r w:rsidRPr="00C93F2B">
              <w:rPr>
                <w:rFonts w:ascii="Calibri" w:hAnsi="Calibri"/>
                <w:color w:val="0070C0"/>
                <w:sz w:val="16"/>
                <w:szCs w:val="16"/>
              </w:rPr>
              <w:instrText>[SOURCE/OBJECTTYPE=4]</w:instrText>
            </w:r>
            <w:r w:rsidRPr="00C93F2B">
              <w:rPr>
                <w:rFonts w:ascii="Calibri" w:hAnsi="Calibri"/>
                <w:color w:val="00B050"/>
                <w:sz w:val="16"/>
                <w:szCs w:val="16"/>
              </w:rPr>
              <w:instrText>[TARGET/OBJECTTYPE=31]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 xml:space="preserve">[TARGET/OBJECTGUID = 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>//Risks/Risk[@ID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select="Risk"/&gt;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>']/@GUID</w:instrText>
            </w:r>
            <w:r w:rsidRPr="00C93F2B">
              <w:rPr>
                <w:rFonts w:ascii="Calibri" w:hAnsi="Calibri"/>
                <w:color w:val="7030A0"/>
                <w:sz w:val="16"/>
                <w:szCs w:val="16"/>
              </w:rPr>
              <w:instrText>]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20A80C2" wp14:editId="07FA637A">
                  <wp:extent cx="177282" cy="11818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2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 xml:space="preserve"> &lt;xsl:value-of select="SOURCE/OBJECTGUID"/&gt;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']/TITLE"/&gt;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7C12B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&lt;xsl:for-each select="/TmData/PROJECT/ISSUES/ISSUE[ORIGIN/STEP[@ID='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select="//AREAS/FOLDER/AREA/STEP[@GUID = '']/@ID"/&gt;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']]"&gt;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C93F2B">
              <w:rPr>
                <w:rFonts w:ascii="Calibri" w:hAnsi="Calibri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2BC7005C" wp14:editId="0C659660">
                  <wp:extent cx="157146" cy="149290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63" cy="16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&lt;xsl:value-of select="TITLE"/&gt;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7C12B0">
            <w:pPr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&lt;/xsl:for-each&gt;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  <w:p w:rsidR="001A1AE9" w:rsidRPr="00C93F2B" w:rsidRDefault="001A1AE9" w:rsidP="007C12B0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  <w:r w:rsidRPr="00C93F2B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color w:val="FF0000"/>
                <w:sz w:val="16"/>
                <w:szCs w:val="16"/>
              </w:rPr>
              <w:instrText>&lt;/xsl:for-each&gt;</w:instrText>
            </w:r>
            <w:r w:rsidRPr="00C93F2B">
              <w:rPr>
                <w:rFonts w:ascii="Calibri" w:hAnsi="Calibri"/>
                <w:sz w:val="16"/>
                <w:szCs w:val="16"/>
              </w:rPr>
              <w:instrText xml:space="preserve"> </w:instrText>
            </w:r>
            <w:r w:rsidRPr="00C93F2B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</w:tr>
      <w:tr w:rsidR="001A1AE9" w:rsidRPr="00C93F2B" w:rsidTr="006309C8">
        <w:tblPrEx>
          <w:shd w:val="clear" w:color="auto" w:fill="92D050"/>
        </w:tblPrEx>
        <w:trPr>
          <w:trHeight w:val="242"/>
        </w:trPr>
        <w:tc>
          <w:tcPr>
            <w:tcW w:w="21689" w:type="dxa"/>
            <w:gridSpan w:val="9"/>
            <w:shd w:val="clear" w:color="auto" w:fill="auto"/>
            <w:vAlign w:val="center"/>
          </w:tcPr>
          <w:p w:rsidR="001A1AE9" w:rsidRPr="00C93F2B" w:rsidRDefault="001A1AE9" w:rsidP="00073DE9">
            <w:pPr>
              <w:tabs>
                <w:tab w:val="left" w:pos="0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F63E3" w:rsidRPr="00C93F2B" w:rsidRDefault="006C5828" w:rsidP="00413C96">
      <w:pPr>
        <w:tabs>
          <w:tab w:val="left" w:pos="0"/>
        </w:tabs>
        <w:ind w:left="-270"/>
        <w:rPr>
          <w:rFonts w:ascii="Calibri" w:hAnsi="Calibri"/>
          <w:sz w:val="16"/>
          <w:szCs w:val="16"/>
        </w:rPr>
      </w:pPr>
      <w:r w:rsidRPr="00C93F2B">
        <w:rPr>
          <w:rFonts w:ascii="Calibri" w:hAnsi="Calibri"/>
          <w:sz w:val="16"/>
          <w:szCs w:val="16"/>
        </w:rPr>
        <w:fldChar w:fldCharType="begin"/>
      </w:r>
      <w:r w:rsidRPr="00C93F2B">
        <w:rPr>
          <w:rFonts w:ascii="Calibri" w:hAnsi="Calibri"/>
          <w:sz w:val="16"/>
          <w:szCs w:val="16"/>
        </w:rPr>
        <w:instrText xml:space="preserve"> </w:instrText>
      </w:r>
      <w:r w:rsidRPr="00C93F2B">
        <w:rPr>
          <w:rFonts w:ascii="Calibri" w:hAnsi="Calibri"/>
          <w:color w:val="00B050"/>
          <w:sz w:val="16"/>
          <w:szCs w:val="16"/>
        </w:rPr>
        <w:instrText>&lt;/xsl:for-each&gt;</w:instrText>
      </w:r>
      <w:r w:rsidRPr="00C93F2B">
        <w:rPr>
          <w:rFonts w:ascii="Calibri" w:hAnsi="Calibri"/>
          <w:sz w:val="16"/>
          <w:szCs w:val="16"/>
        </w:rPr>
        <w:instrText xml:space="preserve"> </w:instrText>
      </w:r>
      <w:r w:rsidRPr="00C93F2B">
        <w:rPr>
          <w:rFonts w:ascii="Calibri" w:hAnsi="Calibri"/>
          <w:sz w:val="16"/>
          <w:szCs w:val="16"/>
        </w:rPr>
        <w:fldChar w:fldCharType="end"/>
      </w:r>
      <w:r w:rsidR="007A3F95" w:rsidRPr="00C93F2B">
        <w:rPr>
          <w:rFonts w:ascii="Calibri" w:hAnsi="Calibri"/>
          <w:sz w:val="16"/>
          <w:szCs w:val="16"/>
        </w:rPr>
        <w:fldChar w:fldCharType="begin"/>
      </w:r>
      <w:r w:rsidR="007A3F95" w:rsidRPr="00C93F2B">
        <w:rPr>
          <w:rFonts w:ascii="Calibri" w:hAnsi="Calibri"/>
          <w:sz w:val="16"/>
          <w:szCs w:val="16"/>
        </w:rPr>
        <w:instrText xml:space="preserve"> &lt;/tm:consolidate-table&gt; </w:instrText>
      </w:r>
      <w:r w:rsidR="007A3F95" w:rsidRPr="00C93F2B">
        <w:rPr>
          <w:rFonts w:ascii="Calibri" w:hAnsi="Calibri"/>
          <w:sz w:val="16"/>
          <w:szCs w:val="16"/>
        </w:rPr>
        <w:fldChar w:fldCharType="end"/>
      </w:r>
      <w:r w:rsidR="00AD2E4D" w:rsidRPr="00AD2E4D">
        <w:rPr>
          <w:rFonts w:ascii="Calibri" w:hAnsi="Calibri"/>
          <w:sz w:val="16"/>
          <w:szCs w:val="16"/>
        </w:rPr>
        <w:fldChar w:fldCharType="begin"/>
      </w:r>
      <w:r w:rsidR="00AD2E4D" w:rsidRPr="00AD2E4D">
        <w:rPr>
          <w:rFonts w:ascii="Calibri" w:hAnsi="Calibri"/>
          <w:sz w:val="16"/>
          <w:szCs w:val="16"/>
        </w:rPr>
        <w:instrText xml:space="preserve"> &lt;/tm:format&gt; </w:instrText>
      </w:r>
      <w:r w:rsidR="00AD2E4D" w:rsidRPr="00AD2E4D">
        <w:rPr>
          <w:rFonts w:ascii="Calibri" w:hAnsi="Calibri"/>
          <w:sz w:val="16"/>
          <w:szCs w:val="16"/>
        </w:rPr>
        <w:fldChar w:fldCharType="end"/>
      </w:r>
    </w:p>
    <w:sectPr w:rsidR="003F63E3" w:rsidRPr="00C93F2B" w:rsidSect="00C93F2B">
      <w:headerReference w:type="default" r:id="rId11"/>
      <w:footerReference w:type="default" r:id="rId12"/>
      <w:pgSz w:w="23814" w:h="16839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95" w:rsidRDefault="00A86E95" w:rsidP="008876D2">
      <w:r>
        <w:separator/>
      </w:r>
    </w:p>
  </w:endnote>
  <w:endnote w:type="continuationSeparator" w:id="0">
    <w:p w:rsidR="00A86E95" w:rsidRDefault="00A86E95" w:rsidP="008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F0" w:rsidRPr="004C0320" w:rsidRDefault="00A86E95" w:rsidP="0038326E">
    <w:pPr>
      <w:pStyle w:val="Footer"/>
      <w:rPr>
        <w:sz w:val="18"/>
      </w:rPr>
    </w:pPr>
    <w:sdt>
      <w:sdtPr>
        <w:rPr>
          <w:rFonts w:ascii="Calibri" w:hAnsi="Calibri"/>
          <w:sz w:val="16"/>
          <w:szCs w:val="16"/>
        </w:rPr>
        <w:alias w:val="Naslov"/>
        <w:tag w:val=""/>
        <w:id w:val="-49767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5618">
          <w:rPr>
            <w:rFonts w:ascii="Calibri" w:hAnsi="Calibri"/>
            <w:sz w:val="16"/>
            <w:szCs w:val="16"/>
          </w:rPr>
          <w:t>2 - Risk and Control Matrix</w:t>
        </w:r>
      </w:sdtContent>
    </w:sdt>
    <w:r w:rsidR="00465FCB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="00465FCB">
      <w:rPr>
        <w:rFonts w:ascii="Calibri" w:hAnsi="Calibri"/>
        <w:sz w:val="16"/>
        <w:szCs w:val="16"/>
      </w:rPr>
      <w:tab/>
      <w:t xml:space="preserve">  </w:t>
    </w:r>
    <w:r w:rsidR="00465FCB">
      <w:rPr>
        <w:rFonts w:ascii="Calibri" w:hAnsi="Calibri"/>
        <w:sz w:val="16"/>
        <w:szCs w:val="16"/>
      </w:rPr>
      <w:tab/>
    </w:r>
    <w:r w:rsidR="004379F0" w:rsidRPr="0038326E">
      <w:rPr>
        <w:rFonts w:ascii="Calibri" w:hAnsi="Calibri"/>
        <w:sz w:val="16"/>
        <w:szCs w:val="16"/>
      </w:rPr>
      <w:fldChar w:fldCharType="begin"/>
    </w:r>
    <w:r w:rsidR="004379F0" w:rsidRPr="0038326E">
      <w:rPr>
        <w:rFonts w:ascii="Calibri" w:hAnsi="Calibri"/>
        <w:sz w:val="16"/>
        <w:szCs w:val="16"/>
      </w:rPr>
      <w:instrText xml:space="preserve"> PAGE  \* MERGEFORMAT </w:instrText>
    </w:r>
    <w:r w:rsidR="004379F0" w:rsidRPr="0038326E">
      <w:rPr>
        <w:rFonts w:ascii="Calibri" w:hAnsi="Calibri"/>
        <w:sz w:val="16"/>
        <w:szCs w:val="16"/>
      </w:rPr>
      <w:fldChar w:fldCharType="separate"/>
    </w:r>
    <w:r w:rsidR="009C38F4">
      <w:rPr>
        <w:rFonts w:ascii="Calibri" w:hAnsi="Calibri"/>
        <w:noProof/>
        <w:sz w:val="16"/>
        <w:szCs w:val="16"/>
      </w:rPr>
      <w:t>2</w:t>
    </w:r>
    <w:r w:rsidR="004379F0" w:rsidRPr="0038326E">
      <w:rPr>
        <w:rFonts w:ascii="Calibri" w:hAnsi="Calibri"/>
        <w:sz w:val="16"/>
        <w:szCs w:val="16"/>
      </w:rPr>
      <w:fldChar w:fldCharType="end"/>
    </w:r>
    <w:r w:rsidR="00465FCB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379F0" w:rsidRPr="0038326E">
      <w:rPr>
        <w:rFonts w:ascii="Calibri" w:hAnsi="Calibri"/>
        <w:sz w:val="16"/>
        <w:szCs w:val="16"/>
      </w:rPr>
      <w:fldChar w:fldCharType="begin"/>
    </w:r>
    <w:r w:rsidR="004379F0" w:rsidRPr="0038326E">
      <w:rPr>
        <w:rFonts w:ascii="Calibri" w:hAnsi="Calibri"/>
        <w:sz w:val="16"/>
        <w:szCs w:val="16"/>
      </w:rPr>
      <w:instrText xml:space="preserve"> CREATEDATE  \@ "d. MMMM yyyy. H:mm:ss"  \* MERGEFORMAT </w:instrText>
    </w:r>
    <w:r w:rsidR="004379F0" w:rsidRPr="0038326E">
      <w:rPr>
        <w:rFonts w:ascii="Calibri" w:hAnsi="Calibri"/>
        <w:sz w:val="16"/>
        <w:szCs w:val="16"/>
      </w:rPr>
      <w:fldChar w:fldCharType="separate"/>
    </w:r>
    <w:r w:rsidR="009B5618" w:rsidRPr="009B5618">
      <w:rPr>
        <w:rFonts w:ascii="Calibri" w:hAnsi="Calibri"/>
        <w:noProof/>
        <w:sz w:val="16"/>
        <w:szCs w:val="16"/>
        <w:lang w:val="fr-FR"/>
      </w:rPr>
      <w:t>16. svibanj 2018. 10:52</w:t>
    </w:r>
    <w:r w:rsidR="009B5618">
      <w:rPr>
        <w:rFonts w:ascii="Calibri" w:hAnsi="Calibri"/>
        <w:noProof/>
        <w:sz w:val="16"/>
        <w:szCs w:val="16"/>
      </w:rPr>
      <w:t>:00</w:t>
    </w:r>
    <w:r w:rsidR="004379F0" w:rsidRPr="0038326E">
      <w:rPr>
        <w:rFonts w:ascii="Calibri" w:hAnsi="Calibri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95" w:rsidRDefault="00A86E95" w:rsidP="008876D2">
      <w:r>
        <w:separator/>
      </w:r>
    </w:p>
  </w:footnote>
  <w:footnote w:type="continuationSeparator" w:id="0">
    <w:p w:rsidR="00A86E95" w:rsidRDefault="00A86E95" w:rsidP="0088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21689" w:type="dxa"/>
      <w:tblInd w:w="-169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437"/>
      <w:gridCol w:w="1987"/>
      <w:gridCol w:w="6030"/>
      <w:gridCol w:w="1260"/>
      <w:gridCol w:w="9975"/>
    </w:tblGrid>
    <w:tr w:rsidR="004379F0" w:rsidRPr="00B21210" w:rsidTr="005E7BEF">
      <w:trPr>
        <w:trHeight w:val="432"/>
      </w:trPr>
      <w:tc>
        <w:tcPr>
          <w:tcW w:w="2437" w:type="dxa"/>
          <w:vMerge w:val="restart"/>
          <w:tcBorders>
            <w:right w:val="nil"/>
          </w:tcBorders>
        </w:tcPr>
        <w:p w:rsidR="004379F0" w:rsidRPr="00B21210" w:rsidRDefault="004379F0" w:rsidP="00073DE9">
          <w:r w:rsidRPr="00B21210">
            <w:rPr>
              <w:noProof/>
              <w:lang w:eastAsia="hr-HR"/>
            </w:rPr>
            <w:drawing>
              <wp:inline distT="0" distB="0" distL="0" distR="0" wp14:anchorId="26CB5C85" wp14:editId="62A924F1">
                <wp:extent cx="1371600" cy="676275"/>
                <wp:effectExtent l="0" t="0" r="0" b="9525"/>
                <wp:docPr id="1" name="Picture 1" descr="logo_ec_17_colors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c_17_colors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tcBorders>
            <w:left w:val="nil"/>
            <w:bottom w:val="nil"/>
          </w:tcBorders>
          <w:vAlign w:val="center"/>
        </w:tcPr>
        <w:p w:rsidR="004379F0" w:rsidRPr="00D44540" w:rsidRDefault="004379F0" w:rsidP="00073DE9">
          <w:pPr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EUROPSKA KOMISIJA</w:t>
          </w:r>
        </w:p>
      </w:tc>
      <w:tc>
        <w:tcPr>
          <w:tcW w:w="6030" w:type="dxa"/>
          <w:vMerge w:val="restart"/>
          <w:vAlign w:val="center"/>
        </w:tcPr>
        <w:p w:rsidR="004379F0" w:rsidRPr="00D44540" w:rsidRDefault="004379F0" w:rsidP="00073DE9">
          <w:pPr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MATRICA RIZIKA I KONTROLA</w:t>
          </w:r>
        </w:p>
        <w:p w:rsidR="004379F0" w:rsidRPr="00E87217" w:rsidRDefault="004379F0" w:rsidP="00073DE9">
          <w:pPr>
            <w:jc w:val="center"/>
            <w:rPr>
              <w:sz w:val="22"/>
              <w:szCs w:val="22"/>
              <w:lang w:val="fr-FR"/>
            </w:rPr>
          </w:pPr>
        </w:p>
      </w:tc>
      <w:tc>
        <w:tcPr>
          <w:tcW w:w="1260" w:type="dxa"/>
          <w:tcBorders>
            <w:bottom w:val="nil"/>
          </w:tcBorders>
          <w:vAlign w:val="center"/>
        </w:tcPr>
        <w:p w:rsidR="004379F0" w:rsidRPr="00D44540" w:rsidRDefault="004379F0" w:rsidP="00073DE9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Revizija</w:t>
          </w:r>
        </w:p>
      </w:tc>
      <w:tc>
        <w:tcPr>
          <w:tcW w:w="9975" w:type="dxa"/>
          <w:tcBorders>
            <w:bottom w:val="nil"/>
          </w:tcBorders>
          <w:vAlign w:val="center"/>
        </w:tcPr>
        <w:p w:rsidR="004379F0" w:rsidRPr="00D44540" w:rsidRDefault="00B3259B" w:rsidP="00073DE9">
          <w:pPr>
            <w:rPr>
              <w:rFonts w:ascii="Calibri" w:hAnsi="Calibri"/>
              <w:sz w:val="22"/>
              <w:szCs w:val="22"/>
            </w:rPr>
          </w:pPr>
          <w:r>
            <w:t>Nabava u GU X</w:t>
          </w:r>
          <w:r w:rsidR="004379F0" w:rsidRPr="00D44540">
            <w:rPr>
              <w:rFonts w:ascii="Calibri" w:hAnsi="Calibri"/>
              <w:sz w:val="22"/>
              <w:szCs w:val="22"/>
            </w:rPr>
            <w:fldChar w:fldCharType="begin"/>
          </w:r>
          <w:r w:rsidR="004379F0" w:rsidRPr="00D44540">
            <w:rPr>
              <w:rFonts w:ascii="Calibri" w:hAnsi="Calibri"/>
              <w:sz w:val="22"/>
              <w:szCs w:val="22"/>
            </w:rPr>
            <w:instrText xml:space="preserve"> &lt;xsl:value-of select="TmData/PROJECT/INFO/NAME"/&gt; </w:instrText>
          </w:r>
          <w:r w:rsidR="004379F0" w:rsidRPr="00D44540">
            <w:rPr>
              <w:rFonts w:ascii="Calibri" w:hAnsi="Calibri"/>
              <w:sz w:val="22"/>
              <w:szCs w:val="22"/>
            </w:rPr>
            <w:fldChar w:fldCharType="end"/>
          </w:r>
        </w:p>
      </w:tc>
    </w:tr>
    <w:tr w:rsidR="004379F0" w:rsidRPr="00B21210" w:rsidTr="005E7BEF">
      <w:trPr>
        <w:trHeight w:val="20"/>
      </w:trPr>
      <w:tc>
        <w:tcPr>
          <w:tcW w:w="2437" w:type="dxa"/>
          <w:vMerge/>
          <w:tcBorders>
            <w:right w:val="nil"/>
          </w:tcBorders>
        </w:tcPr>
        <w:p w:rsidR="004379F0" w:rsidRPr="00B21210" w:rsidRDefault="004379F0" w:rsidP="00073DE9"/>
      </w:tc>
      <w:tc>
        <w:tcPr>
          <w:tcW w:w="1987" w:type="dxa"/>
          <w:tcBorders>
            <w:top w:val="nil"/>
            <w:left w:val="nil"/>
            <w:bottom w:val="nil"/>
          </w:tcBorders>
          <w:vAlign w:val="center"/>
        </w:tcPr>
        <w:p w:rsidR="004379F0" w:rsidRPr="00B21210" w:rsidRDefault="004379F0" w:rsidP="00073DE9"/>
      </w:tc>
      <w:tc>
        <w:tcPr>
          <w:tcW w:w="6030" w:type="dxa"/>
          <w:vMerge/>
        </w:tcPr>
        <w:p w:rsidR="004379F0" w:rsidRPr="00B21210" w:rsidRDefault="004379F0" w:rsidP="00073DE9"/>
      </w:tc>
      <w:tc>
        <w:tcPr>
          <w:tcW w:w="1260" w:type="dxa"/>
          <w:tcBorders>
            <w:top w:val="nil"/>
          </w:tcBorders>
          <w:vAlign w:val="center"/>
        </w:tcPr>
        <w:p w:rsidR="004379F0" w:rsidRPr="00D44540" w:rsidRDefault="004379F0" w:rsidP="00073DE9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9975" w:type="dxa"/>
          <w:tcBorders>
            <w:top w:val="nil"/>
          </w:tcBorders>
          <w:vAlign w:val="center"/>
        </w:tcPr>
        <w:p w:rsidR="004379F0" w:rsidRPr="00D44540" w:rsidRDefault="004379F0" w:rsidP="00073DE9">
          <w:pPr>
            <w:rPr>
              <w:rFonts w:ascii="Calibri" w:hAnsi="Calibri"/>
              <w:sz w:val="22"/>
              <w:szCs w:val="22"/>
            </w:rPr>
          </w:pPr>
        </w:p>
      </w:tc>
    </w:tr>
    <w:tr w:rsidR="004379F0" w:rsidRPr="00B21210" w:rsidTr="005E7BEF">
      <w:trPr>
        <w:trHeight w:val="908"/>
      </w:trPr>
      <w:tc>
        <w:tcPr>
          <w:tcW w:w="2437" w:type="dxa"/>
          <w:vMerge/>
          <w:tcBorders>
            <w:right w:val="nil"/>
          </w:tcBorders>
        </w:tcPr>
        <w:p w:rsidR="004379F0" w:rsidRPr="00B21210" w:rsidRDefault="004379F0" w:rsidP="00073DE9"/>
      </w:tc>
      <w:tc>
        <w:tcPr>
          <w:tcW w:w="1987" w:type="dxa"/>
          <w:tcBorders>
            <w:top w:val="nil"/>
            <w:left w:val="nil"/>
          </w:tcBorders>
        </w:tcPr>
        <w:p w:rsidR="004379F0" w:rsidRPr="00D44540" w:rsidRDefault="004379F0" w:rsidP="00073DE9">
          <w:pPr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SLUŽBA ZA UNUTARNJU REVIZIJU (IAS)</w:t>
          </w:r>
        </w:p>
      </w:tc>
      <w:tc>
        <w:tcPr>
          <w:tcW w:w="6030" w:type="dxa"/>
          <w:vMerge/>
        </w:tcPr>
        <w:p w:rsidR="004379F0" w:rsidRPr="00B21210" w:rsidRDefault="004379F0" w:rsidP="00073DE9"/>
      </w:tc>
      <w:tc>
        <w:tcPr>
          <w:tcW w:w="1260" w:type="dxa"/>
          <w:vAlign w:val="center"/>
        </w:tcPr>
        <w:p w:rsidR="004379F0" w:rsidRPr="00D44540" w:rsidRDefault="004379F0" w:rsidP="00073DE9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Predmet:</w:t>
          </w:r>
        </w:p>
      </w:tc>
      <w:tc>
        <w:tcPr>
          <w:tcW w:w="9975" w:type="dxa"/>
          <w:vAlign w:val="center"/>
        </w:tcPr>
        <w:p w:rsidR="004379F0" w:rsidRPr="00D44540" w:rsidRDefault="004379F0" w:rsidP="00073DE9">
          <w:pPr>
            <w:rPr>
              <w:rFonts w:ascii="Calibri" w:hAnsi="Calibri"/>
              <w:sz w:val="22"/>
              <w:szCs w:val="22"/>
            </w:rPr>
          </w:pPr>
          <w:r w:rsidRPr="00D44540">
            <w:rPr>
              <w:rFonts w:ascii="Calibri" w:hAnsi="Calibri"/>
              <w:sz w:val="22"/>
              <w:szCs w:val="22"/>
            </w:rPr>
            <w:fldChar w:fldCharType="begin"/>
          </w:r>
          <w:r w:rsidRPr="00D44540">
            <w:rPr>
              <w:rFonts w:ascii="Calibri" w:hAnsi="Calibri"/>
              <w:sz w:val="22"/>
              <w:szCs w:val="22"/>
            </w:rPr>
            <w:instrText xml:space="preserve"> &lt;xsl:value-of select="TmData/PROJECT/INFO/CODE"/&gt; </w:instrText>
          </w:r>
          <w:r w:rsidRPr="00D44540">
            <w:rPr>
              <w:rFonts w:ascii="Calibri" w:hAnsi="Calibri"/>
              <w:sz w:val="22"/>
              <w:szCs w:val="22"/>
            </w:rPr>
            <w:fldChar w:fldCharType="end"/>
          </w:r>
        </w:p>
      </w:tc>
    </w:tr>
  </w:tbl>
  <w:p w:rsidR="004379F0" w:rsidRPr="005E7BEF" w:rsidRDefault="004379F0" w:rsidP="005E7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A5F"/>
    <w:multiLevelType w:val="multilevel"/>
    <w:tmpl w:val="33CC8AF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3B0E54"/>
    <w:multiLevelType w:val="multilevel"/>
    <w:tmpl w:val="2428903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46"/>
    <w:rsid w:val="000016E6"/>
    <w:rsid w:val="00002B4F"/>
    <w:rsid w:val="0001240F"/>
    <w:rsid w:val="000128BF"/>
    <w:rsid w:val="000203D8"/>
    <w:rsid w:val="000444DC"/>
    <w:rsid w:val="00056E67"/>
    <w:rsid w:val="00073DE9"/>
    <w:rsid w:val="00077C20"/>
    <w:rsid w:val="000847CE"/>
    <w:rsid w:val="000A393C"/>
    <w:rsid w:val="000C3929"/>
    <w:rsid w:val="000F284A"/>
    <w:rsid w:val="000F5399"/>
    <w:rsid w:val="001027DC"/>
    <w:rsid w:val="001111C9"/>
    <w:rsid w:val="00112085"/>
    <w:rsid w:val="0011347F"/>
    <w:rsid w:val="00116E33"/>
    <w:rsid w:val="001553AB"/>
    <w:rsid w:val="00155754"/>
    <w:rsid w:val="00171AD5"/>
    <w:rsid w:val="0017512B"/>
    <w:rsid w:val="00184724"/>
    <w:rsid w:val="001A1AE9"/>
    <w:rsid w:val="001B1321"/>
    <w:rsid w:val="001B1B73"/>
    <w:rsid w:val="001C2725"/>
    <w:rsid w:val="001C321C"/>
    <w:rsid w:val="001C700F"/>
    <w:rsid w:val="001F4775"/>
    <w:rsid w:val="001F49E2"/>
    <w:rsid w:val="001F66A1"/>
    <w:rsid w:val="0020259D"/>
    <w:rsid w:val="00211A46"/>
    <w:rsid w:val="0026511F"/>
    <w:rsid w:val="00280F54"/>
    <w:rsid w:val="002846D3"/>
    <w:rsid w:val="00286742"/>
    <w:rsid w:val="00286DD9"/>
    <w:rsid w:val="00290596"/>
    <w:rsid w:val="0029280D"/>
    <w:rsid w:val="00294C70"/>
    <w:rsid w:val="002A4162"/>
    <w:rsid w:val="002A5B73"/>
    <w:rsid w:val="002F04FA"/>
    <w:rsid w:val="002F061D"/>
    <w:rsid w:val="003104B2"/>
    <w:rsid w:val="00312139"/>
    <w:rsid w:val="00344BF2"/>
    <w:rsid w:val="00353BA7"/>
    <w:rsid w:val="00363BBB"/>
    <w:rsid w:val="003768B6"/>
    <w:rsid w:val="0037750B"/>
    <w:rsid w:val="00381979"/>
    <w:rsid w:val="0038326E"/>
    <w:rsid w:val="00384928"/>
    <w:rsid w:val="003C56AB"/>
    <w:rsid w:val="003D4D36"/>
    <w:rsid w:val="003F1763"/>
    <w:rsid w:val="003F63E3"/>
    <w:rsid w:val="00413C96"/>
    <w:rsid w:val="004379F0"/>
    <w:rsid w:val="00447609"/>
    <w:rsid w:val="00447F59"/>
    <w:rsid w:val="0045019D"/>
    <w:rsid w:val="00465FCB"/>
    <w:rsid w:val="00486E1E"/>
    <w:rsid w:val="00491279"/>
    <w:rsid w:val="004A214B"/>
    <w:rsid w:val="004A57D7"/>
    <w:rsid w:val="004B675B"/>
    <w:rsid w:val="004C0320"/>
    <w:rsid w:val="004D0FE8"/>
    <w:rsid w:val="004D5F7D"/>
    <w:rsid w:val="005152AB"/>
    <w:rsid w:val="005718B9"/>
    <w:rsid w:val="00576B44"/>
    <w:rsid w:val="00584742"/>
    <w:rsid w:val="0058571F"/>
    <w:rsid w:val="005970B7"/>
    <w:rsid w:val="005A480A"/>
    <w:rsid w:val="005B1CF0"/>
    <w:rsid w:val="005C08D9"/>
    <w:rsid w:val="005D799C"/>
    <w:rsid w:val="005E7BEF"/>
    <w:rsid w:val="006167C5"/>
    <w:rsid w:val="0062022D"/>
    <w:rsid w:val="006309C8"/>
    <w:rsid w:val="00642822"/>
    <w:rsid w:val="00645F06"/>
    <w:rsid w:val="00657FB1"/>
    <w:rsid w:val="00662C1D"/>
    <w:rsid w:val="0066716E"/>
    <w:rsid w:val="006A1465"/>
    <w:rsid w:val="006B1B90"/>
    <w:rsid w:val="006B29EF"/>
    <w:rsid w:val="006C577B"/>
    <w:rsid w:val="006C5828"/>
    <w:rsid w:val="006D4BEB"/>
    <w:rsid w:val="00703002"/>
    <w:rsid w:val="00703817"/>
    <w:rsid w:val="00721DDB"/>
    <w:rsid w:val="0074108E"/>
    <w:rsid w:val="007630E6"/>
    <w:rsid w:val="007A3F95"/>
    <w:rsid w:val="007C1142"/>
    <w:rsid w:val="007C241D"/>
    <w:rsid w:val="007C7FA1"/>
    <w:rsid w:val="007D0827"/>
    <w:rsid w:val="007D6C27"/>
    <w:rsid w:val="007F41E4"/>
    <w:rsid w:val="007F6AB6"/>
    <w:rsid w:val="00827405"/>
    <w:rsid w:val="008300F6"/>
    <w:rsid w:val="00851994"/>
    <w:rsid w:val="008633E9"/>
    <w:rsid w:val="0087338F"/>
    <w:rsid w:val="00883B7B"/>
    <w:rsid w:val="008876D2"/>
    <w:rsid w:val="008A6E8E"/>
    <w:rsid w:val="008D5E5F"/>
    <w:rsid w:val="009169DD"/>
    <w:rsid w:val="009223CA"/>
    <w:rsid w:val="00952346"/>
    <w:rsid w:val="00965610"/>
    <w:rsid w:val="00993973"/>
    <w:rsid w:val="009A63B7"/>
    <w:rsid w:val="009B5618"/>
    <w:rsid w:val="009C38F4"/>
    <w:rsid w:val="009C6E11"/>
    <w:rsid w:val="009D24DA"/>
    <w:rsid w:val="009E1648"/>
    <w:rsid w:val="009E4711"/>
    <w:rsid w:val="009E51BF"/>
    <w:rsid w:val="009F0F1D"/>
    <w:rsid w:val="009F518C"/>
    <w:rsid w:val="00A01281"/>
    <w:rsid w:val="00A17999"/>
    <w:rsid w:val="00A20A12"/>
    <w:rsid w:val="00A4272F"/>
    <w:rsid w:val="00A5485C"/>
    <w:rsid w:val="00A55A18"/>
    <w:rsid w:val="00A60304"/>
    <w:rsid w:val="00A61569"/>
    <w:rsid w:val="00A64842"/>
    <w:rsid w:val="00A70513"/>
    <w:rsid w:val="00A86E95"/>
    <w:rsid w:val="00A94353"/>
    <w:rsid w:val="00AA115A"/>
    <w:rsid w:val="00AB4A07"/>
    <w:rsid w:val="00AC12F7"/>
    <w:rsid w:val="00AC69A2"/>
    <w:rsid w:val="00AD2E4D"/>
    <w:rsid w:val="00AE34E8"/>
    <w:rsid w:val="00B01ED0"/>
    <w:rsid w:val="00B05815"/>
    <w:rsid w:val="00B070A6"/>
    <w:rsid w:val="00B134A0"/>
    <w:rsid w:val="00B3259B"/>
    <w:rsid w:val="00B341FD"/>
    <w:rsid w:val="00B360EC"/>
    <w:rsid w:val="00B36471"/>
    <w:rsid w:val="00B56F29"/>
    <w:rsid w:val="00B64D98"/>
    <w:rsid w:val="00B71ABF"/>
    <w:rsid w:val="00B7267E"/>
    <w:rsid w:val="00B9766D"/>
    <w:rsid w:val="00BA08DA"/>
    <w:rsid w:val="00BA3674"/>
    <w:rsid w:val="00BC421B"/>
    <w:rsid w:val="00BE16DD"/>
    <w:rsid w:val="00BE69C9"/>
    <w:rsid w:val="00C03E46"/>
    <w:rsid w:val="00C13193"/>
    <w:rsid w:val="00C17870"/>
    <w:rsid w:val="00C22EAF"/>
    <w:rsid w:val="00C2723D"/>
    <w:rsid w:val="00C33674"/>
    <w:rsid w:val="00C34B8D"/>
    <w:rsid w:val="00C43219"/>
    <w:rsid w:val="00C71D26"/>
    <w:rsid w:val="00C86F3B"/>
    <w:rsid w:val="00C93F2B"/>
    <w:rsid w:val="00CA6AC8"/>
    <w:rsid w:val="00CE3E7A"/>
    <w:rsid w:val="00D20197"/>
    <w:rsid w:val="00D34A9C"/>
    <w:rsid w:val="00D441CF"/>
    <w:rsid w:val="00D44540"/>
    <w:rsid w:val="00D62F37"/>
    <w:rsid w:val="00D70F6C"/>
    <w:rsid w:val="00D77BA6"/>
    <w:rsid w:val="00D8053A"/>
    <w:rsid w:val="00D85960"/>
    <w:rsid w:val="00DB3AC1"/>
    <w:rsid w:val="00DB64BF"/>
    <w:rsid w:val="00DF3A93"/>
    <w:rsid w:val="00E430F2"/>
    <w:rsid w:val="00E450A3"/>
    <w:rsid w:val="00E52402"/>
    <w:rsid w:val="00E547FD"/>
    <w:rsid w:val="00EB0578"/>
    <w:rsid w:val="00EC1E73"/>
    <w:rsid w:val="00F00F70"/>
    <w:rsid w:val="00F03D6F"/>
    <w:rsid w:val="00F108A8"/>
    <w:rsid w:val="00F22160"/>
    <w:rsid w:val="00F22E82"/>
    <w:rsid w:val="00F309A3"/>
    <w:rsid w:val="00F342EC"/>
    <w:rsid w:val="00F35A40"/>
    <w:rsid w:val="00F53ACC"/>
    <w:rsid w:val="00F64902"/>
    <w:rsid w:val="00F90B40"/>
    <w:rsid w:val="00F94E8D"/>
    <w:rsid w:val="00FB0E56"/>
    <w:rsid w:val="00FE20E8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111C9"/>
  </w:style>
  <w:style w:type="character" w:customStyle="1" w:styleId="sbc759eb91">
    <w:name w:val="s_bc759eb91"/>
    <w:basedOn w:val="DefaultParagraphFont"/>
    <w:qFormat/>
    <w:rsid w:val="00BC421B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FB0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D2"/>
    <w:rPr>
      <w:rFonts w:ascii="Arial" w:hAnsi="Arial"/>
      <w:sz w:val="24"/>
    </w:rPr>
  </w:style>
  <w:style w:type="paragraph" w:customStyle="1" w:styleId="MyStyleEntityTitle">
    <w:name w:val="MyStyleEntityTitle"/>
    <w:basedOn w:val="Normal"/>
    <w:qFormat/>
    <w:rsid w:val="0062022D"/>
  </w:style>
  <w:style w:type="paragraph" w:customStyle="1" w:styleId="MyStyleRiskTitle">
    <w:name w:val="MyStyleRiskTitle"/>
    <w:basedOn w:val="Normal"/>
    <w:qFormat/>
    <w:rsid w:val="00A64842"/>
  </w:style>
  <w:style w:type="character" w:customStyle="1" w:styleId="apple-converted-space">
    <w:name w:val="apple-converted-space"/>
    <w:basedOn w:val="DefaultParagraphFont"/>
    <w:rsid w:val="00657FB1"/>
  </w:style>
  <w:style w:type="paragraph" w:styleId="BalloonText">
    <w:name w:val="Balloon Text"/>
    <w:basedOn w:val="Normal"/>
    <w:link w:val="BalloonTextChar"/>
    <w:uiPriority w:val="99"/>
    <w:semiHidden/>
    <w:unhideWhenUsed/>
    <w:rsid w:val="007D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1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4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111C9"/>
  </w:style>
  <w:style w:type="character" w:customStyle="1" w:styleId="sbc759eb91">
    <w:name w:val="s_bc759eb91"/>
    <w:basedOn w:val="DefaultParagraphFont"/>
    <w:qFormat/>
    <w:rsid w:val="00BC421B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FB0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D2"/>
    <w:rPr>
      <w:rFonts w:ascii="Arial" w:hAnsi="Arial"/>
      <w:sz w:val="24"/>
    </w:rPr>
  </w:style>
  <w:style w:type="paragraph" w:customStyle="1" w:styleId="MyStyleEntityTitle">
    <w:name w:val="MyStyleEntityTitle"/>
    <w:basedOn w:val="Normal"/>
    <w:qFormat/>
    <w:rsid w:val="0062022D"/>
  </w:style>
  <w:style w:type="paragraph" w:customStyle="1" w:styleId="MyStyleRiskTitle">
    <w:name w:val="MyStyleRiskTitle"/>
    <w:basedOn w:val="Normal"/>
    <w:qFormat/>
    <w:rsid w:val="00A64842"/>
  </w:style>
  <w:style w:type="character" w:customStyle="1" w:styleId="apple-converted-space">
    <w:name w:val="apple-converted-space"/>
    <w:basedOn w:val="DefaultParagraphFont"/>
    <w:rsid w:val="00657FB1"/>
  </w:style>
  <w:style w:type="paragraph" w:styleId="BalloonText">
    <w:name w:val="Balloon Text"/>
    <w:basedOn w:val="Normal"/>
    <w:link w:val="BalloonTextChar"/>
    <w:uiPriority w:val="99"/>
    <w:semiHidden/>
    <w:unhideWhenUsed/>
    <w:rsid w:val="007D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FB20-80E9-47AE-91E4-1B913E80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Risk and Control Matrix</vt:lpstr>
    </vt:vector>
  </TitlesOfParts>
  <Company>European Commission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Risk and Control Matrix</dc:title>
  <dc:subject>XML 4</dc:subject>
  <dc:creator>BARBERO Mirco (IAS)</dc:creator>
  <cp:lastModifiedBy>DELL</cp:lastModifiedBy>
  <cp:revision>5</cp:revision>
  <dcterms:created xsi:type="dcterms:W3CDTF">2018-05-16T08:52:00Z</dcterms:created>
  <dcterms:modified xsi:type="dcterms:W3CDTF">2018-05-29T09:18:00Z</dcterms:modified>
</cp:coreProperties>
</file>