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97" w:rsidRPr="00BB41A9" w:rsidRDefault="00457B97" w:rsidP="00457B97">
      <w:pPr>
        <w:spacing w:after="200" w:line="276" w:lineRule="auto"/>
        <w:rPr>
          <w:rFonts w:ascii="Times New Roman" w:eastAsia="Calibri" w:hAnsi="Times New Roman"/>
          <w:b/>
          <w:lang w:val="en-GB"/>
        </w:rPr>
      </w:pPr>
      <w:r w:rsidRPr="00BB41A9">
        <w:rPr>
          <w:rFonts w:ascii="Times New Roman" w:eastAsia="Calibri" w:hAnsi="Times New Roman"/>
          <w:b/>
          <w:lang w:val="en-GB"/>
        </w:rPr>
        <w:t xml:space="preserve">FMC assessment Matrix </w:t>
      </w:r>
      <w:r>
        <w:rPr>
          <w:rFonts w:ascii="Times New Roman" w:eastAsia="Calibri" w:hAnsi="Times New Roman"/>
          <w:b/>
          <w:lang w:val="en-GB"/>
        </w:rPr>
        <w:t>(segment)</w:t>
      </w:r>
      <w:bookmarkStart w:id="0" w:name="_GoBack"/>
      <w:bookmarkEnd w:id="0"/>
    </w:p>
    <w:tbl>
      <w:tblPr>
        <w:tblW w:w="15593"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85"/>
        <w:gridCol w:w="2268"/>
        <w:gridCol w:w="3261"/>
        <w:gridCol w:w="2125"/>
        <w:gridCol w:w="3685"/>
      </w:tblGrid>
      <w:tr w:rsidR="00457B97" w:rsidRPr="00BB41A9" w:rsidTr="00457B97">
        <w:trPr>
          <w:trHeight w:val="310"/>
          <w:tblHeader/>
        </w:trPr>
        <w:tc>
          <w:tcPr>
            <w:tcW w:w="2269" w:type="dxa"/>
            <w:shd w:val="clear" w:color="000000" w:fill="E2EFD9"/>
            <w:noWrap/>
            <w:vAlign w:val="center"/>
            <w:hideMark/>
          </w:tcPr>
          <w:p w:rsidR="00457B97" w:rsidRPr="00BB41A9" w:rsidRDefault="00457B97" w:rsidP="0077038D">
            <w:pPr>
              <w:jc w:val="center"/>
              <w:rPr>
                <w:rFonts w:eastAsia="Times New Roman"/>
                <w:b/>
                <w:bCs/>
                <w:color w:val="000000"/>
                <w:sz w:val="18"/>
                <w:szCs w:val="28"/>
                <w:lang w:val="en-GB"/>
              </w:rPr>
            </w:pPr>
            <w:r w:rsidRPr="00BB41A9">
              <w:rPr>
                <w:rFonts w:eastAsia="Times New Roman"/>
                <w:b/>
                <w:bCs/>
                <w:color w:val="000000"/>
                <w:sz w:val="18"/>
                <w:szCs w:val="28"/>
                <w:lang w:val="en-GB"/>
              </w:rPr>
              <w:t xml:space="preserve">Key components </w:t>
            </w:r>
          </w:p>
          <w:p w:rsidR="00457B97" w:rsidRPr="00BB41A9" w:rsidRDefault="00457B97" w:rsidP="0077038D">
            <w:pPr>
              <w:jc w:val="center"/>
              <w:rPr>
                <w:rFonts w:eastAsia="Times New Roman"/>
                <w:b/>
                <w:bCs/>
                <w:color w:val="000000"/>
                <w:sz w:val="18"/>
                <w:szCs w:val="28"/>
                <w:lang w:val="en-GB"/>
              </w:rPr>
            </w:pPr>
            <w:r w:rsidRPr="00BB41A9">
              <w:rPr>
                <w:rFonts w:eastAsia="Times New Roman"/>
                <w:b/>
                <w:bCs/>
                <w:color w:val="000000"/>
                <w:sz w:val="18"/>
                <w:szCs w:val="28"/>
                <w:lang w:val="en-GB"/>
              </w:rPr>
              <w:t>internal control</w:t>
            </w:r>
          </w:p>
        </w:tc>
        <w:tc>
          <w:tcPr>
            <w:tcW w:w="1985" w:type="dxa"/>
            <w:shd w:val="clear" w:color="000000" w:fill="E2EFD9"/>
            <w:noWrap/>
            <w:vAlign w:val="center"/>
            <w:hideMark/>
          </w:tcPr>
          <w:p w:rsidR="00457B97" w:rsidRPr="00BB41A9" w:rsidRDefault="00457B97" w:rsidP="0077038D">
            <w:pPr>
              <w:jc w:val="center"/>
              <w:rPr>
                <w:rFonts w:eastAsia="Times New Roman"/>
                <w:b/>
                <w:bCs/>
                <w:color w:val="000000"/>
                <w:sz w:val="18"/>
                <w:szCs w:val="28"/>
                <w:lang w:val="en-GB"/>
              </w:rPr>
            </w:pPr>
            <w:r w:rsidRPr="00BB41A9">
              <w:rPr>
                <w:rFonts w:eastAsia="Times New Roman"/>
                <w:b/>
                <w:bCs/>
                <w:color w:val="000000"/>
                <w:sz w:val="18"/>
                <w:szCs w:val="28"/>
                <w:lang w:val="en-GB"/>
              </w:rPr>
              <w:t>Key variables</w:t>
            </w:r>
          </w:p>
        </w:tc>
        <w:tc>
          <w:tcPr>
            <w:tcW w:w="2268" w:type="dxa"/>
            <w:shd w:val="clear" w:color="000000" w:fill="E2EFD9"/>
            <w:noWrap/>
            <w:vAlign w:val="center"/>
            <w:hideMark/>
          </w:tcPr>
          <w:p w:rsidR="00457B97" w:rsidRPr="00BB41A9" w:rsidRDefault="00457B97" w:rsidP="0077038D">
            <w:pPr>
              <w:jc w:val="center"/>
              <w:rPr>
                <w:rFonts w:eastAsia="Times New Roman"/>
                <w:b/>
                <w:bCs/>
                <w:color w:val="000000"/>
                <w:sz w:val="18"/>
                <w:szCs w:val="28"/>
                <w:lang w:val="en-GB"/>
              </w:rPr>
            </w:pPr>
            <w:r w:rsidRPr="00BB41A9">
              <w:rPr>
                <w:rFonts w:eastAsia="Times New Roman"/>
                <w:b/>
                <w:bCs/>
                <w:color w:val="000000"/>
                <w:sz w:val="18"/>
                <w:szCs w:val="28"/>
                <w:lang w:val="en-GB"/>
              </w:rPr>
              <w:t>Assessment aspects</w:t>
            </w:r>
          </w:p>
        </w:tc>
        <w:tc>
          <w:tcPr>
            <w:tcW w:w="3261" w:type="dxa"/>
            <w:shd w:val="clear" w:color="000000" w:fill="E2EFD9"/>
            <w:noWrap/>
            <w:vAlign w:val="center"/>
            <w:hideMark/>
          </w:tcPr>
          <w:p w:rsidR="00457B97" w:rsidRPr="00BB41A9" w:rsidRDefault="00457B97" w:rsidP="0077038D">
            <w:pPr>
              <w:jc w:val="center"/>
              <w:rPr>
                <w:rFonts w:eastAsia="Times New Roman"/>
                <w:b/>
                <w:bCs/>
                <w:color w:val="000000"/>
                <w:sz w:val="18"/>
                <w:szCs w:val="28"/>
                <w:lang w:val="en-GB"/>
              </w:rPr>
            </w:pPr>
            <w:r w:rsidRPr="00BB41A9">
              <w:rPr>
                <w:rFonts w:eastAsia="Times New Roman"/>
                <w:b/>
                <w:bCs/>
                <w:color w:val="000000"/>
                <w:sz w:val="18"/>
                <w:szCs w:val="28"/>
                <w:lang w:val="en-GB"/>
              </w:rPr>
              <w:t>Indicators</w:t>
            </w:r>
          </w:p>
        </w:tc>
        <w:tc>
          <w:tcPr>
            <w:tcW w:w="2125" w:type="dxa"/>
            <w:shd w:val="clear" w:color="000000" w:fill="E2EFD9"/>
            <w:noWrap/>
            <w:vAlign w:val="center"/>
            <w:hideMark/>
          </w:tcPr>
          <w:p w:rsidR="00457B97" w:rsidRPr="00BB41A9" w:rsidRDefault="00457B97" w:rsidP="0077038D">
            <w:pPr>
              <w:jc w:val="center"/>
              <w:rPr>
                <w:rFonts w:eastAsia="Times New Roman"/>
                <w:b/>
                <w:bCs/>
                <w:color w:val="000000"/>
                <w:sz w:val="18"/>
                <w:szCs w:val="28"/>
                <w:lang w:val="en-GB"/>
              </w:rPr>
            </w:pPr>
            <w:r w:rsidRPr="00BB41A9">
              <w:rPr>
                <w:rFonts w:eastAsia="Times New Roman"/>
                <w:b/>
                <w:bCs/>
                <w:color w:val="000000"/>
                <w:sz w:val="18"/>
                <w:szCs w:val="28"/>
                <w:lang w:val="en-GB"/>
              </w:rPr>
              <w:t>Sources</w:t>
            </w:r>
          </w:p>
        </w:tc>
        <w:tc>
          <w:tcPr>
            <w:tcW w:w="3685" w:type="dxa"/>
            <w:shd w:val="clear" w:color="000000" w:fill="E2EFD9"/>
            <w:vAlign w:val="center"/>
            <w:hideMark/>
          </w:tcPr>
          <w:p w:rsidR="00457B97" w:rsidRPr="00BB41A9" w:rsidRDefault="00457B97" w:rsidP="0077038D">
            <w:pPr>
              <w:jc w:val="center"/>
              <w:rPr>
                <w:rFonts w:eastAsia="Times New Roman"/>
                <w:color w:val="000000"/>
                <w:sz w:val="18"/>
                <w:szCs w:val="28"/>
                <w:lang w:val="en-GB"/>
              </w:rPr>
            </w:pPr>
            <w:r w:rsidRPr="00BB41A9">
              <w:rPr>
                <w:rFonts w:eastAsia="Times New Roman"/>
                <w:b/>
                <w:bCs/>
                <w:color w:val="000000"/>
                <w:sz w:val="18"/>
                <w:szCs w:val="28"/>
                <w:lang w:val="en-GB"/>
              </w:rPr>
              <w:t>Methodological approach</w:t>
            </w:r>
            <w:r w:rsidRPr="00BB41A9">
              <w:rPr>
                <w:rFonts w:eastAsia="Times New Roman"/>
                <w:color w:val="000000"/>
                <w:sz w:val="18"/>
                <w:szCs w:val="28"/>
                <w:lang w:val="en-GB"/>
              </w:rPr>
              <w:t xml:space="preserve"> </w:t>
            </w:r>
          </w:p>
        </w:tc>
      </w:tr>
      <w:tr w:rsidR="00457B97" w:rsidRPr="00BB41A9" w:rsidTr="00457B97">
        <w:trPr>
          <w:trHeight w:val="570"/>
        </w:trPr>
        <w:tc>
          <w:tcPr>
            <w:tcW w:w="2269" w:type="dxa"/>
            <w:shd w:val="clear" w:color="000000" w:fill="DEEBF6"/>
            <w:hideMark/>
          </w:tcPr>
          <w:p w:rsidR="00457B97" w:rsidRPr="00BB41A9" w:rsidRDefault="00457B97" w:rsidP="0077038D">
            <w:pPr>
              <w:rPr>
                <w:rFonts w:eastAsia="Times New Roman"/>
                <w:b/>
                <w:bCs/>
                <w:color w:val="000000"/>
                <w:sz w:val="18"/>
                <w:lang w:val="en-GB"/>
              </w:rPr>
            </w:pPr>
            <w:r w:rsidRPr="00BB41A9">
              <w:rPr>
                <w:rFonts w:eastAsia="Times New Roman"/>
                <w:b/>
                <w:bCs/>
                <w:color w:val="000000"/>
                <w:sz w:val="18"/>
                <w:lang w:val="en-GB"/>
              </w:rPr>
              <w:t>FMC within the primary processes / programs / projects</w:t>
            </w:r>
          </w:p>
        </w:tc>
        <w:tc>
          <w:tcPr>
            <w:tcW w:w="1985" w:type="dxa"/>
            <w:shd w:val="clear" w:color="000000" w:fill="DEEBF6"/>
            <w:hideMark/>
          </w:tcPr>
          <w:p w:rsidR="00457B97" w:rsidRPr="00BB41A9" w:rsidRDefault="00457B97" w:rsidP="0077038D">
            <w:pPr>
              <w:rPr>
                <w:rFonts w:eastAsia="Times New Roman"/>
                <w:b/>
                <w:bCs/>
                <w:color w:val="000000"/>
                <w:sz w:val="18"/>
                <w:lang w:val="en-GB"/>
              </w:rPr>
            </w:pPr>
            <w:r w:rsidRPr="00BB41A9">
              <w:rPr>
                <w:rFonts w:eastAsia="Times New Roman"/>
                <w:b/>
                <w:bCs/>
                <w:color w:val="000000"/>
                <w:sz w:val="18"/>
                <w:lang w:val="en-GB"/>
              </w:rPr>
              <w:t>Configuration of Managerial Accountability (composition of the accountability triangle: Responsibility, Accountability and Authority)</w:t>
            </w:r>
          </w:p>
        </w:tc>
        <w:tc>
          <w:tcPr>
            <w:tcW w:w="2268"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b/>
                <w:bCs/>
                <w:color w:val="000000"/>
                <w:sz w:val="18"/>
                <w:u w:val="single"/>
                <w:lang w:val="en-GB"/>
              </w:rPr>
              <w:t>Responsibility:</w:t>
            </w:r>
            <w:r w:rsidRPr="00BB41A9">
              <w:rPr>
                <w:rFonts w:eastAsia="Times New Roman"/>
                <w:color w:val="000000"/>
                <w:sz w:val="18"/>
                <w:lang w:val="en-GB"/>
              </w:rPr>
              <w:t xml:space="preserve"> there is a </w:t>
            </w:r>
            <w:r w:rsidRPr="00BB41A9">
              <w:rPr>
                <w:rFonts w:eastAsia="Times New Roman"/>
                <w:color w:val="000000"/>
                <w:sz w:val="18"/>
                <w:u w:val="single"/>
                <w:lang w:val="en-GB"/>
              </w:rPr>
              <w:t>delegated</w:t>
            </w:r>
            <w:r w:rsidRPr="00BB41A9">
              <w:rPr>
                <w:rFonts w:eastAsia="Times New Roman"/>
                <w:color w:val="000000"/>
                <w:sz w:val="18"/>
                <w:lang w:val="en-GB"/>
              </w:rPr>
              <w:t xml:space="preserve"> mandate structure (tasks/obligations) described which is aligned with the organizational structure. </w:t>
            </w:r>
          </w:p>
        </w:tc>
        <w:tc>
          <w:tcPr>
            <w:tcW w:w="3261"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color w:val="000000"/>
                <w:sz w:val="18"/>
                <w:lang w:val="en-GB"/>
              </w:rPr>
              <w:t>• There is a regulation which describes the division of powers and obligations throughout the hierarchical management layers;</w:t>
            </w:r>
            <w:r w:rsidRPr="00BB41A9">
              <w:rPr>
                <w:rFonts w:eastAsia="Times New Roman"/>
                <w:color w:val="000000"/>
                <w:sz w:val="18"/>
                <w:lang w:val="en-GB"/>
              </w:rPr>
              <w:br/>
              <w:t>• Senior management (on paper) is not involved in operational decisions that could have been delegated</w:t>
            </w:r>
          </w:p>
        </w:tc>
        <w:tc>
          <w:tcPr>
            <w:tcW w:w="2125"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color w:val="000000"/>
                <w:sz w:val="18"/>
                <w:lang w:val="en-GB"/>
              </w:rPr>
              <w:t>Internal regulations</w:t>
            </w:r>
          </w:p>
        </w:tc>
        <w:tc>
          <w:tcPr>
            <w:tcW w:w="3685"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color w:val="000000"/>
                <w:sz w:val="18"/>
                <w:lang w:val="en-GB"/>
              </w:rPr>
              <w:t xml:space="preserve">Study the internal regulations that describe to what extent within your institution responsibilities, powers/authorities are delegated. Your findings should describe if this current regulation has a centralized or a delegated character.    </w:t>
            </w:r>
          </w:p>
        </w:tc>
      </w:tr>
      <w:tr w:rsidR="00457B97" w:rsidRPr="00BB41A9" w:rsidTr="00457B97">
        <w:trPr>
          <w:trHeight w:val="704"/>
        </w:trPr>
        <w:tc>
          <w:tcPr>
            <w:tcW w:w="2269" w:type="dxa"/>
            <w:shd w:val="clear" w:color="000000" w:fill="DEEBF6"/>
            <w:hideMark/>
          </w:tcPr>
          <w:p w:rsidR="00457B97" w:rsidRPr="00BB41A9" w:rsidRDefault="00457B97" w:rsidP="0077038D">
            <w:pPr>
              <w:rPr>
                <w:rFonts w:eastAsia="Times New Roman"/>
                <w:b/>
                <w:bCs/>
                <w:color w:val="000000"/>
                <w:sz w:val="18"/>
                <w:lang w:val="en-GB"/>
              </w:rPr>
            </w:pPr>
            <w:r w:rsidRPr="00BB41A9">
              <w:rPr>
                <w:rFonts w:eastAsia="Times New Roman"/>
                <w:b/>
                <w:bCs/>
                <w:color w:val="000000"/>
                <w:sz w:val="18"/>
                <w:lang w:val="en-GB"/>
              </w:rPr>
              <w:t> </w:t>
            </w:r>
          </w:p>
        </w:tc>
        <w:tc>
          <w:tcPr>
            <w:tcW w:w="1985" w:type="dxa"/>
            <w:shd w:val="clear" w:color="000000" w:fill="DEEBF6"/>
            <w:hideMark/>
          </w:tcPr>
          <w:p w:rsidR="00457B97" w:rsidRPr="00BB41A9" w:rsidRDefault="00457B97" w:rsidP="0077038D">
            <w:pPr>
              <w:rPr>
                <w:rFonts w:eastAsia="Times New Roman"/>
                <w:b/>
                <w:bCs/>
                <w:color w:val="000000"/>
                <w:sz w:val="18"/>
                <w:lang w:val="en-GB"/>
              </w:rPr>
            </w:pPr>
          </w:p>
        </w:tc>
        <w:tc>
          <w:tcPr>
            <w:tcW w:w="2268"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b/>
                <w:bCs/>
                <w:color w:val="000000"/>
                <w:sz w:val="18"/>
                <w:u w:val="single"/>
                <w:lang w:val="en-GB"/>
              </w:rPr>
              <w:t>Responsibility:</w:t>
            </w:r>
            <w:r w:rsidRPr="00BB41A9">
              <w:rPr>
                <w:rFonts w:eastAsia="Times New Roman"/>
                <w:color w:val="000000"/>
                <w:sz w:val="18"/>
                <w:lang w:val="en-GB"/>
              </w:rPr>
              <w:t xml:space="preserve"> the described mandate structure functions in practice as is described on paper</w:t>
            </w:r>
          </w:p>
        </w:tc>
        <w:tc>
          <w:tcPr>
            <w:tcW w:w="3261"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color w:val="000000"/>
                <w:sz w:val="18"/>
                <w:lang w:val="en-GB"/>
              </w:rPr>
              <w:t>• Tasks and obligations within the organization are performed in line with the described delegated mandates;</w:t>
            </w:r>
            <w:r w:rsidRPr="00BB41A9">
              <w:rPr>
                <w:rFonts w:eastAsia="Times New Roman"/>
                <w:color w:val="000000"/>
                <w:sz w:val="18"/>
                <w:lang w:val="en-GB"/>
              </w:rPr>
              <w:br/>
              <w:t>• Senior management is not (on a daily basis) involved in operational decisions that could have been delegated</w:t>
            </w:r>
          </w:p>
        </w:tc>
        <w:tc>
          <w:tcPr>
            <w:tcW w:w="2125"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color w:val="000000"/>
                <w:sz w:val="18"/>
                <w:lang w:val="en-GB"/>
              </w:rPr>
              <w:t>Senior management</w:t>
            </w:r>
            <w:r w:rsidRPr="00BB41A9">
              <w:rPr>
                <w:rFonts w:eastAsia="Times New Roman"/>
                <w:color w:val="000000"/>
                <w:sz w:val="18"/>
                <w:lang w:val="en-GB"/>
              </w:rPr>
              <w:br/>
              <w:t>Operational management</w:t>
            </w:r>
            <w:r w:rsidRPr="00BB41A9">
              <w:rPr>
                <w:rFonts w:eastAsia="Times New Roman"/>
                <w:color w:val="000000"/>
                <w:sz w:val="18"/>
                <w:lang w:val="en-GB"/>
              </w:rPr>
              <w:br/>
              <w:t>Internal regulations</w:t>
            </w:r>
          </w:p>
        </w:tc>
        <w:tc>
          <w:tcPr>
            <w:tcW w:w="3685"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color w:val="000000"/>
                <w:sz w:val="18"/>
                <w:lang w:val="en-GB"/>
              </w:rPr>
              <w:t>In interviews, try to get a sense of how delegated mandates are really working. Try to find out if senior management really delegates operational tasks or if clearance for every operational decision is needed. Describe your findings using the centralized versus delegated perspective.</w:t>
            </w:r>
          </w:p>
        </w:tc>
      </w:tr>
      <w:tr w:rsidR="00457B97" w:rsidRPr="00BB41A9" w:rsidTr="00457B97">
        <w:trPr>
          <w:trHeight w:val="1353"/>
        </w:trPr>
        <w:tc>
          <w:tcPr>
            <w:tcW w:w="2269" w:type="dxa"/>
            <w:shd w:val="clear" w:color="000000" w:fill="DEEBF6"/>
            <w:hideMark/>
          </w:tcPr>
          <w:p w:rsidR="00457B97" w:rsidRPr="00BB41A9" w:rsidRDefault="00457B97" w:rsidP="0077038D">
            <w:pPr>
              <w:rPr>
                <w:rFonts w:eastAsia="Times New Roman"/>
                <w:b/>
                <w:bCs/>
                <w:color w:val="000000"/>
                <w:sz w:val="18"/>
                <w:lang w:val="en-GB"/>
              </w:rPr>
            </w:pPr>
            <w:r w:rsidRPr="00BB41A9">
              <w:rPr>
                <w:rFonts w:eastAsia="Times New Roman"/>
                <w:b/>
                <w:bCs/>
                <w:color w:val="000000"/>
                <w:sz w:val="18"/>
                <w:lang w:val="en-GB"/>
              </w:rPr>
              <w:t> </w:t>
            </w:r>
          </w:p>
        </w:tc>
        <w:tc>
          <w:tcPr>
            <w:tcW w:w="1985" w:type="dxa"/>
            <w:shd w:val="clear" w:color="000000" w:fill="DEEBF6"/>
            <w:hideMark/>
          </w:tcPr>
          <w:p w:rsidR="00457B97" w:rsidRPr="00BB41A9" w:rsidRDefault="00457B97" w:rsidP="0077038D">
            <w:pPr>
              <w:rPr>
                <w:rFonts w:eastAsia="Times New Roman"/>
                <w:b/>
                <w:bCs/>
                <w:color w:val="000000"/>
                <w:sz w:val="18"/>
                <w:lang w:val="en-GB"/>
              </w:rPr>
            </w:pPr>
            <w:r w:rsidRPr="00BB41A9">
              <w:rPr>
                <w:rFonts w:eastAsia="Times New Roman"/>
                <w:b/>
                <w:bCs/>
                <w:color w:val="000000"/>
                <w:sz w:val="18"/>
                <w:lang w:val="en-GB"/>
              </w:rPr>
              <w:t> </w:t>
            </w:r>
          </w:p>
        </w:tc>
        <w:tc>
          <w:tcPr>
            <w:tcW w:w="2268"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b/>
                <w:bCs/>
                <w:color w:val="000000"/>
                <w:sz w:val="18"/>
                <w:u w:val="single"/>
                <w:lang w:val="en-GB"/>
              </w:rPr>
              <w:t>Responsibility:</w:t>
            </w:r>
            <w:r w:rsidRPr="00BB41A9">
              <w:rPr>
                <w:rFonts w:eastAsia="Times New Roman"/>
                <w:color w:val="000000"/>
                <w:sz w:val="18"/>
                <w:lang w:val="en-GB"/>
              </w:rPr>
              <w:t xml:space="preserve"> within budget programs / processes / projects </w:t>
            </w:r>
            <w:r w:rsidRPr="00BB41A9">
              <w:rPr>
                <w:rFonts w:eastAsia="Times New Roman"/>
                <w:color w:val="000000"/>
                <w:sz w:val="18"/>
                <w:u w:val="single"/>
                <w:lang w:val="en-GB"/>
              </w:rPr>
              <w:t>responsibilities</w:t>
            </w:r>
            <w:r w:rsidRPr="00BB41A9">
              <w:rPr>
                <w:rFonts w:eastAsia="Times New Roman"/>
                <w:color w:val="000000"/>
                <w:sz w:val="18"/>
                <w:lang w:val="en-GB"/>
              </w:rPr>
              <w:t xml:space="preserve"> are clearly delegated. This is described as such and works in practice</w:t>
            </w:r>
          </w:p>
        </w:tc>
        <w:tc>
          <w:tcPr>
            <w:tcW w:w="3261"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color w:val="000000"/>
                <w:sz w:val="18"/>
                <w:lang w:val="en-GB"/>
              </w:rPr>
              <w:t>• Within their realm of responsibility, managers have delegated responsibilities. This is described;</w:t>
            </w:r>
            <w:r w:rsidRPr="00BB41A9">
              <w:rPr>
                <w:rFonts w:eastAsia="Times New Roman"/>
                <w:color w:val="000000"/>
                <w:sz w:val="18"/>
                <w:lang w:val="en-GB"/>
              </w:rPr>
              <w:br/>
              <w:t>• Programs / processes / projects have a clear task structure which is aligned with clear objectives</w:t>
            </w:r>
          </w:p>
        </w:tc>
        <w:tc>
          <w:tcPr>
            <w:tcW w:w="2125"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color w:val="000000"/>
                <w:sz w:val="18"/>
                <w:lang w:val="en-GB"/>
              </w:rPr>
              <w:t>Operational management</w:t>
            </w:r>
            <w:r w:rsidRPr="00BB41A9">
              <w:rPr>
                <w:rFonts w:eastAsia="Times New Roman"/>
                <w:color w:val="000000"/>
                <w:sz w:val="18"/>
                <w:lang w:val="en-GB"/>
              </w:rPr>
              <w:br/>
              <w:t>Task structure within programs / processes / projects</w:t>
            </w:r>
            <w:r w:rsidRPr="00BB41A9">
              <w:rPr>
                <w:rFonts w:eastAsia="Times New Roman"/>
                <w:color w:val="000000"/>
                <w:sz w:val="18"/>
                <w:lang w:val="en-GB"/>
              </w:rPr>
              <w:br/>
              <w:t>Employees</w:t>
            </w:r>
          </w:p>
        </w:tc>
        <w:tc>
          <w:tcPr>
            <w:tcW w:w="3685"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color w:val="000000"/>
                <w:sz w:val="18"/>
                <w:lang w:val="en-GB"/>
              </w:rPr>
              <w:t>Study how programs / processes / projects are organized on paper. Do you recognize a clear responsibility/task structure which is logically cascaded alongside objectives? In interview check how the practice works. Describe your findings using the centralized versus delegated perspective.</w:t>
            </w:r>
          </w:p>
        </w:tc>
      </w:tr>
      <w:tr w:rsidR="00457B97" w:rsidRPr="00BB41A9" w:rsidTr="00457B97">
        <w:trPr>
          <w:trHeight w:val="276"/>
        </w:trPr>
        <w:tc>
          <w:tcPr>
            <w:tcW w:w="2269" w:type="dxa"/>
            <w:shd w:val="clear" w:color="000000" w:fill="DEEBF6"/>
            <w:hideMark/>
          </w:tcPr>
          <w:p w:rsidR="00457B97" w:rsidRPr="00BB41A9" w:rsidRDefault="00457B97" w:rsidP="0077038D">
            <w:pPr>
              <w:rPr>
                <w:rFonts w:eastAsia="Times New Roman"/>
                <w:b/>
                <w:bCs/>
                <w:color w:val="000000"/>
                <w:sz w:val="18"/>
                <w:lang w:val="en-GB"/>
              </w:rPr>
            </w:pPr>
            <w:r w:rsidRPr="00BB41A9">
              <w:rPr>
                <w:rFonts w:eastAsia="Times New Roman"/>
                <w:b/>
                <w:bCs/>
                <w:color w:val="000000"/>
                <w:sz w:val="18"/>
                <w:lang w:val="en-GB"/>
              </w:rPr>
              <w:t> </w:t>
            </w:r>
          </w:p>
        </w:tc>
        <w:tc>
          <w:tcPr>
            <w:tcW w:w="1985" w:type="dxa"/>
            <w:shd w:val="clear" w:color="000000" w:fill="DEEBF6"/>
            <w:hideMark/>
          </w:tcPr>
          <w:p w:rsidR="00457B97" w:rsidRPr="00BB41A9" w:rsidRDefault="00457B97" w:rsidP="0077038D">
            <w:pPr>
              <w:rPr>
                <w:rFonts w:eastAsia="Times New Roman"/>
                <w:b/>
                <w:bCs/>
                <w:color w:val="000000"/>
                <w:sz w:val="18"/>
                <w:lang w:val="en-GB"/>
              </w:rPr>
            </w:pPr>
            <w:r w:rsidRPr="00BB41A9">
              <w:rPr>
                <w:rFonts w:eastAsia="Times New Roman"/>
                <w:b/>
                <w:bCs/>
                <w:color w:val="000000"/>
                <w:sz w:val="18"/>
                <w:lang w:val="en-GB"/>
              </w:rPr>
              <w:t> </w:t>
            </w:r>
          </w:p>
        </w:tc>
        <w:tc>
          <w:tcPr>
            <w:tcW w:w="2268"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b/>
                <w:bCs/>
                <w:color w:val="000000"/>
                <w:sz w:val="18"/>
                <w:u w:val="single"/>
                <w:lang w:val="en-GB"/>
              </w:rPr>
              <w:t>Responsibility:</w:t>
            </w:r>
            <w:r w:rsidRPr="00BB41A9">
              <w:rPr>
                <w:rFonts w:eastAsia="Times New Roman"/>
                <w:color w:val="000000"/>
                <w:sz w:val="18"/>
                <w:lang w:val="en-GB"/>
              </w:rPr>
              <w:t xml:space="preserve"> the setting of objectives is not solely performed by top management. Delegated (operational) management on their level can set their objectives in line with the strategic organizational objectives</w:t>
            </w:r>
          </w:p>
        </w:tc>
        <w:tc>
          <w:tcPr>
            <w:tcW w:w="3261"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color w:val="000000"/>
                <w:sz w:val="18"/>
                <w:lang w:val="en-GB"/>
              </w:rPr>
              <w:t>• Management at all levels of the organization is involved in the setting of objectives;</w:t>
            </w:r>
            <w:r w:rsidRPr="00BB41A9">
              <w:rPr>
                <w:rFonts w:eastAsia="Times New Roman"/>
                <w:color w:val="000000"/>
                <w:sz w:val="18"/>
                <w:lang w:val="en-GB"/>
              </w:rPr>
              <w:br/>
              <w:t>• Operational objectives are logically in line with strategic objectives</w:t>
            </w:r>
          </w:p>
        </w:tc>
        <w:tc>
          <w:tcPr>
            <w:tcW w:w="2125"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color w:val="000000"/>
                <w:sz w:val="18"/>
                <w:lang w:val="en-GB"/>
              </w:rPr>
              <w:t>Descriptions of programs / processes / projects</w:t>
            </w:r>
            <w:r w:rsidRPr="00BB41A9">
              <w:rPr>
                <w:rFonts w:eastAsia="Times New Roman"/>
                <w:color w:val="000000"/>
                <w:sz w:val="18"/>
                <w:lang w:val="en-GB"/>
              </w:rPr>
              <w:br/>
              <w:t>Senior management</w:t>
            </w:r>
            <w:r w:rsidRPr="00BB41A9">
              <w:rPr>
                <w:rFonts w:eastAsia="Times New Roman"/>
                <w:color w:val="000000"/>
                <w:sz w:val="18"/>
                <w:lang w:val="en-GB"/>
              </w:rPr>
              <w:br/>
              <w:t>Operational management</w:t>
            </w:r>
          </w:p>
        </w:tc>
        <w:tc>
          <w:tcPr>
            <w:tcW w:w="3685" w:type="dxa"/>
            <w:shd w:val="clear" w:color="000000" w:fill="DEEBF6"/>
            <w:hideMark/>
          </w:tcPr>
          <w:p w:rsidR="00457B97" w:rsidRPr="00BB41A9" w:rsidRDefault="00457B97" w:rsidP="0077038D">
            <w:pPr>
              <w:rPr>
                <w:rFonts w:eastAsia="Times New Roman"/>
                <w:color w:val="000000"/>
                <w:sz w:val="18"/>
                <w:lang w:val="en-GB"/>
              </w:rPr>
            </w:pPr>
            <w:r w:rsidRPr="00BB41A9">
              <w:rPr>
                <w:rFonts w:eastAsia="Times New Roman"/>
                <w:color w:val="000000"/>
                <w:sz w:val="18"/>
                <w:lang w:val="en-GB"/>
              </w:rPr>
              <w:t>Study the descriptions of programs / processes / projects and find out to what extent objectives are clearly described and in line with each other. In interviews: ask to what extent management at every level of the organization is/was involved in the setting of these objectives</w:t>
            </w:r>
          </w:p>
        </w:tc>
      </w:tr>
    </w:tbl>
    <w:p w:rsidR="00921CEB" w:rsidRDefault="00921CEB"/>
    <w:sectPr w:rsidR="00921CEB" w:rsidSect="00457B97">
      <w:pgSz w:w="15840" w:h="12240" w:orient="landscape"/>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97"/>
    <w:rsid w:val="00457B97"/>
    <w:rsid w:val="0092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6E289-A29B-4B04-A91D-6DE1F616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7B97"/>
    <w:pPr>
      <w:spacing w:after="0" w:line="240" w:lineRule="auto"/>
    </w:pPr>
    <w:rPr>
      <w:rFonts w:ascii="Calibri" w:hAnsi="Calibri" w:cs="Times New Roman"/>
      <w:lang w:val="ru-RU" w:eastAsia="ru-RU"/>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Kesteren</dc:creator>
  <cp:keywords/>
  <dc:description/>
  <cp:lastModifiedBy>Fred Kesteren</cp:lastModifiedBy>
  <cp:revision>1</cp:revision>
  <dcterms:created xsi:type="dcterms:W3CDTF">2018-02-12T12:24:00Z</dcterms:created>
  <dcterms:modified xsi:type="dcterms:W3CDTF">2018-02-12T12:25:00Z</dcterms:modified>
</cp:coreProperties>
</file>