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B" w:rsidRPr="00677B6C" w:rsidRDefault="00B6250F">
      <w:pPr>
        <w:rPr>
          <w:rFonts w:asciiTheme="majorHAnsi" w:hAnsiTheme="majorHAnsi"/>
          <w:sz w:val="24"/>
          <w:szCs w:val="24"/>
          <w:lang w:val="en-GB"/>
        </w:rPr>
      </w:pPr>
      <w:bookmarkStart w:id="0" w:name="_GoBack"/>
      <w:bookmarkEnd w:id="0"/>
      <w:r w:rsidRPr="00677B6C">
        <w:rPr>
          <w:rFonts w:asciiTheme="majorHAnsi" w:eastAsia="Times New Roman" w:hAnsiTheme="majorHAnsi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-2844</wp:posOffset>
            </wp:positionV>
            <wp:extent cx="2553374" cy="596028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74" cy="59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B6C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11430</wp:posOffset>
            </wp:positionV>
            <wp:extent cx="3315335" cy="55372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F42" w:rsidRPr="00677B6C" w:rsidRDefault="00E83F42">
      <w:pPr>
        <w:rPr>
          <w:rFonts w:asciiTheme="majorHAnsi" w:hAnsiTheme="majorHAnsi" w:cs="Arial"/>
          <w:b/>
          <w:i/>
          <w:sz w:val="24"/>
          <w:szCs w:val="24"/>
          <w:lang w:val="en-GB"/>
        </w:rPr>
      </w:pPr>
    </w:p>
    <w:p w:rsidR="00677B6C" w:rsidRDefault="00677B6C">
      <w:pPr>
        <w:rPr>
          <w:rFonts w:asciiTheme="majorHAnsi" w:hAnsiTheme="majorHAnsi" w:cs="Arial"/>
          <w:b/>
          <w:i/>
          <w:sz w:val="24"/>
          <w:szCs w:val="24"/>
          <w:lang w:val="en-GB"/>
        </w:rPr>
      </w:pPr>
    </w:p>
    <w:p w:rsidR="00274CD3" w:rsidRPr="00677B6C" w:rsidRDefault="003D4D6F">
      <w:pPr>
        <w:rPr>
          <w:rFonts w:asciiTheme="majorHAnsi" w:hAnsiTheme="majorHAnsi" w:cs="Arial"/>
          <w:b/>
          <w:i/>
          <w:sz w:val="24"/>
          <w:szCs w:val="24"/>
          <w:lang w:val="en-GB"/>
        </w:rPr>
      </w:pPr>
      <w:r w:rsidRPr="00677B6C">
        <w:rPr>
          <w:rFonts w:asciiTheme="majorHAnsi" w:hAnsiTheme="majorHAnsi" w:cs="Arial"/>
          <w:b/>
          <w:i/>
          <w:sz w:val="24"/>
          <w:szCs w:val="24"/>
          <w:lang w:val="en-GB"/>
        </w:rPr>
        <w:t>Welcome to PEMPAL</w:t>
      </w:r>
      <w:r w:rsidR="00B6250F" w:rsidRPr="00677B6C">
        <w:rPr>
          <w:rFonts w:asciiTheme="majorHAnsi" w:hAnsiTheme="majorHAnsi" w:cs="Arial"/>
          <w:b/>
          <w:i/>
          <w:sz w:val="24"/>
          <w:szCs w:val="24"/>
          <w:lang w:val="en-GB"/>
        </w:rPr>
        <w:t>!</w:t>
      </w:r>
    </w:p>
    <w:p w:rsidR="003D4D6F" w:rsidRPr="00104C37" w:rsidRDefault="000B5C51" w:rsidP="000C23CE">
      <w:pPr>
        <w:spacing w:line="240" w:lineRule="auto"/>
        <w:jc w:val="both"/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This document is developed in order to provide you the most important information regarding our community. </w:t>
      </w:r>
      <w:r w:rsidR="003D4D6F" w:rsidRPr="00677B6C">
        <w:rPr>
          <w:rFonts w:asciiTheme="majorHAnsi" w:hAnsiTheme="majorHAnsi" w:cs="Arial"/>
          <w:sz w:val="24"/>
          <w:szCs w:val="24"/>
          <w:lang w:val="en-GB"/>
        </w:rPr>
        <w:t>PEMPAL (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P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ublic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E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xpenditure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M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anagement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P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eer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A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ssisted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L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earning) is a network to facilitate exchange of professional experience and knowledge transfer among public finance management (PFM) practitioners across the Europe and Central Asia (ECA) countries.</w:t>
      </w:r>
      <w:r w:rsidR="00104C37" w:rsidRPr="00104C37">
        <w:rPr>
          <w:rStyle w:val="normaltextrun"/>
          <w:rFonts w:ascii="Cambria" w:hAnsi="Cambria"/>
          <w:color w:val="000000"/>
          <w:shd w:val="clear" w:color="auto" w:fill="FFFFFF"/>
        </w:rPr>
        <w:t xml:space="preserve"> </w:t>
      </w:r>
      <w:r w:rsidR="00104C37" w:rsidRPr="00104C37">
        <w:rPr>
          <w:rFonts w:asciiTheme="majorHAnsi" w:hAnsiTheme="majorHAnsi" w:cs="Arial"/>
          <w:i/>
          <w:sz w:val="24"/>
          <w:szCs w:val="24"/>
          <w:lang w:val="en-GB"/>
        </w:rPr>
        <w:t>PEMPAL was established in 2006 with assistance from the World Bank.</w:t>
      </w:r>
    </w:p>
    <w:p w:rsidR="00104C37" w:rsidRPr="00677B6C" w:rsidRDefault="00104C37" w:rsidP="000C23CE">
      <w:pPr>
        <w:spacing w:line="240" w:lineRule="auto"/>
        <w:jc w:val="both"/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</w:pPr>
    </w:p>
    <w:p w:rsidR="002D0E4B" w:rsidRPr="00677B6C" w:rsidRDefault="002D0E4B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</w:pPr>
      <w:r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PEMPAL work is organized in 3 Communities of Practice (C</w:t>
      </w:r>
      <w:r w:rsidR="008F2AE1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O</w:t>
      </w:r>
      <w:r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Ps): </w:t>
      </w:r>
    </w:p>
    <w:p w:rsidR="002D0E4B" w:rsidRPr="00677B6C" w:rsidRDefault="002D0E4B" w:rsidP="000C23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</w:pPr>
      <w:r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Budget Community of Practices </w:t>
      </w:r>
      <w:r w:rsidR="00D63691"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(B</w:t>
      </w:r>
      <w:r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C</w:t>
      </w:r>
      <w:r w:rsidR="008F2AE1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O</w:t>
      </w:r>
      <w:r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P)</w:t>
      </w:r>
    </w:p>
    <w:p w:rsidR="002D0E4B" w:rsidRPr="00677B6C" w:rsidRDefault="002D0E4B" w:rsidP="000C23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  <w:r w:rsidRPr="00677B6C">
        <w:rPr>
          <w:rFonts w:asciiTheme="majorHAnsi" w:hAnsiTheme="majorHAnsi" w:cs="Arial"/>
          <w:sz w:val="24"/>
          <w:szCs w:val="24"/>
          <w:u w:val="single"/>
          <w:lang w:val="en-GB"/>
        </w:rPr>
        <w:t>Internal Audit Community of Practice (IAC</w:t>
      </w:r>
      <w:r w:rsidR="008F2AE1">
        <w:rPr>
          <w:rFonts w:asciiTheme="majorHAnsi" w:hAnsiTheme="majorHAnsi" w:cs="Arial"/>
          <w:sz w:val="24"/>
          <w:szCs w:val="24"/>
          <w:u w:val="single"/>
          <w:lang w:val="en-GB"/>
        </w:rPr>
        <w:t>O</w:t>
      </w:r>
      <w:r w:rsidRPr="00677B6C">
        <w:rPr>
          <w:rFonts w:asciiTheme="majorHAnsi" w:hAnsiTheme="majorHAnsi" w:cs="Arial"/>
          <w:sz w:val="24"/>
          <w:szCs w:val="24"/>
          <w:u w:val="single"/>
          <w:lang w:val="en-GB"/>
        </w:rPr>
        <w:t>P)</w:t>
      </w:r>
    </w:p>
    <w:p w:rsidR="002D0E4B" w:rsidRPr="00677B6C" w:rsidRDefault="002D0E4B" w:rsidP="000C23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Fonts w:asciiTheme="majorHAnsi" w:hAnsiTheme="majorHAnsi" w:cs="Arial"/>
          <w:sz w:val="24"/>
          <w:szCs w:val="24"/>
          <w:lang w:val="en-GB"/>
        </w:rPr>
        <w:t>Treasury Community of Practice (TC</w:t>
      </w:r>
      <w:r w:rsidR="008F2AE1">
        <w:rPr>
          <w:rFonts w:asciiTheme="majorHAnsi" w:hAnsiTheme="majorHAnsi" w:cs="Arial"/>
          <w:sz w:val="24"/>
          <w:szCs w:val="24"/>
          <w:lang w:val="en-GB"/>
        </w:rPr>
        <w:t>O</w:t>
      </w:r>
      <w:r w:rsidRPr="00677B6C">
        <w:rPr>
          <w:rFonts w:asciiTheme="majorHAnsi" w:hAnsiTheme="majorHAnsi" w:cs="Arial"/>
          <w:sz w:val="24"/>
          <w:szCs w:val="24"/>
          <w:lang w:val="en-GB"/>
        </w:rPr>
        <w:t>P)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0072F" w:rsidRPr="00677B6C" w:rsidTr="000C23CE">
        <w:trPr>
          <w:jc w:val="center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:rsidR="000C23CE" w:rsidRPr="00677B6C" w:rsidRDefault="000C23C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677B6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You are invited to </w:t>
            </w:r>
            <w:r w:rsidR="00E83F42" w:rsidRPr="00677B6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contribute </w:t>
            </w:r>
            <w:r w:rsidRPr="00677B6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to </w:t>
            </w:r>
            <w:r w:rsidRPr="00677B6C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GB"/>
              </w:rPr>
              <w:t>IAC</w:t>
            </w:r>
            <w:r w:rsidR="008F2AE1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GB"/>
              </w:rPr>
              <w:t>O</w:t>
            </w:r>
            <w:r w:rsidRPr="00677B6C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GB"/>
              </w:rPr>
              <w:t>P</w:t>
            </w:r>
            <w:r w:rsidRPr="00677B6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activities.</w:t>
            </w:r>
          </w:p>
        </w:tc>
      </w:tr>
    </w:tbl>
    <w:p w:rsidR="0000072F" w:rsidRPr="00677B6C" w:rsidRDefault="0000072F" w:rsidP="00DA414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104C37" w:rsidRPr="00104C37" w:rsidRDefault="00104C37" w:rsidP="00104C37">
      <w:pPr>
        <w:spacing w:line="240" w:lineRule="auto"/>
        <w:jc w:val="both"/>
        <w:rPr>
          <w:i/>
          <w:iCs/>
        </w:rPr>
      </w:pPr>
      <w:r w:rsidRPr="00104C37">
        <w:rPr>
          <w:rFonts w:asciiTheme="majorHAnsi" w:hAnsiTheme="majorHAnsi" w:cs="Arial"/>
          <w:sz w:val="24"/>
          <w:szCs w:val="24"/>
          <w:lang w:val="en-GB"/>
        </w:rPr>
        <w:t>The IACOP holds regular meetings where its participants share experience and identify solutions to priority challenges related to the implementation of internal audit reforms in the public sector. </w:t>
      </w:r>
    </w:p>
    <w:p w:rsidR="002D0E4B" w:rsidRPr="00677B6C" w:rsidRDefault="002D0E4B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proofErr w:type="gramStart"/>
      <w:r w:rsidRPr="00677B6C">
        <w:rPr>
          <w:rFonts w:asciiTheme="majorHAnsi" w:hAnsiTheme="majorHAnsi" w:cs="Arial"/>
          <w:sz w:val="24"/>
          <w:szCs w:val="24"/>
          <w:lang w:val="en-GB"/>
        </w:rPr>
        <w:t>IAC</w:t>
      </w:r>
      <w:r w:rsidR="00773C65">
        <w:rPr>
          <w:rFonts w:asciiTheme="majorHAnsi" w:hAnsiTheme="majorHAnsi" w:cs="Arial"/>
          <w:sz w:val="24"/>
          <w:szCs w:val="24"/>
          <w:lang w:val="en-GB"/>
        </w:rPr>
        <w:t>)</w:t>
      </w:r>
      <w:r w:rsidR="00677B6C" w:rsidRPr="00677B6C">
        <w:rPr>
          <w:rFonts w:asciiTheme="majorHAnsi" w:hAnsiTheme="majorHAnsi" w:cs="Arial"/>
          <w:sz w:val="24"/>
          <w:szCs w:val="24"/>
          <w:lang w:val="en-GB"/>
        </w:rPr>
        <w:t>P</w:t>
      </w:r>
      <w:proofErr w:type="gramEnd"/>
      <w:r w:rsidR="00677B6C" w:rsidRPr="00677B6C">
        <w:rPr>
          <w:rFonts w:asciiTheme="majorHAnsi" w:hAnsiTheme="majorHAnsi" w:cs="Arial"/>
          <w:sz w:val="24"/>
          <w:szCs w:val="24"/>
          <w:lang w:val="en-GB"/>
        </w:rPr>
        <w:t xml:space="preserve"> has different working Groups,</w:t>
      </w: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 such as: </w:t>
      </w:r>
    </w:p>
    <w:p w:rsidR="002D0E4B" w:rsidRPr="00677B6C" w:rsidRDefault="002D0E4B" w:rsidP="000C23C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Fonts w:asciiTheme="majorHAnsi" w:hAnsiTheme="majorHAnsi" w:cs="Arial"/>
          <w:sz w:val="24"/>
          <w:szCs w:val="24"/>
          <w:lang w:val="en-GB"/>
        </w:rPr>
        <w:t>Internal Control Working Group (ICWG),</w:t>
      </w:r>
    </w:p>
    <w:p w:rsidR="002D0E4B" w:rsidRPr="00677B6C" w:rsidRDefault="002D0E4B" w:rsidP="002F3A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Fonts w:asciiTheme="majorHAnsi" w:hAnsiTheme="majorHAnsi" w:cs="Arial"/>
          <w:sz w:val="24"/>
          <w:szCs w:val="24"/>
          <w:lang w:val="en-GB"/>
        </w:rPr>
        <w:t>Audit in Practice (</w:t>
      </w:r>
      <w:proofErr w:type="spellStart"/>
      <w:r w:rsidRPr="00677B6C">
        <w:rPr>
          <w:rFonts w:asciiTheme="majorHAnsi" w:hAnsiTheme="majorHAnsi" w:cs="Arial"/>
          <w:sz w:val="24"/>
          <w:szCs w:val="24"/>
          <w:lang w:val="en-GB"/>
        </w:rPr>
        <w:t>AiPWG</w:t>
      </w:r>
      <w:proofErr w:type="spellEnd"/>
      <w:r w:rsidRPr="00677B6C">
        <w:rPr>
          <w:rFonts w:asciiTheme="majorHAnsi" w:hAnsiTheme="majorHAnsi" w:cs="Arial"/>
          <w:sz w:val="24"/>
          <w:szCs w:val="24"/>
          <w:lang w:val="en-GB"/>
        </w:rPr>
        <w:t>)</w:t>
      </w:r>
    </w:p>
    <w:p w:rsidR="00B6250F" w:rsidRPr="00677B6C" w:rsidRDefault="00B6250F" w:rsidP="00B6250F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Fonts w:asciiTheme="majorHAnsi" w:hAnsiTheme="majorHAnsi" w:cs="Arial"/>
          <w:b/>
          <w:i/>
          <w:sz w:val="24"/>
          <w:szCs w:val="24"/>
          <w:lang w:val="en-GB"/>
        </w:rPr>
        <w:t>Our mission:</w:t>
      </w: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 IAC</w:t>
      </w:r>
      <w:r w:rsidR="00773C65">
        <w:rPr>
          <w:rFonts w:asciiTheme="majorHAnsi" w:hAnsiTheme="majorHAnsi" w:cs="Arial"/>
          <w:sz w:val="24"/>
          <w:szCs w:val="24"/>
          <w:lang w:val="en-GB"/>
        </w:rPr>
        <w:t>O</w:t>
      </w:r>
      <w:r w:rsidRPr="00677B6C">
        <w:rPr>
          <w:rFonts w:asciiTheme="majorHAnsi" w:hAnsiTheme="majorHAnsi" w:cs="Arial"/>
          <w:sz w:val="24"/>
          <w:szCs w:val="24"/>
          <w:lang w:val="en-GB"/>
        </w:rPr>
        <w:t>P offers support to its member countries in establishing modern and effective Internal Audit system that meets international standards and best practices and is a key for good governance and accountability in the public sector.</w:t>
      </w:r>
    </w:p>
    <w:p w:rsidR="00B6250F" w:rsidRPr="00677B6C" w:rsidRDefault="00B6250F" w:rsidP="00B6250F">
      <w:pPr>
        <w:jc w:val="both"/>
        <w:rPr>
          <w:rFonts w:asciiTheme="majorHAnsi" w:hAnsiTheme="majorHAnsi" w:cs="Arial"/>
          <w:bCs/>
          <w:i/>
          <w:iCs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Our core values:</w:t>
      </w:r>
      <w:r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>Professionalism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,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>dedication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 to reforms, commitment to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 xml:space="preserve">sharing knowledge and experience 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with the community (as professional family of peers),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>trust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,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>unity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 and </w:t>
      </w:r>
      <w:r w:rsidRPr="00677B6C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en-GB"/>
        </w:rPr>
        <w:t>respect</w:t>
      </w:r>
      <w:r w:rsidRPr="00677B6C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en-GB"/>
        </w:rPr>
        <w:t xml:space="preserve"> to diversity of 23 member countries.</w:t>
      </w:r>
      <w:r w:rsidRPr="00677B6C">
        <w:rPr>
          <w:rFonts w:asciiTheme="majorHAnsi" w:hAnsiTheme="majorHAnsi" w:cs="Arial"/>
          <w:bCs/>
          <w:i/>
          <w:iCs/>
          <w:sz w:val="24"/>
          <w:szCs w:val="24"/>
          <w:shd w:val="clear" w:color="auto" w:fill="FFFFFF"/>
          <w:lang w:val="en-GB"/>
        </w:rPr>
        <w:t xml:space="preserve">  </w:t>
      </w:r>
    </w:p>
    <w:p w:rsidR="00677B6C" w:rsidRDefault="00677B6C" w:rsidP="00677B6C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IAC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 Donors are: The World Bank, Ministry of Finance of the Russian Federation and Economic Cooperation and Development Division of the Swiss State Secretar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iat for Economic Affairs (SECO)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; in </w:t>
      </w:r>
      <w:proofErr w:type="gramStart"/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addition,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the</w:t>
      </w:r>
      <w:proofErr w:type="gramEnd"/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Dutch National Academy for Finance and Economy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provides non-financial support.</w:t>
      </w:r>
    </w:p>
    <w:p w:rsidR="00C31FD6" w:rsidRDefault="00677B6C" w:rsidP="00C31FD6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The </w:t>
      </w:r>
      <w:r w:rsidR="00104C37">
        <w:rPr>
          <w:rStyle w:val="normaltextrun"/>
          <w:rFonts w:ascii="Cambria" w:hAnsi="Cambria"/>
          <w:color w:val="000000"/>
          <w:shd w:val="clear" w:color="auto" w:fill="FFFFFF"/>
        </w:rPr>
        <w:t>23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member countries of IAC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P are: Albania, Armenia, Azerbaijan, Belarus, </w:t>
      </w:r>
      <w:proofErr w:type="spellStart"/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BiH</w:t>
      </w:r>
      <w:proofErr w:type="spellEnd"/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, Bulgaria, Croatia, Czech Republic, Georgia, Hungary, Kazakhstan, Kosovo, Kyrgyz Republic, Macedonia, Moldova, Montenegro, Romania, Russia, Serbia, Turkey, Ukraine, Uzbekistan, and Tajikistan.</w:t>
      </w:r>
      <w:r w:rsidR="00C31FD6" w:rsidRPr="00C31FD6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</w:p>
    <w:p w:rsidR="00DC6FE1" w:rsidRPr="00677B6C" w:rsidRDefault="00C31FD6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lastRenderedPageBreak/>
        <w:t xml:space="preserve">Usually,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we also invite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representatives from different countries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and regions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,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such as Brazil, South Africa, Belgium, France, UK and European Commission – DG Budget</w:t>
      </w:r>
      <w:r w:rsidR="00773C65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to attend our events;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they are </w:t>
      </w:r>
      <w:proofErr w:type="gramStart"/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our </w:t>
      </w:r>
      <w:r w:rsidRP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resource</w:t>
      </w:r>
      <w:proofErr w:type="gramEnd"/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partner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s, which contribute in-kind by sharing their experience and </w:t>
      </w:r>
      <w:proofErr w:type="spellStart"/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knowledge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.</w:t>
      </w:r>
      <w:r w:rsidR="0000072F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IACoP</w:t>
      </w:r>
      <w:proofErr w:type="spellEnd"/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organize</w:t>
      </w:r>
      <w:r w:rsidR="00B6250F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s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2 or 3 m</w:t>
      </w:r>
      <w:r w:rsidR="00DC6FE1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e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etings/year</w:t>
      </w:r>
      <w:r w:rsidR="00773C65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,</w:t>
      </w:r>
      <w:r w:rsidR="0000072F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one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773C65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being its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DC6FE1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plenary</w:t>
      </w:r>
      <w:r w:rsidR="00870115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 xml:space="preserve"> meeting. </w:t>
      </w:r>
      <w:r w:rsidR="00DC6FE1" w:rsidRPr="00677B6C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en-GB"/>
        </w:rPr>
        <w:t>We use</w:t>
      </w:r>
      <w:r w:rsidR="00DC6FE1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 xml:space="preserve"> </w:t>
      </w:r>
      <w:r w:rsidR="008817BA" w:rsidRPr="00677B6C">
        <w:rPr>
          <w:rFonts w:asciiTheme="majorHAnsi" w:hAnsiTheme="majorHAnsi" w:cs="Arial"/>
          <w:sz w:val="24"/>
          <w:szCs w:val="24"/>
          <w:lang w:val="en-GB"/>
        </w:rPr>
        <w:t>three official language</w:t>
      </w:r>
      <w:r w:rsidR="00DC6FE1" w:rsidRPr="00677B6C">
        <w:rPr>
          <w:rFonts w:asciiTheme="majorHAnsi" w:hAnsiTheme="majorHAnsi" w:cs="Arial"/>
          <w:sz w:val="24"/>
          <w:szCs w:val="24"/>
          <w:lang w:val="en-GB"/>
        </w:rPr>
        <w:t>s, English, Russian and Bosnian</w:t>
      </w:r>
      <w:r w:rsidR="00773C65">
        <w:rPr>
          <w:rFonts w:asciiTheme="majorHAnsi" w:hAnsiTheme="majorHAnsi" w:cs="Arial"/>
          <w:sz w:val="24"/>
          <w:szCs w:val="24"/>
          <w:lang w:val="en-GB"/>
        </w:rPr>
        <w:t>/Croatian/Serbian</w:t>
      </w:r>
      <w:r w:rsidR="0000072F" w:rsidRPr="00677B6C">
        <w:rPr>
          <w:rFonts w:asciiTheme="majorHAnsi" w:hAnsiTheme="majorHAnsi" w:cs="Arial"/>
          <w:sz w:val="24"/>
          <w:szCs w:val="24"/>
          <w:lang w:val="en-GB"/>
        </w:rPr>
        <w:t>.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We h</w:t>
      </w:r>
      <w:r w:rsidR="00773C65">
        <w:rPr>
          <w:rFonts w:asciiTheme="majorHAnsi" w:hAnsiTheme="majorHAnsi" w:cs="Arial"/>
          <w:sz w:val="24"/>
          <w:szCs w:val="24"/>
          <w:lang w:val="en-GB"/>
        </w:rPr>
        <w:t>old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773C65">
        <w:rPr>
          <w:rFonts w:asciiTheme="majorHAnsi" w:hAnsiTheme="majorHAnsi" w:cs="Arial"/>
          <w:sz w:val="24"/>
          <w:szCs w:val="24"/>
          <w:lang w:val="en-GB"/>
        </w:rPr>
        <w:t xml:space="preserve">one 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plenary meeting </w:t>
      </w:r>
      <w:r w:rsidR="00773C65">
        <w:rPr>
          <w:rFonts w:asciiTheme="majorHAnsi" w:hAnsiTheme="majorHAnsi" w:cs="Arial"/>
          <w:sz w:val="24"/>
          <w:szCs w:val="24"/>
          <w:lang w:val="en-GB"/>
        </w:rPr>
        <w:t>per fiscal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year</w:t>
      </w:r>
      <w:r w:rsidR="00773C65">
        <w:rPr>
          <w:rFonts w:asciiTheme="majorHAnsi" w:hAnsiTheme="majorHAnsi" w:cs="Arial"/>
          <w:sz w:val="24"/>
          <w:szCs w:val="24"/>
          <w:lang w:val="en-GB"/>
        </w:rPr>
        <w:t>. The plenary meeting is attended by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more participants from the member countries, and we use </w:t>
      </w:r>
      <w:r>
        <w:rPr>
          <w:rFonts w:asciiTheme="majorHAnsi" w:hAnsiTheme="majorHAnsi" w:cs="Arial"/>
          <w:sz w:val="24"/>
          <w:szCs w:val="24"/>
          <w:lang w:val="en-GB"/>
        </w:rPr>
        <w:t>this opportunity to report on working group</w:t>
      </w:r>
      <w:r w:rsidRPr="00677B6C">
        <w:rPr>
          <w:rFonts w:asciiTheme="majorHAnsi" w:hAnsiTheme="majorHAnsi" w:cs="Arial"/>
          <w:sz w:val="24"/>
          <w:szCs w:val="24"/>
          <w:lang w:val="en-GB"/>
        </w:rPr>
        <w:t>s’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activities and results, present new knowledge products. The </w:t>
      </w:r>
      <w:r w:rsidR="00677B6C" w:rsidRPr="00677B6C">
        <w:rPr>
          <w:rFonts w:asciiTheme="majorHAnsi" w:hAnsiTheme="majorHAnsi" w:cs="Arial"/>
          <w:sz w:val="24"/>
          <w:szCs w:val="24"/>
          <w:lang w:val="en-GB"/>
        </w:rPr>
        <w:t>t</w:t>
      </w:r>
      <w:r w:rsidR="00773C65">
        <w:rPr>
          <w:rFonts w:asciiTheme="majorHAnsi" w:hAnsiTheme="majorHAnsi" w:cs="Arial"/>
          <w:sz w:val="24"/>
          <w:szCs w:val="24"/>
          <w:lang w:val="en-GB"/>
        </w:rPr>
        <w:t>opics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of</w:t>
      </w:r>
      <w:r w:rsidR="00773C65">
        <w:rPr>
          <w:rFonts w:asciiTheme="majorHAnsi" w:hAnsiTheme="majorHAnsi" w:cs="Arial"/>
          <w:sz w:val="24"/>
          <w:szCs w:val="24"/>
          <w:lang w:val="en-GB"/>
        </w:rPr>
        <w:t xml:space="preserve"> such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plenary meetings are more general and more focused on CHU </w:t>
      </w:r>
      <w:r w:rsidR="00677B6C" w:rsidRPr="00677B6C">
        <w:rPr>
          <w:rFonts w:asciiTheme="majorHAnsi" w:hAnsiTheme="majorHAnsi" w:cs="Arial"/>
          <w:sz w:val="24"/>
          <w:szCs w:val="24"/>
          <w:lang w:val="en-GB"/>
        </w:rPr>
        <w:t>challenges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 xml:space="preserve"> or </w:t>
      </w:r>
      <w:r w:rsidR="00677B6C" w:rsidRPr="00677B6C">
        <w:rPr>
          <w:rFonts w:asciiTheme="majorHAnsi" w:hAnsiTheme="majorHAnsi" w:cs="Arial"/>
          <w:sz w:val="24"/>
          <w:szCs w:val="24"/>
          <w:lang w:val="en-GB"/>
        </w:rPr>
        <w:t xml:space="preserve">possible 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>cross-C</w:t>
      </w:r>
      <w:r w:rsidR="00773C65">
        <w:rPr>
          <w:rFonts w:asciiTheme="majorHAnsi" w:hAnsiTheme="majorHAnsi" w:cs="Arial"/>
          <w:sz w:val="24"/>
          <w:szCs w:val="24"/>
          <w:lang w:val="en-GB"/>
        </w:rPr>
        <w:t>O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>P topics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–Treasury C</w:t>
      </w:r>
      <w:r w:rsidR="00773C65">
        <w:rPr>
          <w:rFonts w:asciiTheme="majorHAnsi" w:hAnsiTheme="majorHAnsi" w:cs="Arial"/>
          <w:sz w:val="24"/>
          <w:szCs w:val="24"/>
          <w:lang w:val="en-GB"/>
        </w:rPr>
        <w:t>O</w:t>
      </w:r>
      <w:r>
        <w:rPr>
          <w:rFonts w:asciiTheme="majorHAnsi" w:hAnsiTheme="majorHAnsi" w:cs="Arial"/>
          <w:sz w:val="24"/>
          <w:szCs w:val="24"/>
          <w:lang w:val="en-GB"/>
        </w:rPr>
        <w:t>P, Budget C</w:t>
      </w:r>
      <w:r w:rsidR="00773C65">
        <w:rPr>
          <w:rFonts w:asciiTheme="majorHAnsi" w:hAnsiTheme="majorHAnsi" w:cs="Arial"/>
          <w:sz w:val="24"/>
          <w:szCs w:val="24"/>
          <w:lang w:val="en-GB"/>
        </w:rPr>
        <w:t>OP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and IA C</w:t>
      </w:r>
      <w:r w:rsidR="00773C65">
        <w:rPr>
          <w:rFonts w:asciiTheme="majorHAnsi" w:hAnsiTheme="majorHAnsi" w:cs="Arial"/>
          <w:sz w:val="24"/>
          <w:szCs w:val="24"/>
          <w:lang w:val="en-GB"/>
        </w:rPr>
        <w:t>O</w:t>
      </w:r>
      <w:r>
        <w:rPr>
          <w:rFonts w:asciiTheme="majorHAnsi" w:hAnsiTheme="majorHAnsi" w:cs="Arial"/>
          <w:sz w:val="24"/>
          <w:szCs w:val="24"/>
          <w:lang w:val="en-GB"/>
        </w:rPr>
        <w:t>P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>.</w:t>
      </w:r>
    </w:p>
    <w:p w:rsidR="00F87500" w:rsidRPr="00677B6C" w:rsidRDefault="0000072F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7B6C">
        <w:rPr>
          <w:rFonts w:asciiTheme="majorHAnsi" w:hAnsiTheme="majorHAnsi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46355</wp:posOffset>
            </wp:positionV>
            <wp:extent cx="3116580" cy="2073910"/>
            <wp:effectExtent l="0" t="0" r="7620" b="254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FE1" w:rsidRPr="00677B6C">
        <w:rPr>
          <w:rFonts w:asciiTheme="majorHAnsi" w:hAnsiTheme="majorHAnsi" w:cs="Arial"/>
          <w:sz w:val="24"/>
          <w:szCs w:val="24"/>
          <w:lang w:val="en-GB"/>
        </w:rPr>
        <w:t xml:space="preserve">The website of PEMPAL is </w:t>
      </w:r>
      <w:hyperlink r:id="rId11" w:history="1">
        <w:r w:rsidR="00DC6FE1" w:rsidRPr="00677B6C">
          <w:rPr>
            <w:rStyle w:val="Hyperlink"/>
            <w:rFonts w:asciiTheme="majorHAnsi" w:hAnsiTheme="majorHAnsi" w:cs="Arial"/>
            <w:sz w:val="24"/>
            <w:szCs w:val="24"/>
            <w:lang w:val="en-GB"/>
          </w:rPr>
          <w:t>www.pempal.org</w:t>
        </w:r>
      </w:hyperlink>
      <w:r w:rsidRPr="00677B6C">
        <w:rPr>
          <w:rStyle w:val="Hyperlink"/>
          <w:rFonts w:asciiTheme="majorHAnsi" w:hAnsiTheme="majorHAnsi" w:cs="Arial"/>
          <w:sz w:val="24"/>
          <w:szCs w:val="24"/>
          <w:lang w:val="en-GB"/>
        </w:rPr>
        <w:t>.</w:t>
      </w:r>
      <w:r w:rsidR="00DC6FE1" w:rsidRPr="00677B6C">
        <w:rPr>
          <w:rFonts w:asciiTheme="majorHAnsi" w:hAnsiTheme="majorHAnsi" w:cs="Arial"/>
          <w:sz w:val="24"/>
          <w:szCs w:val="24"/>
          <w:lang w:val="en-GB"/>
        </w:rPr>
        <w:t xml:space="preserve">  Y</w:t>
      </w:r>
      <w:r w:rsidR="00702B8A" w:rsidRPr="00677B6C">
        <w:rPr>
          <w:rFonts w:asciiTheme="majorHAnsi" w:hAnsiTheme="majorHAnsi" w:cs="Arial"/>
          <w:sz w:val="24"/>
          <w:szCs w:val="24"/>
          <w:lang w:val="en-GB"/>
        </w:rPr>
        <w:t xml:space="preserve">ou can find all the </w:t>
      </w:r>
      <w:r w:rsidR="000C23CE" w:rsidRPr="00677B6C">
        <w:rPr>
          <w:rFonts w:asciiTheme="majorHAnsi" w:hAnsiTheme="majorHAnsi" w:cs="Arial"/>
          <w:sz w:val="24"/>
          <w:szCs w:val="24"/>
          <w:lang w:val="en-GB"/>
        </w:rPr>
        <w:t>documents</w:t>
      </w:r>
      <w:r w:rsidR="00702B8A" w:rsidRPr="00677B6C">
        <w:rPr>
          <w:rFonts w:asciiTheme="majorHAnsi" w:hAnsiTheme="majorHAnsi" w:cs="Arial"/>
          <w:sz w:val="24"/>
          <w:szCs w:val="24"/>
          <w:lang w:val="en-GB"/>
        </w:rPr>
        <w:t xml:space="preserve"> on the </w:t>
      </w:r>
      <w:r w:rsidR="00E15A14" w:rsidRPr="00677B6C">
        <w:rPr>
          <w:rFonts w:asciiTheme="majorHAnsi" w:hAnsiTheme="majorHAnsi" w:cs="Arial"/>
          <w:sz w:val="24"/>
          <w:szCs w:val="24"/>
          <w:lang w:val="en-GB"/>
        </w:rPr>
        <w:t>website</w:t>
      </w:r>
      <w:r w:rsidR="00B6250F" w:rsidRPr="00677B6C">
        <w:rPr>
          <w:rFonts w:asciiTheme="majorHAnsi" w:hAnsiTheme="majorHAnsi" w:cs="Arial"/>
          <w:sz w:val="24"/>
          <w:szCs w:val="24"/>
          <w:lang w:val="en-GB"/>
        </w:rPr>
        <w:t xml:space="preserve"> in the</w:t>
      </w:r>
      <w:r w:rsidR="000C23CE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8F2AE1">
        <w:rPr>
          <w:rFonts w:asciiTheme="majorHAnsi" w:hAnsiTheme="majorHAnsi" w:cs="Arial"/>
          <w:sz w:val="24"/>
          <w:szCs w:val="24"/>
          <w:lang w:val="en-GB"/>
        </w:rPr>
        <w:t xml:space="preserve">IACOP </w:t>
      </w:r>
      <w:r w:rsidR="000C23CE" w:rsidRPr="00677B6C">
        <w:rPr>
          <w:rFonts w:asciiTheme="majorHAnsi" w:hAnsiTheme="majorHAnsi" w:cs="Arial"/>
          <w:sz w:val="24"/>
          <w:szCs w:val="24"/>
          <w:lang w:val="en-GB"/>
        </w:rPr>
        <w:t xml:space="preserve">section (agenda, information letter, presentations, etc). </w:t>
      </w:r>
      <w:r w:rsidR="000038F8" w:rsidRPr="00677B6C">
        <w:rPr>
          <w:rFonts w:asciiTheme="majorHAnsi" w:hAnsiTheme="majorHAnsi" w:cs="Arial"/>
          <w:sz w:val="24"/>
          <w:szCs w:val="24"/>
          <w:lang w:val="en-GB"/>
        </w:rPr>
        <w:t xml:space="preserve">All the </w:t>
      </w:r>
      <w:r w:rsidR="00F87500" w:rsidRPr="00677B6C">
        <w:rPr>
          <w:rFonts w:asciiTheme="majorHAnsi" w:hAnsiTheme="majorHAnsi" w:cs="Arial"/>
          <w:sz w:val="24"/>
          <w:szCs w:val="24"/>
          <w:lang w:val="en-GB"/>
        </w:rPr>
        <w:t>documents</w:t>
      </w:r>
      <w:r w:rsidR="000038F8" w:rsidRPr="00677B6C">
        <w:rPr>
          <w:rFonts w:asciiTheme="majorHAnsi" w:hAnsiTheme="majorHAnsi" w:cs="Arial"/>
          <w:sz w:val="24"/>
          <w:szCs w:val="24"/>
          <w:lang w:val="en-GB"/>
        </w:rPr>
        <w:t xml:space="preserve"> will be </w:t>
      </w:r>
      <w:r w:rsidR="008F2AE1">
        <w:rPr>
          <w:rFonts w:asciiTheme="majorHAnsi" w:hAnsiTheme="majorHAnsi" w:cs="Arial"/>
          <w:sz w:val="24"/>
          <w:szCs w:val="24"/>
          <w:lang w:val="en-GB"/>
        </w:rPr>
        <w:t>available as</w:t>
      </w:r>
      <w:r w:rsidR="000038F8" w:rsidRPr="00677B6C">
        <w:rPr>
          <w:rFonts w:asciiTheme="majorHAnsi" w:hAnsiTheme="majorHAnsi" w:cs="Arial"/>
          <w:sz w:val="24"/>
          <w:szCs w:val="24"/>
          <w:lang w:val="en-GB"/>
        </w:rPr>
        <w:t xml:space="preserve"> electronic version</w:t>
      </w:r>
      <w:r w:rsidR="008F2AE1">
        <w:rPr>
          <w:rFonts w:asciiTheme="majorHAnsi" w:hAnsiTheme="majorHAnsi" w:cs="Arial"/>
          <w:sz w:val="24"/>
          <w:szCs w:val="24"/>
          <w:lang w:val="en-GB"/>
        </w:rPr>
        <w:t>s only,</w:t>
      </w:r>
      <w:r w:rsidR="000038F8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="008F2AE1">
        <w:rPr>
          <w:rFonts w:asciiTheme="majorHAnsi" w:hAnsiTheme="majorHAnsi" w:cs="Arial"/>
          <w:sz w:val="24"/>
          <w:szCs w:val="24"/>
          <w:lang w:val="en-GB"/>
        </w:rPr>
        <w:t>with</w:t>
      </w:r>
      <w:r w:rsidR="000038F8" w:rsidRPr="00677B6C">
        <w:rPr>
          <w:rFonts w:asciiTheme="majorHAnsi" w:hAnsiTheme="majorHAnsi" w:cs="Arial"/>
          <w:sz w:val="24"/>
          <w:szCs w:val="24"/>
          <w:lang w:val="en-GB"/>
        </w:rPr>
        <w:t>no</w:t>
      </w:r>
      <w:proofErr w:type="spellEnd"/>
      <w:r w:rsidR="00F87500" w:rsidRPr="00677B6C">
        <w:rPr>
          <w:rFonts w:asciiTheme="majorHAnsi" w:hAnsiTheme="majorHAnsi" w:cs="Arial"/>
          <w:sz w:val="24"/>
          <w:szCs w:val="24"/>
          <w:lang w:val="en-GB"/>
        </w:rPr>
        <w:t xml:space="preserve"> hard </w:t>
      </w:r>
      <w:proofErr w:type="gramStart"/>
      <w:r w:rsidR="00F87500" w:rsidRPr="00677B6C">
        <w:rPr>
          <w:rFonts w:asciiTheme="majorHAnsi" w:hAnsiTheme="majorHAnsi" w:cs="Arial"/>
          <w:sz w:val="24"/>
          <w:szCs w:val="24"/>
          <w:lang w:val="en-GB"/>
        </w:rPr>
        <w:t>copies  provided</w:t>
      </w:r>
      <w:proofErr w:type="gramEnd"/>
      <w:r w:rsidR="00F87500" w:rsidRPr="00677B6C">
        <w:rPr>
          <w:rFonts w:asciiTheme="majorHAnsi" w:hAnsiTheme="majorHAnsi" w:cs="Arial"/>
          <w:sz w:val="24"/>
          <w:szCs w:val="24"/>
          <w:lang w:val="en-GB"/>
        </w:rPr>
        <w:t>.</w:t>
      </w:r>
      <w:r w:rsidR="00EA7FBC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8F2AE1">
        <w:rPr>
          <w:rFonts w:asciiTheme="majorHAnsi" w:hAnsiTheme="majorHAnsi" w:cs="Arial"/>
          <w:sz w:val="24"/>
          <w:szCs w:val="24"/>
          <w:lang w:val="en-GB"/>
        </w:rPr>
        <w:t xml:space="preserve">The same website also contains our 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>knowledge products.</w:t>
      </w:r>
      <w:r w:rsidR="00EA7FBC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F87500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:rsidR="00677B6C" w:rsidRDefault="00677B6C" w:rsidP="00D63691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</w:p>
    <w:p w:rsidR="003B3360" w:rsidRPr="003B3360" w:rsidRDefault="003B3360" w:rsidP="00D63691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3B3360">
        <w:rPr>
          <w:rFonts w:asciiTheme="majorHAnsi" w:hAnsiTheme="majorHAnsi" w:cs="Arial"/>
          <w:sz w:val="24"/>
          <w:szCs w:val="24"/>
          <w:lang w:val="en-GB"/>
        </w:rPr>
        <w:t>The IACOP activities are directed by a well-organized and result</w:t>
      </w:r>
      <w:r w:rsidR="008F2AE1">
        <w:rPr>
          <w:rFonts w:asciiTheme="majorHAnsi" w:hAnsiTheme="majorHAnsi" w:cs="Arial"/>
          <w:sz w:val="24"/>
          <w:szCs w:val="24"/>
          <w:lang w:val="en-GB"/>
        </w:rPr>
        <w:t>-</w:t>
      </w:r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oriented Executive Committee (ExCom) team, comprised </w:t>
      </w:r>
      <w:r w:rsidR="008F2AE1">
        <w:rPr>
          <w:rFonts w:asciiTheme="majorHAnsi" w:hAnsiTheme="majorHAnsi" w:cs="Arial"/>
          <w:sz w:val="24"/>
          <w:szCs w:val="24"/>
          <w:lang w:val="en-GB"/>
        </w:rPr>
        <w:t>o</w:t>
      </w:r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f nine members: Edgar Mkrtchyan (Armenia), Chair; Edit Nemeth (Vice-Chair, Hungary), Vice-Chair; Amela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Muftic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(Bosnia and Herzegovina), Vice-Chair; Ljerka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Crnkovic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(Croatia); Stanislav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Bychkov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(Russia);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Zamira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Omorova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(Kyrgyz Republic);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Mioara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Diaconescu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(Romania); Petru Babuci, (Moldova), Acting member;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Olim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3B3360">
        <w:rPr>
          <w:rFonts w:asciiTheme="majorHAnsi" w:hAnsiTheme="majorHAnsi" w:cs="Arial"/>
          <w:sz w:val="24"/>
          <w:szCs w:val="24"/>
          <w:lang w:val="en-GB"/>
        </w:rPr>
        <w:t>Mirzoev</w:t>
      </w:r>
      <w:proofErr w:type="spellEnd"/>
      <w:r w:rsidRPr="003B3360">
        <w:rPr>
          <w:rFonts w:asciiTheme="majorHAnsi" w:hAnsiTheme="majorHAnsi" w:cs="Arial"/>
          <w:sz w:val="24"/>
          <w:szCs w:val="24"/>
          <w:lang w:val="en-GB"/>
        </w:rPr>
        <w:t xml:space="preserve"> (Tajikistan).  </w:t>
      </w:r>
    </w:p>
    <w:p w:rsidR="002F3A0F" w:rsidRPr="00677B6C" w:rsidRDefault="0054054A" w:rsidP="00D63691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The </w:t>
      </w:r>
      <w:r w:rsidR="002F3A0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persons responsible for </w:t>
      </w:r>
      <w:r w:rsidR="003B3360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organising </w:t>
      </w:r>
      <w:r w:rsidR="002F3A0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IAC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="002F3A0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 activities are:</w:t>
      </w:r>
    </w:p>
    <w:p w:rsidR="003B3360" w:rsidRPr="00677B6C" w:rsidRDefault="003B3360" w:rsidP="003B336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IAC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 Lead-Governance, the World Bank – Mr. Arman Vatyan;</w:t>
      </w:r>
    </w:p>
    <w:p w:rsidR="003B3360" w:rsidRPr="00677B6C" w:rsidRDefault="003B3360" w:rsidP="003B336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IA 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P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resource expert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,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the World Bank – Ms. Diana Grosu-Axenti;</w:t>
      </w:r>
    </w:p>
    <w:p w:rsidR="002F3A0F" w:rsidRPr="00677B6C" w:rsidRDefault="00ED3081" w:rsidP="002F3A0F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IAC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P </w:t>
      </w:r>
      <w:r w:rsidR="002F3A0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C</w:t>
      </w:r>
      <w:r w:rsidR="0054054A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hair Mr. 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Edgar Mkrtchyan – </w:t>
      </w:r>
      <w:r w:rsidR="00D63691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Deputy Head of Financial 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Management and Control Division – Ministry of Finance, Armenia</w:t>
      </w:r>
    </w:p>
    <w:p w:rsidR="00B34440" w:rsidRPr="00677B6C" w:rsidRDefault="006414C0" w:rsidP="00B3444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ICWG Leader</w:t>
      </w:r>
      <w:r w:rsidR="00701ED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, Deputy chair of IACOP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– Ms. Edit</w:t>
      </w:r>
      <w:r w:rsidR="00B3444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Németh - Deputy head of unit Public Finance Policy Unit – Ministry of Finance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, </w:t>
      </w:r>
      <w:r w:rsidR="00B3444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Hungary</w:t>
      </w:r>
    </w:p>
    <w:p w:rsidR="00B34440" w:rsidRPr="00677B6C" w:rsidRDefault="00B34440" w:rsidP="00CA6409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proofErr w:type="spellStart"/>
      <w:r w:rsidRPr="00677B6C">
        <w:rPr>
          <w:rFonts w:asciiTheme="majorHAnsi" w:hAnsiTheme="majorHAnsi" w:cs="Arial"/>
          <w:sz w:val="24"/>
          <w:szCs w:val="24"/>
          <w:lang w:val="en-GB"/>
        </w:rPr>
        <w:t>AiPWG</w:t>
      </w:r>
      <w:proofErr w:type="spellEnd"/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 Leader </w:t>
      </w:r>
      <w:r w:rsidR="00677B6C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– </w:t>
      </w: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  </w:t>
      </w:r>
      <w:r w:rsidR="00CA6409" w:rsidRPr="00677B6C">
        <w:rPr>
          <w:rFonts w:asciiTheme="majorHAnsi" w:hAnsiTheme="majorHAnsi" w:cs="Arial"/>
          <w:sz w:val="24"/>
          <w:szCs w:val="24"/>
          <w:lang w:val="en-GB"/>
        </w:rPr>
        <w:t xml:space="preserve">Ms. </w:t>
      </w: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Mioara Diaconescu – Director </w:t>
      </w:r>
      <w:r w:rsidR="00E75833" w:rsidRPr="00677B6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677B6C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– </w:t>
      </w:r>
      <w:r w:rsidR="00E75833" w:rsidRPr="00677B6C">
        <w:rPr>
          <w:rFonts w:asciiTheme="majorHAnsi" w:hAnsiTheme="majorHAnsi" w:cs="Arial"/>
          <w:sz w:val="24"/>
          <w:szCs w:val="24"/>
          <w:lang w:val="en-GB"/>
        </w:rPr>
        <w:t xml:space="preserve"> C</w:t>
      </w:r>
      <w:r w:rsidRPr="00677B6C">
        <w:rPr>
          <w:rFonts w:asciiTheme="majorHAnsi" w:hAnsiTheme="majorHAnsi" w:cs="Arial"/>
          <w:sz w:val="24"/>
          <w:szCs w:val="24"/>
          <w:lang w:val="en-GB"/>
        </w:rPr>
        <w:t>HUPIA – Ministry of Public Finance</w:t>
      </w:r>
      <w:r w:rsidR="006414C0" w:rsidRPr="00677B6C">
        <w:rPr>
          <w:rFonts w:asciiTheme="majorHAnsi" w:hAnsiTheme="majorHAnsi" w:cs="Arial"/>
          <w:sz w:val="24"/>
          <w:szCs w:val="24"/>
          <w:lang w:val="en-GB"/>
        </w:rPr>
        <w:t>,</w:t>
      </w:r>
      <w:r w:rsidRPr="00677B6C">
        <w:rPr>
          <w:rFonts w:asciiTheme="majorHAnsi" w:hAnsiTheme="majorHAnsi" w:cs="Arial"/>
          <w:sz w:val="24"/>
          <w:szCs w:val="24"/>
          <w:lang w:val="en-GB"/>
        </w:rPr>
        <w:t xml:space="preserve"> Romania.</w:t>
      </w:r>
    </w:p>
    <w:p w:rsidR="00CE4CE4" w:rsidRPr="00677B6C" w:rsidRDefault="00CE4CE4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Our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PEMPAL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has </w:t>
      </w:r>
      <w:r w:rsidR="000B5C51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a Secretariat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which</w:t>
      </w:r>
      <w:r w:rsidR="00E83F4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main tasks include providing logistical and administrative support to 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events</w:t>
      </w:r>
      <w:r w:rsidR="000B5C51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.</w:t>
      </w:r>
      <w:r w:rsidR="006C059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7F508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For IAC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O</w:t>
      </w:r>
      <w:r w:rsidR="007F508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P the </w:t>
      </w:r>
      <w:r w:rsidR="00677B6C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Secretariat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services are</w:t>
      </w:r>
      <w:r w:rsidR="007F508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provided by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Kristina Zaituna (</w:t>
      </w:r>
      <w:hyperlink r:id="rId12" w:history="1">
        <w:r w:rsidR="007F508B" w:rsidRPr="00677B6C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en-GB"/>
          </w:rPr>
          <w:t>kzaituna@worldbank.org</w:t>
        </w:r>
      </w:hyperlink>
      <w:r w:rsidR="007F508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).</w:t>
      </w:r>
    </w:p>
    <w:p w:rsidR="00677B6C" w:rsidRDefault="00B6250F" w:rsidP="00677B6C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During the events the</w:t>
      </w:r>
      <w:r w:rsidR="00477C2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participants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usually </w:t>
      </w:r>
      <w:r w:rsidR="00477C2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are allocated to</w:t>
      </w:r>
      <w:r w:rsidR="004A00E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6</w:t>
      </w:r>
      <w:r w:rsidR="00C31FD6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-8</w:t>
      </w:r>
      <w:r w:rsidR="004A00E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round tables</w:t>
      </w:r>
      <w:r w:rsidR="006C059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. As</w:t>
      </w:r>
      <w:r w:rsidR="004A00E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 participant </w:t>
      </w:r>
      <w:r w:rsidR="006C059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you </w:t>
      </w:r>
      <w:r w:rsidR="004A00E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will be </w:t>
      </w:r>
      <w:r w:rsidR="000038F8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involved in the</w:t>
      </w:r>
      <w:r w:rsidR="00BA506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="00BA506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discussions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working</w:t>
      </w:r>
      <w:proofErr w:type="gramEnd"/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on </w:t>
      </w:r>
      <w:r w:rsidR="000038F8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documents elaborated by the participants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at that</w:t>
      </w:r>
      <w:r w:rsidR="006C059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4A00E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table.</w:t>
      </w:r>
      <w:r w:rsidR="000038F8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BA506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If you are invite</w:t>
      </w:r>
      <w:r w:rsidR="006C059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d</w:t>
      </w:r>
      <w:r w:rsidR="00BA506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E83F4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to provide </w:t>
      </w:r>
      <w:r w:rsidR="00BA506E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 presentation, you will be also involved in </w:t>
      </w:r>
      <w:r w:rsidR="00477C2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the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Q&amp;A </w:t>
      </w:r>
      <w:r w:rsidR="00477C22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session</w:t>
      </w:r>
      <w:r w:rsidR="00F906F9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.</w:t>
      </w:r>
      <w:r w:rsidR="00677B6C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</w:p>
    <w:p w:rsidR="00F906F9" w:rsidRPr="00677B6C" w:rsidRDefault="00E83F42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lastRenderedPageBreak/>
        <w:t>Our meeting</w:t>
      </w:r>
      <w:r w:rsidR="00DA414D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are very interactive and we aim to involve all participants in the discussions. </w:t>
      </w:r>
      <w:r w:rsidR="00F906F9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The meetings use different fr</w:t>
      </w:r>
      <w:r w:rsidR="0069418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ameworks for discussions: </w:t>
      </w:r>
      <w:r w:rsidR="00D7136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talk show,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panel discussion, table discussion,</w:t>
      </w:r>
      <w:r w:rsidR="00D7136B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500387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fishbowl</w:t>
      </w:r>
      <w:r w:rsidR="0000072F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, worl</w:t>
      </w:r>
      <w:r w:rsidR="00500387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d</w:t>
      </w:r>
      <w:r w:rsidR="00DA414D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00072F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café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, role play, case studies</w:t>
      </w:r>
      <w:r w:rsidR="00D7136B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. Please find below some information about these </w:t>
      </w:r>
      <w:r w:rsidR="00FC5599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frameworks</w:t>
      </w:r>
      <w:r w:rsidR="0053351E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.</w:t>
      </w:r>
    </w:p>
    <w:p w:rsidR="0053351E" w:rsidRPr="00677B6C" w:rsidRDefault="0053351E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>Talk show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–</w:t>
      </w:r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in accordance with agenda, a subject will be discussed with the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talk show </w:t>
      </w:r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participants. The discussion will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be run </w:t>
      </w:r>
      <w:proofErr w:type="gramStart"/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by </w:t>
      </w:r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a</w:t>
      </w:r>
      <w:proofErr w:type="gramEnd"/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moderator. Sometimes, at the end of the talk show we have a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Q&amp;A</w:t>
      </w:r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session for the rest of participants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to engage</w:t>
      </w:r>
      <w:r w:rsidR="00EE7F55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.</w:t>
      </w:r>
    </w:p>
    <w:p w:rsidR="00B6250F" w:rsidRPr="00677B6C" w:rsidRDefault="00E83F42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 xml:space="preserve">Panel discussion 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– during panel discussion a group of expert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, resource partner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or member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of IACOP discuss a topic and the audience is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invited to participate in Q&amp;A session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.</w:t>
      </w:r>
    </w:p>
    <w:p w:rsidR="00E83F42" w:rsidRPr="00677B6C" w:rsidRDefault="00E83F42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>Table discussion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– the participant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spend 10-30 minutes to discuss a topic at their tables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. After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this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each of the tables report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back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outcomes of the </w:t>
      </w:r>
      <w:proofErr w:type="gramStart"/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discussion 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to</w:t>
      </w:r>
      <w:proofErr w:type="gramEnd"/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the full audience.</w:t>
      </w:r>
    </w:p>
    <w:p w:rsidR="001966F6" w:rsidRPr="00677B6C" w:rsidRDefault="00B6250F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u w:val="single"/>
          <w:shd w:val="clear" w:color="auto" w:fill="FFFFFF"/>
          <w:lang w:val="en-GB"/>
        </w:rPr>
      </w:pPr>
      <w:r w:rsidRPr="00677B6C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103505</wp:posOffset>
            </wp:positionV>
            <wp:extent cx="2726690" cy="1817370"/>
            <wp:effectExtent l="0" t="0" r="0" b="0"/>
            <wp:wrapTight wrapText="bothSides">
              <wp:wrapPolygon edited="0">
                <wp:start x="0" y="0"/>
                <wp:lineTo x="0" y="21283"/>
                <wp:lineTo x="21429" y="21283"/>
                <wp:lineTo x="21429" y="0"/>
                <wp:lineTo x="0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A92"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>Fishbowl</w:t>
      </w:r>
      <w:r w:rsidR="00A43A92" w:rsidRPr="00677B6C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– all the participants are arranged in a circle. In the middle of the circle there is a moderator and 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3-5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experts/participants. The moderator will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start the discussion with those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experts/participants. You have the pos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sibility to replace one of the </w:t>
      </w:r>
      <w:r w:rsidR="00C31FD6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speakers</w:t>
      </w:r>
      <w:r w:rsidR="00C31FD6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in the middle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in case you </w:t>
      </w:r>
      <w:proofErr w:type="spellStart"/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deen</w:t>
      </w:r>
      <w:proofErr w:type="spellEnd"/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that 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you hav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e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important information or </w:t>
      </w:r>
      <w:r w:rsidR="005A3E89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some 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other opinion about the subject. The discussion will continue</w:t>
      </w:r>
      <w:r w:rsidR="004E1BCB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following this pattern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during the time allocated </w:t>
      </w:r>
      <w:r w:rsidR="004E1BCB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for this activity</w:t>
      </w:r>
      <w:r w:rsidR="00E83F42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.</w:t>
      </w:r>
      <w:r w:rsidR="00E83F42" w:rsidRPr="00677B6C">
        <w:rPr>
          <w:rFonts w:asciiTheme="majorHAnsi" w:hAnsiTheme="majorHAnsi"/>
          <w:sz w:val="24"/>
          <w:szCs w:val="24"/>
          <w:lang w:val="en-GB" w:eastAsia="hu-HU"/>
        </w:rPr>
        <w:t xml:space="preserve"> </w:t>
      </w:r>
    </w:p>
    <w:p w:rsidR="00500387" w:rsidRPr="00677B6C" w:rsidRDefault="00500387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>World</w:t>
      </w:r>
      <w:r w:rsidR="00DA414D"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 xml:space="preserve"> C</w:t>
      </w: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en-GB"/>
        </w:rPr>
        <w:t>afé</w:t>
      </w:r>
      <w:r w:rsidRPr="00677B6C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B6250F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–</w:t>
      </w:r>
      <w:r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B6250F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a </w:t>
      </w:r>
      <w:r w:rsidRPr="00677B6C">
        <w:rPr>
          <w:rStyle w:val="Emphasis"/>
          <w:rFonts w:asciiTheme="majorHAnsi" w:hAnsiTheme="majorHAnsi"/>
          <w:i w:val="0"/>
          <w:sz w:val="24"/>
          <w:szCs w:val="24"/>
          <w:shd w:val="clear" w:color="auto" w:fill="FFFFFF"/>
          <w:lang w:val="en-GB"/>
        </w:rPr>
        <w:t>World Café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B6250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(also known as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Pr="00677B6C">
        <w:rPr>
          <w:rStyle w:val="Emphasis"/>
          <w:rFonts w:asciiTheme="majorHAnsi" w:hAnsiTheme="majorHAnsi"/>
          <w:i w:val="0"/>
          <w:sz w:val="24"/>
          <w:szCs w:val="24"/>
          <w:shd w:val="clear" w:color="auto" w:fill="FFFFFF"/>
          <w:lang w:val="en-GB"/>
        </w:rPr>
        <w:t>Knowledge Café</w:t>
      </w:r>
      <w:r w:rsidR="00B6250F" w:rsidRPr="00677B6C">
        <w:rPr>
          <w:rStyle w:val="Emphasis"/>
          <w:rFonts w:asciiTheme="majorHAnsi" w:hAnsiTheme="majorHAnsi"/>
          <w:i w:val="0"/>
          <w:sz w:val="24"/>
          <w:szCs w:val="24"/>
          <w:shd w:val="clear" w:color="auto" w:fill="FFFFFF"/>
          <w:lang w:val="en-GB"/>
        </w:rPr>
        <w:t>)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is a structured conversational process for </w:t>
      </w:r>
      <w:hyperlink r:id="rId14" w:tooltip="Knowledge sharing" w:history="1">
        <w:r w:rsidRPr="00677B6C">
          <w:rPr>
            <w:rStyle w:val="Emphasis"/>
            <w:rFonts w:asciiTheme="majorHAnsi" w:hAnsiTheme="majorHAnsi"/>
            <w:bCs/>
            <w:i w:val="0"/>
            <w:sz w:val="24"/>
            <w:szCs w:val="24"/>
            <w:shd w:val="clear" w:color="auto" w:fill="FFFFFF"/>
            <w:lang w:val="en-GB"/>
          </w:rPr>
          <w:t>knowledge sharing</w:t>
        </w:r>
      </w:hyperlink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in which groups of people discuss a topic at several tables, with individuals – in our case experts – switching tables periodically and getting introduced to the previous discussion at their new table by a "table host".</w:t>
      </w:r>
    </w:p>
    <w:p w:rsidR="007F508B" w:rsidRPr="00677B6C" w:rsidRDefault="007F508B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We have a newspaper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,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too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!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The articles are 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produced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on voluntary bas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is,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and the newspaper 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is used to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disseminate  new</w:t>
      </w:r>
      <w:proofErr w:type="gramEnd"/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developments 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i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n our countries 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as well as 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good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practice</w:t>
      </w:r>
      <w:r w:rsidR="006414C0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s.</w:t>
      </w:r>
    </w:p>
    <w:p w:rsidR="00F906F9" w:rsidRPr="00677B6C" w:rsidRDefault="00FC5599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</w:pP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Also, during the meeting </w:t>
      </w:r>
      <w:r w:rsidR="00A24DB4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we have</w:t>
      </w:r>
      <w:r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</w:t>
      </w:r>
      <w:r w:rsidR="0000072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different </w:t>
      </w:r>
      <w:r w:rsidR="0000072F" w:rsidRPr="00677B6C">
        <w:rPr>
          <w:rStyle w:val="Emphasis"/>
          <w:rFonts w:asciiTheme="majorHAnsi" w:hAnsiTheme="majorHAnsi"/>
          <w:b/>
          <w:bCs/>
          <w:sz w:val="24"/>
          <w:szCs w:val="24"/>
          <w:shd w:val="clear" w:color="auto" w:fill="FFFFFF"/>
          <w:lang w:val="en-GB"/>
        </w:rPr>
        <w:t xml:space="preserve">enabling </w:t>
      </w:r>
      <w:proofErr w:type="gramStart"/>
      <w:r w:rsidR="0000072F" w:rsidRPr="00677B6C">
        <w:rPr>
          <w:rStyle w:val="Emphasis"/>
          <w:rFonts w:asciiTheme="majorHAnsi" w:hAnsiTheme="majorHAnsi"/>
          <w:b/>
          <w:bCs/>
          <w:sz w:val="24"/>
          <w:szCs w:val="24"/>
          <w:shd w:val="clear" w:color="auto" w:fill="FFFFFF"/>
          <w:lang w:val="en-GB"/>
        </w:rPr>
        <w:t>groups</w:t>
      </w:r>
      <w:r w:rsidR="00F57E1E">
        <w:rPr>
          <w:rStyle w:val="Emphasis"/>
          <w:rFonts w:asciiTheme="majorHAnsi" w:hAnsiTheme="majorHAnsi"/>
          <w:b/>
          <w:bCs/>
          <w:sz w:val="24"/>
          <w:szCs w:val="24"/>
          <w:shd w:val="clear" w:color="auto" w:fill="FFFFFF"/>
          <w:lang w:val="en-GB"/>
        </w:rPr>
        <w:t xml:space="preserve">; </w:t>
      </w:r>
      <w:r w:rsidR="0000072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see</w:t>
      </w:r>
      <w:proofErr w:type="gramEnd"/>
      <w:r w:rsidR="0000072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some examples</w:t>
      </w:r>
      <w:r w:rsidR="00F57E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are presented</w:t>
      </w:r>
      <w:r w:rsidR="0000072F" w:rsidRP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 xml:space="preserve"> below</w:t>
      </w:r>
      <w:r w:rsidR="007B0E3B" w:rsidRPr="00677B6C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en-GB"/>
        </w:rPr>
        <w:t>.</w:t>
      </w:r>
      <w:r w:rsidR="00B37EC1" w:rsidRPr="00677B6C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en-GB"/>
        </w:rPr>
        <w:t xml:space="preserve"> </w:t>
      </w:r>
      <w:r w:rsidR="00F57E1E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Members of such </w:t>
      </w:r>
      <w:proofErr w:type="spellStart"/>
      <w:r w:rsidR="00F57E1E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grouls</w:t>
      </w:r>
      <w:proofErr w:type="spellEnd"/>
      <w:r w:rsidR="00F57E1E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would be </w:t>
      </w:r>
      <w:r w:rsidR="00B37EC1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appointed at the </w:t>
      </w:r>
      <w:r w:rsidR="00A62044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>beginning</w:t>
      </w:r>
      <w:r w:rsidR="00B37EC1" w:rsidRPr="00677B6C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 of the event.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176"/>
      </w:tblGrid>
      <w:tr w:rsidR="00B6250F" w:rsidRPr="00677B6C" w:rsidTr="00B6250F">
        <w:trPr>
          <w:jc w:val="center"/>
        </w:trPr>
        <w:tc>
          <w:tcPr>
            <w:tcW w:w="2894" w:type="dxa"/>
          </w:tcPr>
          <w:p w:rsidR="00EB2C54" w:rsidRPr="00677B6C" w:rsidRDefault="00B6250F" w:rsidP="00B6250F">
            <w:pPr>
              <w:jc w:val="center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235295" cy="1844702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723" cy="186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50F" w:rsidRPr="00677B6C" w:rsidRDefault="00B6250F" w:rsidP="000C23CE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</w:p>
          <w:p w:rsidR="00EB2C54" w:rsidRPr="00677B6C" w:rsidRDefault="00B6250F" w:rsidP="00B6250F">
            <w:pPr>
              <w:jc w:val="center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02130" cy="1021278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80" cy="102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7" w:type="dxa"/>
          </w:tcPr>
          <w:p w:rsidR="002F76C8" w:rsidRPr="00677B6C" w:rsidRDefault="00A24DB4" w:rsidP="00A24DB4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  <w:t>Value detectives –</w:t>
            </w:r>
            <w:r w:rsidRPr="00677B6C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7B5D53"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explore created values 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and demonstrate</w:t>
            </w:r>
            <w:r w:rsidR="007B5D53"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outputs and impact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7B5D53"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A24DB4" w:rsidRPr="00677B6C" w:rsidRDefault="00A24DB4" w:rsidP="000C23CE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</w:p>
          <w:p w:rsidR="00A24DB4" w:rsidRPr="00677B6C" w:rsidRDefault="00A24DB4" w:rsidP="00A24DB4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  <w:t>Quality Friends –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identify strong &amp; weak points of the event </w:t>
            </w:r>
            <w:proofErr w:type="gramStart"/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in order to</w:t>
            </w:r>
            <w:proofErr w:type="gramEnd"/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 improve next meeting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s.</w:t>
            </w:r>
            <w:r w:rsidRPr="00677B6C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A24DB4" w:rsidRPr="00677B6C" w:rsidRDefault="00A24DB4" w:rsidP="00A24DB4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</w:p>
          <w:p w:rsidR="00A24DB4" w:rsidRPr="00677B6C" w:rsidRDefault="00A24DB4" w:rsidP="00A24DB4">
            <w:pPr>
              <w:jc w:val="both"/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  <w:t>Agenda Activists –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identify new topics for 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future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 events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300A5A" w:rsidRPr="00677B6C" w:rsidRDefault="00300A5A" w:rsidP="00300A5A">
            <w:pPr>
              <w:jc w:val="both"/>
              <w:rPr>
                <w:rFonts w:asciiTheme="majorHAnsi" w:hAnsiTheme="majorHAnsi"/>
                <w:b/>
                <w:bCs/>
                <w:i/>
                <w:sz w:val="24"/>
                <w:szCs w:val="24"/>
                <w:u w:val="single"/>
                <w:shd w:val="clear" w:color="auto" w:fill="FFFFFF"/>
                <w:lang w:val="en-GB"/>
              </w:rPr>
            </w:pPr>
          </w:p>
          <w:p w:rsidR="00B6250F" w:rsidRPr="00677B6C" w:rsidRDefault="007B5D53" w:rsidP="00300A5A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en-GB"/>
              </w:rPr>
              <w:t>External messengers</w:t>
            </w:r>
            <w:r w:rsidR="00300A5A" w:rsidRPr="00677B6C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en-GB"/>
              </w:rPr>
              <w:t xml:space="preserve"> - </w:t>
            </w:r>
            <w:r w:rsidRPr="00677B6C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prepare communique or resolution to make us visible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2F76C8" w:rsidRPr="00677B6C" w:rsidRDefault="007B5D53" w:rsidP="00300A5A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B6250F" w:rsidRPr="00677B6C" w:rsidRDefault="00B6250F" w:rsidP="00B6250F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en-GB"/>
              </w:rPr>
              <w:t xml:space="preserve">Community keepers -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find solutions for sustainability: welcoming new members, 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maintain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contacts with photo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on wiki, 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produce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thank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gramStart"/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you</w:t>
            </w:r>
            <w:proofErr w:type="gramEnd"/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 letters</w:t>
            </w:r>
          </w:p>
          <w:p w:rsidR="00B6250F" w:rsidRPr="00677B6C" w:rsidRDefault="00B6250F" w:rsidP="00B6250F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</w:p>
          <w:p w:rsidR="00EB2C54" w:rsidRPr="00677B6C" w:rsidRDefault="00B6250F" w:rsidP="00B6250F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Social Reporters - 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at the end of the meeting the social reporters will present to participants the most 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entertaining and enjoyable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 moments 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>of</w:t>
            </w:r>
            <w:r w:rsidRPr="00677B6C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 the event. They will </w:t>
            </w:r>
            <w:r w:rsidR="00F57E1E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GB"/>
              </w:rPr>
              <w:t xml:space="preserve">also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collect memories from the social 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and other </w:t>
            </w:r>
            <w:r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event</w:t>
            </w:r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 xml:space="preserve">s outside the main </w:t>
            </w:r>
            <w:proofErr w:type="gramStart"/>
            <w:r w:rsidR="00F57E1E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agenda..</w:t>
            </w:r>
            <w:proofErr w:type="gramEnd"/>
          </w:p>
        </w:tc>
      </w:tr>
    </w:tbl>
    <w:p w:rsidR="00870115" w:rsidRPr="00677B6C" w:rsidRDefault="00870115" w:rsidP="00677B6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DA414D" w:rsidRPr="00677B6C" w:rsidRDefault="00DA414D" w:rsidP="00A62044">
      <w:pPr>
        <w:spacing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677B6C">
        <w:rPr>
          <w:rFonts w:asciiTheme="majorHAnsi" w:hAnsiTheme="majorHAnsi"/>
          <w:i/>
          <w:sz w:val="24"/>
          <w:szCs w:val="24"/>
          <w:lang w:val="en-GB"/>
        </w:rPr>
        <w:t xml:space="preserve">Networking breaks &amp; social </w:t>
      </w:r>
      <w:r w:rsidR="00CB70DB" w:rsidRPr="00677B6C">
        <w:rPr>
          <w:rFonts w:asciiTheme="majorHAnsi" w:hAnsiTheme="majorHAnsi"/>
          <w:i/>
          <w:sz w:val="24"/>
          <w:szCs w:val="24"/>
          <w:lang w:val="en-GB"/>
        </w:rPr>
        <w:t xml:space="preserve">events - </w:t>
      </w:r>
      <w:r w:rsidRPr="00677B6C">
        <w:rPr>
          <w:rFonts w:asciiTheme="majorHAnsi" w:hAnsiTheme="majorHAnsi"/>
          <w:sz w:val="24"/>
          <w:szCs w:val="24"/>
          <w:lang w:val="en-GB"/>
        </w:rPr>
        <w:t>You will notice that between the sessions there are networking breaks and usually there are some social events - mainly organised by hosts</w:t>
      </w:r>
      <w:r w:rsidR="00F57E1E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F57E1E">
        <w:rPr>
          <w:rFonts w:asciiTheme="majorHAnsi" w:hAnsiTheme="majorHAnsi"/>
          <w:sz w:val="24"/>
          <w:szCs w:val="24"/>
          <w:lang w:val="en-GB"/>
        </w:rPr>
        <w:t>We</w:t>
      </w:r>
      <w:r w:rsidRPr="00677B6C">
        <w:rPr>
          <w:rFonts w:asciiTheme="majorHAnsi" w:hAnsiTheme="majorHAnsi"/>
          <w:sz w:val="24"/>
          <w:szCs w:val="24"/>
          <w:lang w:val="en-GB"/>
        </w:rPr>
        <w:t>welcome</w:t>
      </w:r>
      <w:proofErr w:type="spellEnd"/>
      <w:r w:rsidRPr="00677B6C">
        <w:rPr>
          <w:rFonts w:asciiTheme="majorHAnsi" w:hAnsiTheme="majorHAnsi"/>
          <w:sz w:val="24"/>
          <w:szCs w:val="24"/>
          <w:lang w:val="en-GB"/>
        </w:rPr>
        <w:t xml:space="preserve"> everybody </w:t>
      </w:r>
      <w:r w:rsidR="00F57E1E">
        <w:rPr>
          <w:rFonts w:asciiTheme="majorHAnsi" w:hAnsiTheme="majorHAnsi"/>
          <w:sz w:val="24"/>
          <w:szCs w:val="24"/>
          <w:lang w:val="en-GB"/>
        </w:rPr>
        <w:t xml:space="preserve">at such events, </w:t>
      </w:r>
      <w:r w:rsidRPr="00677B6C">
        <w:rPr>
          <w:rFonts w:asciiTheme="majorHAnsi" w:hAnsiTheme="majorHAnsi"/>
          <w:sz w:val="24"/>
          <w:szCs w:val="24"/>
          <w:lang w:val="en-GB"/>
        </w:rPr>
        <w:t xml:space="preserve">and we </w:t>
      </w:r>
      <w:r w:rsidR="00F57E1E">
        <w:rPr>
          <w:rFonts w:asciiTheme="majorHAnsi" w:hAnsiTheme="majorHAnsi"/>
          <w:sz w:val="24"/>
          <w:szCs w:val="24"/>
          <w:lang w:val="en-GB"/>
        </w:rPr>
        <w:t xml:space="preserve">strongly </w:t>
      </w:r>
      <w:r w:rsidRPr="00677B6C">
        <w:rPr>
          <w:rFonts w:asciiTheme="majorHAnsi" w:hAnsiTheme="majorHAnsi"/>
          <w:sz w:val="24"/>
          <w:szCs w:val="24"/>
          <w:lang w:val="en-GB"/>
        </w:rPr>
        <w:t xml:space="preserve">encourage networking </w:t>
      </w:r>
      <w:r w:rsidR="00F57E1E">
        <w:rPr>
          <w:rFonts w:asciiTheme="majorHAnsi" w:hAnsiTheme="majorHAnsi"/>
          <w:sz w:val="24"/>
          <w:szCs w:val="24"/>
          <w:lang w:val="en-GB"/>
        </w:rPr>
        <w:t xml:space="preserve">and </w:t>
      </w:r>
      <w:r w:rsidR="005073E6">
        <w:rPr>
          <w:rFonts w:asciiTheme="majorHAnsi" w:hAnsiTheme="majorHAnsi"/>
          <w:sz w:val="24"/>
          <w:szCs w:val="24"/>
          <w:lang w:val="en-GB"/>
        </w:rPr>
        <w:t>establishing ties</w:t>
      </w:r>
      <w:r w:rsidRPr="00677B6C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6414C0" w:rsidRPr="00677B6C">
        <w:rPr>
          <w:rFonts w:asciiTheme="majorHAnsi" w:hAnsiTheme="majorHAnsi"/>
          <w:sz w:val="24"/>
          <w:szCs w:val="24"/>
          <w:lang w:val="en-GB"/>
        </w:rPr>
        <w:t>among</w:t>
      </w:r>
      <w:r w:rsidRPr="00677B6C">
        <w:rPr>
          <w:rFonts w:asciiTheme="majorHAnsi" w:hAnsiTheme="majorHAnsi"/>
          <w:sz w:val="24"/>
          <w:szCs w:val="24"/>
          <w:lang w:val="en-GB"/>
        </w:rPr>
        <w:t xml:space="preserve"> our participants.</w:t>
      </w:r>
    </w:p>
    <w:sectPr w:rsidR="00DA414D" w:rsidRPr="00677B6C" w:rsidSect="00677B6C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A0" w:rsidRDefault="007455A0" w:rsidP="000B5C51">
      <w:pPr>
        <w:spacing w:after="0" w:line="240" w:lineRule="auto"/>
      </w:pPr>
      <w:r>
        <w:separator/>
      </w:r>
    </w:p>
  </w:endnote>
  <w:endnote w:type="continuationSeparator" w:id="0">
    <w:p w:rsidR="007455A0" w:rsidRDefault="007455A0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8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C51" w:rsidRDefault="00717071">
        <w:pPr>
          <w:pStyle w:val="Footer"/>
          <w:jc w:val="right"/>
        </w:pPr>
        <w:r>
          <w:fldChar w:fldCharType="begin"/>
        </w:r>
        <w:r w:rsidR="000B5C51">
          <w:instrText xml:space="preserve"> PAGE   \* MERGEFORMAT </w:instrText>
        </w:r>
        <w:r>
          <w:fldChar w:fldCharType="separate"/>
        </w:r>
        <w:r w:rsidR="003B33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C51" w:rsidRDefault="000B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A0" w:rsidRDefault="007455A0" w:rsidP="000B5C51">
      <w:pPr>
        <w:spacing w:after="0" w:line="240" w:lineRule="auto"/>
      </w:pPr>
      <w:r>
        <w:separator/>
      </w:r>
    </w:p>
  </w:footnote>
  <w:footnote w:type="continuationSeparator" w:id="0">
    <w:p w:rsidR="007455A0" w:rsidRDefault="007455A0" w:rsidP="000B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AA7"/>
    <w:multiLevelType w:val="hybridMultilevel"/>
    <w:tmpl w:val="77F6AED8"/>
    <w:lvl w:ilvl="0" w:tplc="1638C1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8E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AFD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21C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C08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65D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E51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23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63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641"/>
    <w:multiLevelType w:val="hybridMultilevel"/>
    <w:tmpl w:val="4266B47A"/>
    <w:lvl w:ilvl="0" w:tplc="4E2EB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C0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61D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A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0AE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606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58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41D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C30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5CE"/>
    <w:multiLevelType w:val="hybridMultilevel"/>
    <w:tmpl w:val="7E02A112"/>
    <w:lvl w:ilvl="0" w:tplc="CB4A5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2F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43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A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CD0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E22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E7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66E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D5117"/>
    <w:multiLevelType w:val="hybridMultilevel"/>
    <w:tmpl w:val="6B9A745E"/>
    <w:lvl w:ilvl="0" w:tplc="2F24D1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6E9C"/>
    <w:multiLevelType w:val="hybridMultilevel"/>
    <w:tmpl w:val="52B2F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76CE"/>
    <w:multiLevelType w:val="hybridMultilevel"/>
    <w:tmpl w:val="F9027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1610"/>
    <w:multiLevelType w:val="hybridMultilevel"/>
    <w:tmpl w:val="18EA0B5A"/>
    <w:lvl w:ilvl="0" w:tplc="F4D2A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A51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28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4C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622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20B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A2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E5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CCD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F"/>
    <w:rsid w:val="0000072F"/>
    <w:rsid w:val="000038F8"/>
    <w:rsid w:val="000244AD"/>
    <w:rsid w:val="000B5C51"/>
    <w:rsid w:val="000C23CE"/>
    <w:rsid w:val="00104C37"/>
    <w:rsid w:val="00121B8A"/>
    <w:rsid w:val="001966F6"/>
    <w:rsid w:val="001A26BF"/>
    <w:rsid w:val="001D0BC5"/>
    <w:rsid w:val="001F6102"/>
    <w:rsid w:val="00274CD3"/>
    <w:rsid w:val="002A0125"/>
    <w:rsid w:val="002A52E4"/>
    <w:rsid w:val="002B169E"/>
    <w:rsid w:val="002B5931"/>
    <w:rsid w:val="002D068D"/>
    <w:rsid w:val="002D0E4B"/>
    <w:rsid w:val="002D5B28"/>
    <w:rsid w:val="002F3A0F"/>
    <w:rsid w:val="002F76C8"/>
    <w:rsid w:val="00300A5A"/>
    <w:rsid w:val="00313F12"/>
    <w:rsid w:val="0032749B"/>
    <w:rsid w:val="003336EC"/>
    <w:rsid w:val="00393659"/>
    <w:rsid w:val="003B3360"/>
    <w:rsid w:val="003D4D6F"/>
    <w:rsid w:val="00445B9A"/>
    <w:rsid w:val="00477C22"/>
    <w:rsid w:val="00493C0D"/>
    <w:rsid w:val="004A00E2"/>
    <w:rsid w:val="004E1BCB"/>
    <w:rsid w:val="004F1999"/>
    <w:rsid w:val="004F5B08"/>
    <w:rsid w:val="00500387"/>
    <w:rsid w:val="005073E6"/>
    <w:rsid w:val="0053351E"/>
    <w:rsid w:val="0054054A"/>
    <w:rsid w:val="0054376F"/>
    <w:rsid w:val="00563F80"/>
    <w:rsid w:val="00576499"/>
    <w:rsid w:val="005A3E89"/>
    <w:rsid w:val="006414C0"/>
    <w:rsid w:val="00677B6C"/>
    <w:rsid w:val="0069418B"/>
    <w:rsid w:val="006B14E1"/>
    <w:rsid w:val="006B155B"/>
    <w:rsid w:val="006B321B"/>
    <w:rsid w:val="006C059E"/>
    <w:rsid w:val="00701EDC"/>
    <w:rsid w:val="00702B8A"/>
    <w:rsid w:val="00717071"/>
    <w:rsid w:val="00721FC0"/>
    <w:rsid w:val="007455A0"/>
    <w:rsid w:val="00751EFE"/>
    <w:rsid w:val="00773C65"/>
    <w:rsid w:val="00796E0C"/>
    <w:rsid w:val="007A1133"/>
    <w:rsid w:val="007B0E3B"/>
    <w:rsid w:val="007B5D53"/>
    <w:rsid w:val="007C4D8B"/>
    <w:rsid w:val="007F508B"/>
    <w:rsid w:val="0082410E"/>
    <w:rsid w:val="00870115"/>
    <w:rsid w:val="008817BA"/>
    <w:rsid w:val="008F2AE1"/>
    <w:rsid w:val="009315D9"/>
    <w:rsid w:val="009A7450"/>
    <w:rsid w:val="009B781A"/>
    <w:rsid w:val="009F200E"/>
    <w:rsid w:val="00A24DB4"/>
    <w:rsid w:val="00A4150C"/>
    <w:rsid w:val="00A43A92"/>
    <w:rsid w:val="00A62044"/>
    <w:rsid w:val="00A62983"/>
    <w:rsid w:val="00A92172"/>
    <w:rsid w:val="00AA3180"/>
    <w:rsid w:val="00B140E3"/>
    <w:rsid w:val="00B34440"/>
    <w:rsid w:val="00B37EC1"/>
    <w:rsid w:val="00B6250F"/>
    <w:rsid w:val="00B66779"/>
    <w:rsid w:val="00BA506E"/>
    <w:rsid w:val="00C31FD6"/>
    <w:rsid w:val="00CA6409"/>
    <w:rsid w:val="00CA7609"/>
    <w:rsid w:val="00CB70DB"/>
    <w:rsid w:val="00CE4CE4"/>
    <w:rsid w:val="00D63691"/>
    <w:rsid w:val="00D7136B"/>
    <w:rsid w:val="00DA414D"/>
    <w:rsid w:val="00DC6FE1"/>
    <w:rsid w:val="00E15A14"/>
    <w:rsid w:val="00E75833"/>
    <w:rsid w:val="00E83F42"/>
    <w:rsid w:val="00EA7FBC"/>
    <w:rsid w:val="00EB2C54"/>
    <w:rsid w:val="00ED3081"/>
    <w:rsid w:val="00EE7F55"/>
    <w:rsid w:val="00F57E1E"/>
    <w:rsid w:val="00F87500"/>
    <w:rsid w:val="00F906F9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C5C9D-2F02-4D6B-9F0B-86BC922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4D6F"/>
    <w:rPr>
      <w:i/>
      <w:iCs/>
    </w:rPr>
  </w:style>
  <w:style w:type="paragraph" w:styleId="ListParagraph">
    <w:name w:val="List Paragraph"/>
    <w:basedOn w:val="Normal"/>
    <w:uiPriority w:val="34"/>
    <w:qFormat/>
    <w:rsid w:val="00AA3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F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4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C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5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0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2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2F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6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normaltextrun">
    <w:name w:val="normaltextrun"/>
    <w:basedOn w:val="DefaultParagraphFont"/>
    <w:rsid w:val="00104C37"/>
  </w:style>
  <w:style w:type="character" w:customStyle="1" w:styleId="eop">
    <w:name w:val="eop"/>
    <w:basedOn w:val="DefaultParagraphFont"/>
    <w:rsid w:val="0010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12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6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2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4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zaituna@worldbank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mpal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Knowledge_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A27-D733-4F8B-B494-03FE97A6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 DIACONESCU</dc:creator>
  <cp:lastModifiedBy>Kristina Zaituna</cp:lastModifiedBy>
  <cp:revision>8</cp:revision>
  <dcterms:created xsi:type="dcterms:W3CDTF">2018-10-08T06:12:00Z</dcterms:created>
  <dcterms:modified xsi:type="dcterms:W3CDTF">2018-10-23T15:41:00Z</dcterms:modified>
</cp:coreProperties>
</file>