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10ED" w:rsidRDefault="00050BCE">
      <w:pPr>
        <w:pStyle w:val="BodyText"/>
        <w:ind w:left="10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954" o:spid="_x0000_s1098" style="width:532.8pt;height:452.8pt;mso-position-horizontal-relative:char;mso-position-vertical-relative:line" coordsize="10656,90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1115" o:spid="_x0000_s1139" type="#_x0000_t75" style="position:absolute;top:1528;width:10656;height:7527">
              <v:imagedata r:id="rId7" o:title=""/>
            </v:shape>
            <v:shape id="1272" o:spid="_x0000_s1138" type="#_x0000_t75" style="position:absolute;left:4744;top:1598;width:982;height:360">
              <v:imagedata r:id="rId8" o:title=""/>
            </v:shape>
            <v:line id="1429" o:spid="_x0000_s1137" style="position:absolute" from="4668,2098" to="5990,2098" strokecolor="#384184" strokeweight="3.84pt"/>
            <v:shape id="1592" o:spid="_x0000_s1136" style="position:absolute;left:4039;width:1512;height:560" coordorigin="4039" coordsize="1512,560" path="m5551,r-58,82l5448,136r-54,59l5311,267r-87,56l5127,365r-76,21l4971,400,4039,500r,59l4976,437r82,-17l5137,396r101,-46l5327,289r82,-80l5449,164r51,-66l5551,24r,-24xe" fillcolor="#bebebe" stroked="f">
              <v:path arrowok="t"/>
            </v:shape>
            <v:shape id="2002" o:spid="_x0000_s1135" style="position:absolute;left:4039;top:122;width:1512;height:519" coordorigin="4039,122" coordsize="1512,519" path="m5551,122r-62,81l5428,271r-83,77l5261,406r-92,43l5065,478r-75,12l4927,497r-59,5l4039,581r,60l4860,543r12,-1l4885,540r81,-9l5048,517r79,-19l5229,457r89,-54l5400,329r42,-43l5496,220r55,-76l5551,122xe" fillcolor="#bebebe" stroked="f">
              <v:path arrowok="t"/>
            </v:shape>
            <v:shape id="2459" o:spid="_x0000_s1134" style="position:absolute;left:4039;top:249;width:1512;height:471" coordorigin="4039,250" coordsize="1512,471" path="m5551,250r-66,77l5420,392r-85,69l5248,512r-92,36l5051,573r-75,10l4039,661r,59l4952,623r81,-12l5113,594r101,-33l5306,513r89,-70l5466,373r56,-67l5551,269r,-19xe" fillcolor="#bebebe" stroked="f">
              <v:path arrowok="t"/>
            </v:shape>
            <v:shape id="2871" o:spid="_x0000_s1133" style="position:absolute;left:4039;top:499;width:1512;height:380" coordorigin="4039,499" coordsize="1512,380" path="m5551,499r-63,60l5421,609r-55,28l5305,660r-59,21l5201,700r-76,36l5033,755r-69,6l4845,767r-806,52l4039,878r792,-70l4962,797r75,-8l5145,770r95,-29l5332,697r90,-60l5507,564r44,-44l5551,499xe" fillcolor="#bebebe" stroked="f">
              <v:path arrowok="t"/>
            </v:shape>
            <v:shape id="3310" o:spid="_x0000_s1132" style="position:absolute;left:4039;top:648;width:1512;height:310" coordorigin="4039,648" coordsize="1512,310" path="m5551,648r-37,27l5477,695r-37,16l5404,731r-90,47l5220,813r-92,21l5023,848r-984,50l4039,958r939,-71l5082,875r101,-20l5277,824r94,-45l5450,729r67,-51l5551,649r,-1xe" fillcolor="#bebebe" stroked="f">
              <v:path arrowok="t"/>
            </v:shape>
            <v:shape id="3722" o:spid="_x0000_s1131" style="position:absolute;left:4039;top:748;width:1512;height:291" coordorigin="4039,749" coordsize="1512,291" path="m5551,749r-77,52l5398,844r-92,39l5211,912r-92,17l5014,939r-975,41l4039,1039r931,-61l5072,968r100,-17l5267,926r96,-37l5444,846r71,-46l5551,774r,-25xe" fillcolor="#bebebe" stroked="f">
              <v:path arrowok="t"/>
            </v:shape>
            <v:shape id="4117" o:spid="_x0000_s1130" style="position:absolute;left:4039;top:873;width:1512;height:243" coordorigin="4039,874" coordsize="1512,243" path="m5551,874r-81,44l5392,953r-93,32l5202,1008r-91,13l5006,1029r-967,28l4039,1116r922,-49l5063,1059r99,-13l5257,1025r97,-30l5438,959r75,-39l5551,898r,-24xe" fillcolor="#bebebe" stroked="f">
              <v:path arrowok="t"/>
            </v:shape>
            <v:shape id="4520" o:spid="_x0000_s1129" style="position:absolute;left:4039;top:998;width:1512;height:197" coordorigin="4039,998" coordsize="1512,197" path="m5551,998r-83,36l5387,1062r-93,25l5195,1104r-80,9l5034,1117r-81,3l4039,1136r,59l4955,1156r81,-5l5118,1144r81,-11l5300,1113r95,-27l5472,1057r79,-36l5551,998xe" fillcolor="#bebebe" stroked="f">
              <v:path arrowok="t"/>
            </v:shape>
            <v:shape id="4940" o:spid="_x0000_s1128" style="position:absolute;left:4039;top:1123;width:1512;height:152" coordorigin="4039,1123" coordsize="1512,152" path="m5551,1123r-85,28l5382,1173r-93,17l5189,1201r-75,5l5039,1209r-1000,6l4039,1274r1001,-32l5116,1238r76,-7l5293,1217r95,-20l5469,1174r82,-29l5551,1123xe" fillcolor="#bebebe" stroked="f">
              <v:path arrowok="t"/>
            </v:shape>
            <v:shape id="5344" o:spid="_x0000_s1127" style="position:absolute;left:4039;top:1250;width:1512;height:106" coordorigin="4039,1250" coordsize="1512,106" o:spt="100" adj="0,,0" path="m4401,1297r-362,l4039,1356r755,-18l5034,1334r48,-1l5133,1331r54,-3l5239,1324r49,-5l5336,1313r47,-6l5416,1301r-368,l4401,1297xm5551,1250r-43,10l5465,1268r-43,8l5379,1282r-46,6l5286,1292r-50,4l5185,1298r-31,1l5120,1300r-72,1l5416,1301r9,-2l5467,1291r42,-9l5551,1271r,-21xe" fillcolor="#bebebe" stroked="f">
              <v:stroke joinstyle="round"/>
              <v:formulas/>
              <v:path arrowok="t" o:connecttype="segments"/>
            </v:shape>
            <v:shape id="5909" o:spid="_x0000_s1126" style="position:absolute;left:4039;top:1370;width:1512;height:65" coordorigin="4039,1370" coordsize="1512,65" o:spt="100" adj="0,,0" path="m4039,1375r,60l5037,1425r147,-4l5263,1418r76,-5l5412,1407r71,-7l5551,1391r,l5134,1391,4039,1375xm5551,1370r-69,7l5412,1383r-74,4l5262,1389r-128,2l5551,1391r,-21xe" fillcolor="#bebebe" stroked="f">
              <v:stroke joinstyle="round"/>
              <v:formulas/>
              <v:path arrowok="t" o:connecttype="segments"/>
            </v:shape>
            <v:line id="6342" o:spid="_x0000_s1125" style="position:absolute" from="4039,1486" to="4668,1486" strokecolor="#bebebe" strokeweight="2.88pt"/>
            <v:shape id="6505" o:spid="_x0000_s1124" style="position:absolute;left:4039;top:374;width:1512;height:423" coordorigin="4039,374" coordsize="1512,423" path="m5551,374r-70,71l5415,504r-81,60l5243,611r-96,27l5041,655r-74,12l4930,672r-36,3l4039,738r,59l4969,707r76,-11l5154,673r95,-35l5342,586r90,-69l5491,461r60,-65l5551,374xe" fillcolor="#bebebe" stroked="f">
              <v:path arrowok="t"/>
            </v:shape>
            <v:shape id="6926" o:spid="_x0000_s1123" style="position:absolute;left:6192;width:920;height:776" coordorigin="6192" coordsize="920,776" path="m6192,r,102l6435,450r76,108l6556,610r49,36l6661,671r70,20l7111,775r,-15l6822,697,6717,669r-76,-33l6586,599r-40,-41l6514,512,6192,xe" fillcolor="#bebebe" stroked="f">
              <v:path arrowok="t"/>
            </v:shape>
            <v:shape id="7301" o:spid="_x0000_s1122" style="position:absolute;left:6192;top:494;width:920;height:531" coordorigin="6192,494" coordsize="920,531" path="m6192,494r,77l6511,868r62,44l6643,940r82,19l7111,1025r,-15l6820,961r-95,-20l6643,915r-70,-36l6511,828,6192,494xe" fillcolor="#bebebe" stroked="f">
              <v:path arrowok="t"/>
            </v:shape>
            <v:shape id="7659" o:spid="_x0000_s1121" style="position:absolute;left:6192;top:612;width:920;height:476" coordorigin="6192,612" coordsize="920,476" path="m6192,612r,71l6511,943r64,41l6645,1009r80,16l7111,1087r,-15l6821,1023r-109,-21l6631,978r-63,-31l6511,904r-85,-77l6192,612xe" fillcolor="#bebebe" stroked="f">
              <v:path arrowok="t"/>
            </v:shape>
            <v:shape id="8030" o:spid="_x0000_s1120" style="position:absolute;left:6192;top:734;width:920;height:418" coordorigin="6192,734" coordsize="920,418" path="m6192,734r,66l6420,959r92,63l6588,1063r74,25l6739,1102r83,10l7111,1152r,-16l6822,1094r-123,-23l6613,1043r-59,-29l6512,985r-72,-55l6192,734xe" fillcolor="#bebebe" stroked="f">
              <v:path arrowok="t"/>
            </v:shape>
            <v:shape id="8424" o:spid="_x0000_s1119" style="position:absolute;left:6192;top:854;width:920;height:360" coordorigin="6192,854" coordsize="920,360" path="m6192,854r,61l6422,1048r90,50l6582,1131r72,24l6732,1171r89,12l7111,1214r,-15l6822,1162r-125,-22l6613,1114r-58,-27l6513,1063r-72,-45l6192,854xe" fillcolor="#bebebe" stroked="f">
              <v:path arrowok="t"/>
            </v:shape>
            <v:shape id="8821" o:spid="_x0000_s1118" style="position:absolute;left:6192;top:974;width:920;height:300" coordorigin="6192,974" coordsize="920,300" path="m6192,974r,57l6511,1177r73,29l6650,1224r75,11l7111,1274r,-14l6821,1227r-96,-13l6647,1196r-69,-22l6511,1144r-84,-43l6192,974xe" fillcolor="#bebebe" stroked="f">
              <v:path arrowok="t"/>
            </v:shape>
            <v:shape id="9199" o:spid="_x0000_s1117" style="position:absolute;left:6192;top:1096;width:920;height:243" coordorigin="6192,1097" coordsize="920,243" path="m6192,1097r,54l6512,1261r76,22l6657,1297r74,10l7111,1339r,-14l6759,1288r-72,-10l6605,1260r-92,-30l6407,1187r-215,-90xe" fillcolor="#bebebe" stroked="f">
              <v:path arrowok="t"/>
            </v:shape>
            <v:shape id="9571" o:spid="_x0000_s1116" style="position:absolute;left:6192;top:1219;width:920;height:183" coordorigin="6192,1219" coordsize="920,183" path="m6192,1219r,52l6511,1345r63,12l6646,1366r82,8l7111,1402r,-14l6821,1365r-55,-5l6693,1350r-86,-15l6512,1313r-105,-29l6224,1229r-32,-10xe" fillcolor="#bebebe" stroked="f">
              <v:path arrowok="t"/>
            </v:shape>
            <v:shape id="9963" o:spid="_x0000_s1115" style="position:absolute;left:6192;top:1341;width:920;height:123" coordorigin="6192,1342" coordsize="920,123" path="m6192,1342r,48l6511,1427r61,6l6646,1438r465,26l7111,1449r-329,-22l6706,1420r-96,-10l6512,1396r-320,-54xe" fillcolor="#bebebe" stroked="f">
              <v:path arrowok="t"/>
            </v:shape>
            <v:line id="10315" o:spid="_x0000_s1114" style="position:absolute" from="6192,1490" to="7111,1490" strokecolor="#bebebe" strokeweight="2.4pt"/>
            <v:shape id="10477" o:spid="_x0000_s1113" style="position:absolute;left:6192;top:124;width:920;height:711" coordorigin="6192,125" coordsize="920,711" path="m6192,125r,92l6511,633r51,50l6620,719r65,25l6752,762r162,34l7111,835r,-13l6821,764,6707,732r-81,-37l6572,656r-61,-71l6445,492,6192,125xe" fillcolor="#bebebe" stroked="f">
              <v:path arrowok="t"/>
            </v:shape>
            <v:shape id="10860" o:spid="_x0000_s1112" style="position:absolute;left:6192;top:247;width:920;height:651" coordorigin="6192,247" coordsize="920,651" path="m6192,247r,88l6465,657r46,53l6573,764r73,36l6729,825r92,18l7111,898r,-13l6821,829r-98,-24l6648,777r-58,-34l6546,707r-35,-41l6192,247xe" fillcolor="#bebebe" stroked="f">
              <v:path arrowok="t"/>
            </v:shape>
            <v:shape id="11243" o:spid="_x0000_s1111" style="position:absolute;left:6192;top:369;width:920;height:593" coordorigin="6192,370" coordsize="920,593" path="m6192,370r,81l6322,588r106,111l6511,783r75,59l6661,876r78,19l7111,962r,-13l6821,896r-98,-22l6653,851r-97,-64l6511,741r-40,-46l6216,398r-24,-28xe" fillcolor="#bebebe" stroked="f">
              <v:path arrowok="t"/>
            </v:shape>
            <v:rect id="11635" o:spid="_x0000_s1110" style="position:absolute;left:4668;top:631;width:1323;height:884" fillcolor="#384184" stroked="f"/>
            <v:shape id="11790" o:spid="_x0000_s1109" style="position:absolute;left:5270;top:710;width:120;height:120" coordorigin="5270,710" coordsize="120,120" o:spt="100" adj="0,,0" path="m5390,755r-120,l5308,784r-15,46l5330,802r29,l5353,784r37,-29xm5359,802r-29,l5368,830r-9,-28xm5330,710r-13,45l5344,755r-14,-45xe" fillcolor="#ffee0f" stroked="f">
              <v:stroke joinstyle="round"/>
              <v:formulas/>
              <v:path arrowok="t" o:connecttype="segments"/>
            </v:shape>
            <v:shape id="12166" o:spid="_x0000_s1108" style="position:absolute;left:5272;top:1303;width:118;height:116" coordorigin="5273,1303" coordsize="118,116" o:spt="100" adj="0,,0" path="m5390,1346r-117,l5310,1374r-15,44l5332,1391r27,l5354,1374r36,-28xm5359,1391r-27,l5368,1418r-9,-27xm5332,1303r-14,43l5345,1346r-13,-43xe" fillcolor="#ffee0f" stroked="f">
              <v:stroke joinstyle="round"/>
              <v:formulas/>
              <v:path arrowok="t" o:connecttype="segments"/>
            </v:shape>
            <v:shape id="12560" o:spid="_x0000_s1107" style="position:absolute;left:5416;top:1264;width:120;height:116" coordorigin="5417,1265" coordsize="120,116" o:spt="100" adj="0,,0" path="m5537,1308r-120,l5454,1336r-14,44l5477,1353r28,l5500,1336r37,-28xm5505,1353r-28,l5514,1380r-9,-27xm5477,1265r-14,43l5490,1308r-13,-43xe" fillcolor="#ffee0f" stroked="f">
              <v:stroke joinstyle="round"/>
              <v:formulas/>
              <v:path arrowok="t" o:connecttype="segments"/>
            </v:shape>
            <v:shape id="12954" o:spid="_x0000_s1106" style="position:absolute;left:5416;top:753;width:120;height:113" coordorigin="5417,754" coordsize="120,113" o:spt="100" adj="0,,0" path="m5537,796r-120,l5454,823r-14,43l5477,840r28,l5500,823r37,-27xm5505,840r-28,l5514,866r-9,-26xm5477,754r-14,42l5490,796r-13,-42xe" fillcolor="#ffee0f" stroked="f">
              <v:stroke joinstyle="round"/>
              <v:formulas/>
              <v:path arrowok="t" o:connecttype="segments"/>
            </v:shape>
            <v:shape id="13330" o:spid="_x0000_s1105" style="position:absolute;left:5527;top:861;width:118;height:116" coordorigin="5527,862" coordsize="118,116" o:spt="100" adj="0,,0" path="m5645,905r-118,l5564,933r-14,44l5586,950r28,l5608,933r37,-28xm5614,950r-28,l5622,977r-8,-27xm5586,862r-14,43l5599,905r-13,-43xe" fillcolor="#ffee0f" stroked="f">
              <v:stroke joinstyle="round"/>
              <v:formulas/>
              <v:path arrowok="t" o:connecttype="segments"/>
            </v:shape>
            <v:shape id="13706" o:spid="_x0000_s1104" style="position:absolute;left:5527;top:1156;width:118;height:116" coordorigin="5527,1157" coordsize="118,116" o:spt="100" adj="0,,0" path="m5645,1200r-118,l5564,1228r-14,44l5586,1245r28,l5608,1228r37,-28xm5614,1245r-28,l5622,1272r-8,-27xm5586,1157r-14,43l5599,1200r-13,-43xe" fillcolor="#ffee0f" stroked="f">
              <v:stroke joinstyle="round"/>
              <v:formulas/>
              <v:path arrowok="t" o:connecttype="segments"/>
            </v:shape>
            <v:shape id="14100" o:spid="_x0000_s1103" type="#_x0000_t75" style="position:absolute;left:5565;top:1008;width:120;height:113">
              <v:imagedata r:id="rId9" o:title=""/>
            </v:shape>
            <v:shape id="14257" o:spid="_x0000_s1102" style="position:absolute;left:5121;top:753;width:120;height:116" coordorigin="5122,754" coordsize="120,116" o:spt="100" adj="0,,0" path="m5242,797r-120,l5159,825r-14,44l5182,842r28,l5204,825r38,-28xm5210,842r-28,l5219,869r-9,-27xm5182,754r-14,43l5195,797r-13,-43xe" fillcolor="#ffee0f" stroked="f">
              <v:stroke joinstyle="round"/>
              <v:formulas/>
              <v:path arrowok="t" o:connecttype="segments"/>
            </v:shape>
            <v:shape id="14633" o:spid="_x0000_s1101" style="position:absolute;left:5016;top:861;width:120;height:116" coordorigin="5016,862" coordsize="120,116" o:spt="100" adj="0,,0" path="m5136,905r-120,l5054,933r-15,44l5076,950r28,l5099,933r37,-28xm5104,950r-28,l5113,977r-9,-27xm5076,862r-14,43l5090,905r-14,-43xe" fillcolor="#ffee0f" stroked="f">
              <v:stroke joinstyle="round"/>
              <v:formulas/>
              <v:path arrowok="t" o:connecttype="segments"/>
            </v:shape>
            <v:shape id="15009" o:spid="_x0000_s1100" type="#_x0000_t75" style="position:absolute;left:4977;top:1008;width:118;height:116">
              <v:imagedata r:id="rId10" o:title=""/>
            </v:shape>
            <v:shape id="15166" o:spid="_x0000_s1099" type="#_x0000_t75" style="position:absolute;left:5016;top:1156;width:226;height:224">
              <v:imagedata r:id="rId11" o:title=""/>
            </v:shape>
            <w10:anchorlock/>
          </v:group>
        </w:pict>
      </w:r>
    </w:p>
    <w:p w:rsidR="00BA10ED" w:rsidRDefault="00BA10ED">
      <w:pPr>
        <w:pStyle w:val="BodyText"/>
        <w:spacing w:before="10"/>
        <w:rPr>
          <w:sz w:val="21"/>
        </w:rPr>
      </w:pPr>
    </w:p>
    <w:p w:rsidR="00BA10ED" w:rsidRDefault="00050BCE">
      <w:pPr>
        <w:spacing w:before="106" w:line="237" w:lineRule="auto"/>
        <w:ind w:left="946" w:right="1337"/>
        <w:jc w:val="center"/>
        <w:rPr>
          <w:rFonts w:ascii="Verdana"/>
          <w:b/>
          <w:sz w:val="40"/>
        </w:rPr>
      </w:pPr>
      <w:r>
        <w:rPr>
          <w:rFonts w:ascii="Verdana"/>
          <w:b/>
          <w:color w:val="384184"/>
          <w:sz w:val="40"/>
        </w:rPr>
        <w:t>Sustavi unutarnjih kontrola u javnom sektoru u Europskoj uniji</w:t>
      </w:r>
    </w:p>
    <w:p w:rsidR="00BA10ED" w:rsidRDefault="00050BCE">
      <w:pPr>
        <w:spacing w:before="242"/>
        <w:ind w:left="4429" w:right="1690" w:hanging="2874"/>
        <w:rPr>
          <w:rFonts w:ascii="Verdana"/>
          <w:b/>
          <w:sz w:val="36"/>
        </w:rPr>
      </w:pPr>
      <w:r>
        <w:rPr>
          <w:rFonts w:ascii="Verdana"/>
          <w:b/>
          <w:color w:val="386D44"/>
          <w:sz w:val="36"/>
        </w:rPr>
        <w:t>Ilustracija temeljnih elemenata unutarnjih kontrola</w:t>
      </w:r>
    </w:p>
    <w:p w:rsidR="00BA10ED" w:rsidRDefault="00BA10ED">
      <w:pPr>
        <w:pStyle w:val="BodyText"/>
        <w:spacing w:before="8"/>
        <w:rPr>
          <w:rFonts w:ascii="Verdana"/>
          <w:b/>
          <w:sz w:val="44"/>
        </w:rPr>
      </w:pPr>
    </w:p>
    <w:p w:rsidR="00BA10ED" w:rsidRDefault="00050BCE">
      <w:pPr>
        <w:ind w:left="3605" w:hanging="41"/>
        <w:rPr>
          <w:rFonts w:ascii="Verdana"/>
          <w:sz w:val="28"/>
        </w:rPr>
      </w:pPr>
      <w:r>
        <w:rPr>
          <w:rFonts w:ascii="Verdana"/>
          <w:color w:val="384184"/>
          <w:sz w:val="28"/>
        </w:rPr>
        <w:t>Dokument za raspravu br. 8</w:t>
      </w:r>
    </w:p>
    <w:p w:rsidR="00BA10ED" w:rsidRDefault="00BA10ED">
      <w:pPr>
        <w:pStyle w:val="BodyText"/>
        <w:rPr>
          <w:rFonts w:ascii="Verdana"/>
          <w:sz w:val="31"/>
        </w:rPr>
      </w:pPr>
    </w:p>
    <w:p w:rsidR="00BA10ED" w:rsidRDefault="00050BCE">
      <w:pPr>
        <w:spacing w:line="340" w:lineRule="auto"/>
        <w:ind w:left="3605" w:right="4110"/>
        <w:jc w:val="center"/>
        <w:rPr>
          <w:rFonts w:ascii="Verdana"/>
          <w:sz w:val="28"/>
        </w:rPr>
      </w:pPr>
      <w:r>
        <w:rPr>
          <w:rFonts w:ascii="Verdana"/>
          <w:color w:val="384184"/>
          <w:sz w:val="28"/>
        </w:rPr>
        <w:t>Unutarnje kontrole u javnom sektoru</w:t>
      </w:r>
      <w:r>
        <w:rPr>
          <w:rFonts w:ascii="Verdana"/>
          <w:color w:val="384184"/>
          <w:sz w:val="28"/>
        </w:rPr>
        <w:tab/>
        <w:t>Pristup EU-a</w:t>
      </w:r>
    </w:p>
    <w:p w:rsidR="00BA10ED" w:rsidRDefault="00BA10ED">
      <w:pPr>
        <w:pStyle w:val="BodyText"/>
        <w:spacing w:before="7"/>
        <w:rPr>
          <w:rFonts w:ascii="Verdana"/>
          <w:sz w:val="39"/>
        </w:rPr>
      </w:pPr>
    </w:p>
    <w:p w:rsidR="00BA10ED" w:rsidRDefault="00050BCE">
      <w:pPr>
        <w:ind w:left="832" w:right="1337"/>
        <w:jc w:val="center"/>
        <w:rPr>
          <w:rFonts w:ascii="Verdana"/>
          <w:sz w:val="28"/>
        </w:rPr>
      </w:pPr>
      <w:r>
        <w:pict>
          <v:rect id="17740" o:spid="_x0000_s1097" style="position:absolute;left:0;text-align:left;margin-left:264.65pt;margin-top:57.5pt;width:66pt;height:22.1pt;z-index:1048;mso-position-horizontal-relative:page" fillcolor="#384184" stroked="f">
            <w10:wrap anchorx="page"/>
          </v:rect>
        </w:pict>
      </w:r>
      <w:r>
        <w:rPr>
          <w:rFonts w:ascii="Verdana"/>
          <w:color w:val="384184"/>
          <w:sz w:val="28"/>
        </w:rPr>
        <w:t>Ref. 2017-1</w:t>
      </w:r>
    </w:p>
    <w:p w:rsidR="00BA10ED" w:rsidRDefault="00BA10ED">
      <w:pPr>
        <w:jc w:val="center"/>
        <w:rPr>
          <w:rFonts w:ascii="Verdana"/>
          <w:sz w:val="28"/>
        </w:rPr>
        <w:sectPr w:rsidR="00BA10ED">
          <w:type w:val="continuous"/>
          <w:pgSz w:w="11910" w:h="16840"/>
          <w:pgMar w:top="1000" w:right="380" w:bottom="0" w:left="660" w:header="720" w:footer="720" w:gutter="0"/>
          <w:cols w:space="720"/>
        </w:sectPr>
      </w:pPr>
    </w:p>
    <w:p w:rsidR="00BA10ED" w:rsidRDefault="00050BCE">
      <w:pPr>
        <w:ind w:left="166"/>
        <w:rPr>
          <w:rFonts w:ascii="Verdana"/>
          <w:sz w:val="20"/>
        </w:rPr>
      </w:pPr>
      <w:r>
        <w:rPr>
          <w:sz w:val="20"/>
        </w:rPr>
        <w:lastRenderedPageBreak/>
        <w:t xml:space="preserve"> </w:t>
      </w:r>
      <w:r>
        <w:rPr>
          <w:rFonts w:ascii="Verdana"/>
          <w:sz w:val="20"/>
        </w:rPr>
      </w:r>
      <w:r>
        <w:rPr>
          <w:rFonts w:ascii="Verdana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8837" o:spid="_x0000_s1096" type="#_x0000_t202" style="width:436.4pt;height:16.7pt;mso-left-percent:-10001;mso-top-percent:-10001;mso-position-horizontal:absolute;mso-position-horizontal-relative:char;mso-position-vertical:absolute;mso-position-vertical-relative:line;mso-left-percent:-10001;mso-top-percent:-10001" fillcolor="#ccc" strokeweight=".72pt">
            <v:textbox inset="0,0,0,0">
              <w:txbxContent>
                <w:p w:rsidR="00BA10ED" w:rsidRDefault="00050BCE">
                  <w:pPr>
                    <w:pStyle w:val="BodyText"/>
                    <w:spacing w:before="19"/>
                    <w:ind w:left="47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Ilustracija temeljnih elemenata unutarnjih kontrola</w:t>
                  </w:r>
                </w:p>
              </w:txbxContent>
            </v:textbox>
            <w10:anchorlock/>
          </v:shape>
        </w:pict>
      </w:r>
    </w:p>
    <w:p w:rsidR="00BA10ED" w:rsidRDefault="00BA10ED">
      <w:pPr>
        <w:pStyle w:val="BodyText"/>
        <w:rPr>
          <w:rFonts w:ascii="Verdana"/>
          <w:sz w:val="9"/>
        </w:rPr>
      </w:pPr>
    </w:p>
    <w:p w:rsidR="00BA10ED" w:rsidRDefault="00050BCE">
      <w:pPr>
        <w:pStyle w:val="BodyText"/>
        <w:spacing w:before="90"/>
        <w:ind w:left="229" w:right="214"/>
        <w:jc w:val="both"/>
      </w:pPr>
      <w:r>
        <w:t>Cilj je ovog dokumenta pronaći način za ostvarenje učinkovite podrške viših upravitelja u javnom sektoru u pogledu provedbe i kontinuiranog poboljšanja sustava unutarnjih kontrola u javnom sektoru (PIC) koji su pod njihovom ovlašću.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BodyText"/>
        <w:ind w:left="229" w:right="216"/>
        <w:jc w:val="both"/>
      </w:pPr>
      <w:r>
        <w:t>U ovom se dokumentu pr</w:t>
      </w:r>
      <w:r>
        <w:t>ikazuje doprinos PIC-a ključnim konceptima dobrog javnog upravljanja, posebno u pogledu odgovornosti, integriteta i transparentnosti te promicanju unutarnjih kontrola kao sustava za bolju provedbu i unaprjeđenje učinka aktivnosti u javnom sektoru.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BodyText"/>
        <w:ind w:left="229"/>
        <w:jc w:val="both"/>
      </w:pPr>
      <w:r>
        <w:t>Nešto š</w:t>
      </w:r>
      <w:r>
        <w:t>to bi svi viši upravitelji trebali pročitati.</w:t>
      </w: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050BCE">
      <w:pPr>
        <w:pStyle w:val="BodyText"/>
        <w:spacing w:before="8"/>
        <w:rPr>
          <w:sz w:val="25"/>
        </w:rPr>
      </w:pPr>
      <w:r>
        <w:pict>
          <v:shape id="26603" o:spid="_x0000_s1095" type="#_x0000_t202" style="position:absolute;margin-left:73.8pt;margin-top:17pt;width:442.2pt;height:71.55pt;z-index:1096;mso-wrap-distance-left:0;mso-wrap-distance-right:0;mso-position-horizontal-relative:page" fillcolor="#f1f1f1" strokeweight=".16936mm">
            <v:textbox inset="0,0,0,0">
              <w:txbxContent>
                <w:p w:rsidR="00BA10ED" w:rsidRDefault="00050BCE">
                  <w:pPr>
                    <w:pStyle w:val="BodyText"/>
                    <w:spacing w:before="13"/>
                    <w:ind w:left="107" w:right="106"/>
                  </w:pPr>
                  <w:r>
                    <w:t>Informacije i stajališta izneseni u ovom dokumentu pripadaju neslužbeno organiziranoj Radnoj skupini za PIC i ne predstavljaju nužno službeno mišljenje Europske unije.</w:t>
                  </w:r>
                  <w:r>
                    <w:t xml:space="preserve"> Ni institucije i tijela Europske unije ni nitko tko službeno djeluje u njihovo ime nisu odgovorni za moguću upotrebu informacija sadržanih u ovom dokumentu.</w:t>
                  </w:r>
                </w:p>
              </w:txbxContent>
            </v:textbox>
            <w10:wrap type="topAndBottom" anchorx="page"/>
          </v:shape>
        </w:pict>
      </w:r>
    </w:p>
    <w:p w:rsidR="00BA10ED" w:rsidRDefault="00BA10ED">
      <w:pPr>
        <w:rPr>
          <w:sz w:val="25"/>
        </w:rPr>
        <w:sectPr w:rsidR="00BA10ED">
          <w:footerReference w:type="default" r:id="rId12"/>
          <w:pgSz w:w="11910" w:h="16840"/>
          <w:pgMar w:top="1000" w:right="1480" w:bottom="1240" w:left="1360" w:header="0" w:footer="1060" w:gutter="0"/>
          <w:cols w:space="720"/>
        </w:sect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050BCE">
      <w:pPr>
        <w:pStyle w:val="BodyText"/>
        <w:spacing w:before="231"/>
        <w:ind w:left="109"/>
      </w:pPr>
      <w:r>
        <w:t>Sadržaj</w:t>
      </w:r>
    </w:p>
    <w:p w:rsidR="00BA10ED" w:rsidRDefault="00050BCE">
      <w:pPr>
        <w:pStyle w:val="ListParagraph"/>
        <w:numPr>
          <w:ilvl w:val="0"/>
          <w:numId w:val="6"/>
        </w:numPr>
        <w:tabs>
          <w:tab w:val="left" w:pos="591"/>
          <w:tab w:val="left" w:pos="592"/>
          <w:tab w:val="right" w:leader="dot" w:pos="8750"/>
        </w:tabs>
        <w:spacing w:before="360"/>
        <w:ind w:hanging="482"/>
        <w:rPr>
          <w:sz w:val="24"/>
        </w:rPr>
      </w:pPr>
      <w:hyperlink w:anchor="_bookmark0" w:history="1">
        <w:r>
          <w:rPr>
            <w:sz w:val="24"/>
          </w:rPr>
          <w:t>UVOD</w:t>
        </w:r>
        <w:r>
          <w:rPr>
            <w:sz w:val="24"/>
          </w:rPr>
          <w:tab/>
          <w:t>4</w:t>
        </w:r>
      </w:hyperlink>
    </w:p>
    <w:p w:rsidR="00BA10ED" w:rsidRDefault="00050BCE">
      <w:pPr>
        <w:pStyle w:val="ListParagraph"/>
        <w:numPr>
          <w:ilvl w:val="0"/>
          <w:numId w:val="6"/>
        </w:numPr>
        <w:tabs>
          <w:tab w:val="left" w:pos="591"/>
          <w:tab w:val="left" w:pos="592"/>
          <w:tab w:val="right" w:leader="dot" w:pos="8750"/>
        </w:tabs>
        <w:spacing w:before="240"/>
        <w:ind w:hanging="482"/>
        <w:rPr>
          <w:sz w:val="24"/>
        </w:rPr>
      </w:pPr>
      <w:hyperlink w:anchor="_bookmark1" w:history="1">
        <w:r>
          <w:rPr>
            <w:sz w:val="24"/>
          </w:rPr>
          <w:t>KLJUČNI POJMOVI</w:t>
        </w:r>
        <w:r>
          <w:rPr>
            <w:sz w:val="24"/>
          </w:rPr>
          <w:tab/>
          <w:t>5</w:t>
        </w:r>
      </w:hyperlink>
    </w:p>
    <w:p w:rsidR="00BA10ED" w:rsidRDefault="00050BCE">
      <w:pPr>
        <w:pStyle w:val="ListParagraph"/>
        <w:numPr>
          <w:ilvl w:val="0"/>
          <w:numId w:val="6"/>
        </w:numPr>
        <w:tabs>
          <w:tab w:val="left" w:pos="591"/>
          <w:tab w:val="left" w:pos="592"/>
          <w:tab w:val="right" w:leader="dot" w:pos="8750"/>
        </w:tabs>
        <w:spacing w:before="240"/>
        <w:ind w:hanging="482"/>
        <w:rPr>
          <w:sz w:val="24"/>
        </w:rPr>
      </w:pPr>
      <w:hyperlink w:anchor="_bookmark2" w:history="1">
        <w:r>
          <w:rPr>
            <w:sz w:val="24"/>
          </w:rPr>
          <w:t>DODANA VRIJEDNOST PIC-A</w:t>
        </w:r>
        <w:r>
          <w:rPr>
            <w:sz w:val="24"/>
          </w:rPr>
          <w:tab/>
          <w:t>6</w:t>
        </w:r>
      </w:hyperlink>
    </w:p>
    <w:p w:rsidR="00BA10ED" w:rsidRDefault="00050BCE">
      <w:pPr>
        <w:pStyle w:val="ListParagraph"/>
        <w:numPr>
          <w:ilvl w:val="0"/>
          <w:numId w:val="6"/>
        </w:numPr>
        <w:tabs>
          <w:tab w:val="left" w:pos="591"/>
          <w:tab w:val="left" w:pos="592"/>
          <w:tab w:val="right" w:leader="dot" w:pos="8750"/>
        </w:tabs>
        <w:spacing w:before="240"/>
        <w:ind w:hanging="482"/>
        <w:rPr>
          <w:sz w:val="24"/>
        </w:rPr>
      </w:pPr>
      <w:hyperlink w:anchor="_bookmark3" w:history="1">
        <w:r>
          <w:rPr>
            <w:sz w:val="24"/>
          </w:rPr>
          <w:t>ODGOVORNOST:</w:t>
        </w:r>
      </w:hyperlink>
      <w:hyperlink w:anchor="_bookmark3" w:history="1">
        <w:r>
          <w:rPr>
            <w:sz w:val="24"/>
          </w:rPr>
          <w:t xml:space="preserve"> POKRETAČ ZA BOLJI UČINAK</w:t>
        </w:r>
        <w:r>
          <w:rPr>
            <w:sz w:val="24"/>
          </w:rPr>
          <w:tab/>
          <w:t>7</w:t>
        </w:r>
      </w:hyperlink>
    </w:p>
    <w:p w:rsidR="00BA10ED" w:rsidRDefault="00050BCE">
      <w:pPr>
        <w:pStyle w:val="ListParagraph"/>
        <w:numPr>
          <w:ilvl w:val="0"/>
          <w:numId w:val="6"/>
        </w:numPr>
        <w:tabs>
          <w:tab w:val="left" w:pos="591"/>
          <w:tab w:val="left" w:pos="592"/>
          <w:tab w:val="right" w:leader="dot" w:pos="8750"/>
        </w:tabs>
        <w:spacing w:before="240"/>
        <w:ind w:hanging="482"/>
        <w:rPr>
          <w:sz w:val="24"/>
        </w:rPr>
      </w:pPr>
      <w:hyperlink w:anchor="_bookmark4" w:history="1">
        <w:r>
          <w:rPr>
            <w:sz w:val="24"/>
          </w:rPr>
          <w:t>INTEGRITET I TRANSPARENTNOST</w:t>
        </w:r>
        <w:r>
          <w:rPr>
            <w:sz w:val="24"/>
          </w:rPr>
          <w:tab/>
          <w:t>9</w:t>
        </w:r>
      </w:hyperlink>
    </w:p>
    <w:p w:rsidR="00BA10ED" w:rsidRDefault="00050BCE">
      <w:pPr>
        <w:pStyle w:val="ListParagraph"/>
        <w:numPr>
          <w:ilvl w:val="0"/>
          <w:numId w:val="6"/>
        </w:numPr>
        <w:tabs>
          <w:tab w:val="left" w:pos="591"/>
          <w:tab w:val="left" w:pos="592"/>
          <w:tab w:val="right" w:leader="dot" w:pos="8750"/>
        </w:tabs>
        <w:spacing w:before="240"/>
        <w:ind w:hanging="482"/>
        <w:rPr>
          <w:sz w:val="24"/>
        </w:rPr>
      </w:pPr>
      <w:hyperlink w:anchor="_bookmark5" w:history="1">
        <w:r>
          <w:rPr>
            <w:sz w:val="24"/>
          </w:rPr>
          <w:t>OGRANIČENJA UNUTARNJIH KONTROLA</w:t>
        </w:r>
        <w:r>
          <w:rPr>
            <w:sz w:val="24"/>
          </w:rPr>
          <w:tab/>
          <w:t>9</w:t>
        </w:r>
      </w:hyperlink>
    </w:p>
    <w:p w:rsidR="00BA10ED" w:rsidRDefault="00050BCE">
      <w:pPr>
        <w:pStyle w:val="ListParagraph"/>
        <w:numPr>
          <w:ilvl w:val="0"/>
          <w:numId w:val="6"/>
        </w:numPr>
        <w:tabs>
          <w:tab w:val="left" w:pos="591"/>
          <w:tab w:val="left" w:pos="592"/>
          <w:tab w:val="right" w:leader="dot" w:pos="8750"/>
        </w:tabs>
        <w:spacing w:before="240"/>
        <w:ind w:hanging="482"/>
        <w:rPr>
          <w:sz w:val="24"/>
        </w:rPr>
      </w:pPr>
      <w:hyperlink w:anchor="_bookmark6" w:history="1">
        <w:r>
          <w:rPr>
            <w:sz w:val="24"/>
          </w:rPr>
          <w:t>TEME ZA RASPRAVU</w:t>
        </w:r>
        <w:r>
          <w:rPr>
            <w:sz w:val="24"/>
          </w:rPr>
          <w:tab/>
          <w:t>10</w:t>
        </w:r>
      </w:hyperlink>
    </w:p>
    <w:p w:rsidR="00BA10ED" w:rsidRDefault="00BA10ED">
      <w:pPr>
        <w:rPr>
          <w:sz w:val="24"/>
        </w:rPr>
        <w:sectPr w:rsidR="00BA10ED">
          <w:footerReference w:type="default" r:id="rId13"/>
          <w:pgSz w:w="11910" w:h="16840"/>
          <w:pgMar w:top="1580" w:right="1560" w:bottom="280" w:left="1480" w:header="0" w:footer="0" w:gutter="0"/>
          <w:cols w:space="720"/>
        </w:sectPr>
      </w:pPr>
    </w:p>
    <w:p w:rsidR="00BA10ED" w:rsidRDefault="00050BCE">
      <w:pPr>
        <w:pStyle w:val="ListParagraph"/>
        <w:numPr>
          <w:ilvl w:val="0"/>
          <w:numId w:val="5"/>
        </w:numPr>
        <w:tabs>
          <w:tab w:val="left" w:pos="467"/>
        </w:tabs>
        <w:spacing w:before="78"/>
        <w:ind w:hanging="357"/>
        <w:jc w:val="both"/>
        <w:rPr>
          <w:b/>
          <w:sz w:val="19"/>
        </w:rPr>
      </w:pPr>
      <w:bookmarkStart w:id="0" w:name="_bookmark0"/>
      <w:bookmarkEnd w:id="0"/>
      <w:r>
        <w:rPr>
          <w:b/>
        </w:rPr>
        <w:lastRenderedPageBreak/>
        <w:t>UVOD</w:t>
      </w:r>
    </w:p>
    <w:p w:rsidR="00BA10ED" w:rsidRDefault="00BA10ED">
      <w:pPr>
        <w:pStyle w:val="BodyText"/>
        <w:spacing w:before="5"/>
        <w:rPr>
          <w:b/>
          <w:sz w:val="20"/>
        </w:rPr>
      </w:pPr>
    </w:p>
    <w:p w:rsidR="00BA10ED" w:rsidRDefault="00050BCE">
      <w:pPr>
        <w:pStyle w:val="BodyText"/>
        <w:ind w:left="109" w:right="116"/>
        <w:jc w:val="both"/>
      </w:pPr>
      <w:r>
        <w:t>Nedavni ekonomski događaji i tehnološki razvoj utjecali su na način na koji doživljavamo javni sektor te kako smatramo da bi se njegovi dužnosnici trebali ponašati. Jasno je da te nagle promjene i globalna nesigurnost i dalje utječu na zahtjeve koji se pos</w:t>
      </w:r>
      <w:r>
        <w:t>tavljaju javnoj upravi.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BodyText"/>
        <w:ind w:left="109" w:right="115"/>
        <w:jc w:val="both"/>
      </w:pPr>
      <w:r>
        <w:t>Bez obzira na sve veća očekivanja javnosti koja zahtijeva sve bolje, jeftinije i mnogobrojnije javne usluge, nacionalne se uprave moraju nositi sa smanjenim resursima i fiskalnim ograničenjima, zbog čega su nužne i hitno potrebne s</w:t>
      </w:r>
      <w:r>
        <w:t>ustavne i disciplinirane unutarnje kontrole u javnoj upravi.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BodyText"/>
        <w:ind w:left="109" w:right="115"/>
        <w:jc w:val="both"/>
      </w:pPr>
      <w:r>
        <w:t>U dokumentu „Načela PIC-a”</w:t>
      </w:r>
      <w:r>
        <w:rPr>
          <w:vertAlign w:val="superscript"/>
        </w:rPr>
        <w:t>1</w:t>
      </w:r>
      <w:r>
        <w:t xml:space="preserve"> koji je podržala Mreža za PIC 2015. navodi se sljedeće: „Učinkovite unutarnje kontrole u javnom sektoru temelj su dobrog financijskog i nefinancijskog upravljanja domaćih i EU fondova.</w:t>
      </w:r>
      <w:r>
        <w:t xml:space="preserve"> Tijekom razdoblja značajnog pritiska na javnu politiku i javne financi</w:t>
      </w:r>
      <w:r>
        <w:t>je, potrebno je osigurati da države članice postignu najbolju vrijednost za uloženi novac na zakonit, prikladan, etičan i financijski odgovoran način.</w:t>
      </w:r>
      <w:r>
        <w:t xml:space="preserve">  Dobar PIC briga je i odgovornost svake države članice. Od nacionalnog je i kolektivnog interesa za sve.”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BodyText"/>
        <w:ind w:left="109"/>
        <w:jc w:val="both"/>
      </w:pPr>
      <w:r>
        <w:t>Potom se navodi osam načela PIC-a: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ListParagraph"/>
        <w:numPr>
          <w:ilvl w:val="1"/>
          <w:numId w:val="5"/>
        </w:numPr>
        <w:tabs>
          <w:tab w:val="left" w:pos="962"/>
        </w:tabs>
        <w:ind w:right="120"/>
        <w:rPr>
          <w:sz w:val="24"/>
        </w:rPr>
      </w:pPr>
      <w:r>
        <w:rPr>
          <w:sz w:val="24"/>
        </w:rPr>
        <w:t>Dobro upravljanje javnim sektorom u interesu javnosti kontekst je, svrha i pokretač PIC-a;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ListParagraph"/>
        <w:numPr>
          <w:ilvl w:val="1"/>
          <w:numId w:val="5"/>
        </w:numPr>
        <w:tabs>
          <w:tab w:val="left" w:pos="962"/>
        </w:tabs>
        <w:rPr>
          <w:sz w:val="24"/>
        </w:rPr>
      </w:pPr>
      <w:r>
        <w:rPr>
          <w:sz w:val="24"/>
        </w:rPr>
        <w:t>PIC je usmjeren na učinak;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ListParagraph"/>
        <w:numPr>
          <w:ilvl w:val="1"/>
          <w:numId w:val="5"/>
        </w:numPr>
        <w:tabs>
          <w:tab w:val="left" w:pos="962"/>
        </w:tabs>
        <w:rPr>
          <w:sz w:val="24"/>
        </w:rPr>
      </w:pPr>
      <w:r>
        <w:rPr>
          <w:sz w:val="24"/>
        </w:rPr>
        <w:t xml:space="preserve">PIC se temelji na Odboru pokroviteljskih organizacija </w:t>
      </w:r>
      <w:r>
        <w:rPr>
          <w:i/>
          <w:sz w:val="24"/>
        </w:rPr>
        <w:t>Treadway</w:t>
      </w:r>
      <w:r>
        <w:rPr>
          <w:sz w:val="24"/>
        </w:rPr>
        <w:t xml:space="preserve"> komisije (COSO) i revizijskim stand</w:t>
      </w:r>
      <w:r>
        <w:rPr>
          <w:sz w:val="24"/>
        </w:rPr>
        <w:t>ardima INTOSAI-ja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ListParagraph"/>
        <w:numPr>
          <w:ilvl w:val="1"/>
          <w:numId w:val="5"/>
        </w:numPr>
        <w:tabs>
          <w:tab w:val="left" w:pos="962"/>
        </w:tabs>
        <w:rPr>
          <w:sz w:val="24"/>
        </w:rPr>
      </w:pPr>
      <w:r>
        <w:rPr>
          <w:sz w:val="24"/>
        </w:rPr>
        <w:t>Trokut odgovornosti temelj je PIC-a;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ListParagraph"/>
        <w:numPr>
          <w:ilvl w:val="1"/>
          <w:numId w:val="5"/>
        </w:numPr>
        <w:tabs>
          <w:tab w:val="left" w:pos="962"/>
        </w:tabs>
        <w:rPr>
          <w:sz w:val="24"/>
        </w:rPr>
      </w:pPr>
      <w:r>
        <w:rPr>
          <w:sz w:val="24"/>
        </w:rPr>
        <w:t>PIC je ustrojen prema tri linije obrane;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ListParagraph"/>
        <w:numPr>
          <w:ilvl w:val="1"/>
          <w:numId w:val="5"/>
        </w:numPr>
        <w:tabs>
          <w:tab w:val="left" w:pos="962"/>
        </w:tabs>
        <w:rPr>
          <w:sz w:val="24"/>
        </w:rPr>
      </w:pPr>
      <w:r>
        <w:rPr>
          <w:sz w:val="24"/>
        </w:rPr>
        <w:t>PIC zahtjeva funkcionalno neovisnu unutarnju reviziju: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ListParagraph"/>
        <w:numPr>
          <w:ilvl w:val="1"/>
          <w:numId w:val="5"/>
        </w:numPr>
        <w:tabs>
          <w:tab w:val="left" w:pos="962"/>
        </w:tabs>
        <w:rPr>
          <w:sz w:val="24"/>
        </w:rPr>
      </w:pPr>
      <w:r>
        <w:rPr>
          <w:sz w:val="24"/>
        </w:rPr>
        <w:t>PIC je usklađen na odgovarajućoj razini;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ListParagraph"/>
        <w:numPr>
          <w:ilvl w:val="1"/>
          <w:numId w:val="5"/>
        </w:numPr>
        <w:tabs>
          <w:tab w:val="left" w:pos="962"/>
        </w:tabs>
        <w:rPr>
          <w:sz w:val="24"/>
        </w:rPr>
      </w:pPr>
      <w:r>
        <w:rPr>
          <w:sz w:val="24"/>
        </w:rPr>
        <w:t>PIC teži stalnim unaprjeđenjima</w:t>
      </w:r>
      <w:r>
        <w:rPr>
          <w:i/>
          <w:sz w:val="24"/>
        </w:rPr>
        <w:t>.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BodyText"/>
        <w:ind w:left="109" w:right="121"/>
        <w:jc w:val="both"/>
      </w:pPr>
      <w:r>
        <w:t xml:space="preserve">Sve države članice imaju </w:t>
      </w:r>
      <w:r>
        <w:t>PIC koji je strukturiran i proveden u skladu s njihovim općenitim pravnim i upravnim uređenjima i dogovorom s ključnim dionicima, vladom, parlamentom i vrhovnom revizijskom institucijom, kao i s dogovorima koji postoje između tih dionika.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BodyText"/>
        <w:ind w:left="109" w:right="111"/>
        <w:jc w:val="both"/>
      </w:pPr>
      <w:r>
        <w:t>Pojam unutarnjih kontrola različito se tumači u svakoj od 28 država članica EU-a, a razlike vjerojatno postoje i unutar svake države članice, ovisno o vrsti organizacije u javnom sektoru.</w:t>
      </w:r>
      <w:r>
        <w:t xml:space="preserve"> Detaljne pojedinosti sustava unutarnjih kontrola ne razumiju uvijek </w:t>
      </w:r>
      <w:r>
        <w:t>ni svi visoki rukovoditelji.</w:t>
      </w: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rPr>
          <w:sz w:val="20"/>
        </w:rPr>
      </w:pPr>
    </w:p>
    <w:p w:rsidR="00BA10ED" w:rsidRDefault="00050BCE">
      <w:pPr>
        <w:pStyle w:val="BodyText"/>
        <w:spacing w:before="8"/>
        <w:rPr>
          <w:sz w:val="29"/>
        </w:rPr>
      </w:pPr>
      <w:r>
        <w:pict>
          <v:line id="47103" o:spid="_x0000_s1094" style="position:absolute;z-index:1120;mso-wrap-distance-left:0;mso-wrap-distance-right:0;mso-position-horizontal-relative:page" from="79.45pt,19.35pt" to="223.5pt,19.35pt" strokeweight=".6pt">
            <w10:wrap type="topAndBottom" anchorx="page"/>
          </v:line>
        </w:pict>
      </w:r>
    </w:p>
    <w:p w:rsidR="00BA10ED" w:rsidRDefault="00BA10ED">
      <w:pPr>
        <w:pStyle w:val="BodyText"/>
        <w:spacing w:before="10"/>
        <w:rPr>
          <w:sz w:val="16"/>
        </w:rPr>
      </w:pPr>
    </w:p>
    <w:p w:rsidR="00BA10ED" w:rsidRDefault="00050BCE">
      <w:pPr>
        <w:spacing w:before="96"/>
        <w:ind w:left="109"/>
        <w:rPr>
          <w:sz w:val="20"/>
        </w:rPr>
      </w:pPr>
      <w:r>
        <w:rPr>
          <w:sz w:val="13"/>
        </w:rPr>
        <w:t xml:space="preserve">1 </w:t>
      </w:r>
      <w:hyperlink r:id="rId14">
        <w:r>
          <w:rPr>
            <w:sz w:val="20"/>
          </w:rPr>
          <w:t>http://ec.europa.eu/budget/pic/lib/docs/2015/CD02PrinciplesofPIC-PositionPaper.pdf</w:t>
        </w:r>
      </w:hyperlink>
    </w:p>
    <w:p w:rsidR="00BA10ED" w:rsidRDefault="00BA10ED">
      <w:pPr>
        <w:pStyle w:val="BodyText"/>
        <w:spacing w:before="10"/>
        <w:rPr>
          <w:sz w:val="12"/>
        </w:rPr>
      </w:pPr>
    </w:p>
    <w:p w:rsidR="00BA10ED" w:rsidRDefault="00050BCE">
      <w:pPr>
        <w:spacing w:before="95"/>
        <w:ind w:left="109"/>
        <w:rPr>
          <w:rFonts w:ascii="Arial"/>
          <w:sz w:val="16"/>
        </w:rPr>
      </w:pPr>
      <w:r>
        <w:rPr>
          <w:rFonts w:ascii="Arial"/>
          <w:sz w:val="16"/>
        </w:rPr>
        <w:t>4</w:t>
      </w:r>
    </w:p>
    <w:p w:rsidR="00BA10ED" w:rsidRDefault="00BA10ED">
      <w:pPr>
        <w:rPr>
          <w:rFonts w:ascii="Arial"/>
          <w:sz w:val="16"/>
        </w:rPr>
        <w:sectPr w:rsidR="00BA10ED">
          <w:footerReference w:type="default" r:id="rId15"/>
          <w:pgSz w:w="11910" w:h="16840"/>
          <w:pgMar w:top="1160" w:right="1580" w:bottom="280" w:left="1480" w:header="0" w:footer="0" w:gutter="0"/>
          <w:cols w:space="720"/>
        </w:sectPr>
      </w:pPr>
    </w:p>
    <w:p w:rsidR="00BA10ED" w:rsidRDefault="00050BCE">
      <w:pPr>
        <w:pStyle w:val="BodyText"/>
        <w:spacing w:before="73"/>
        <w:ind w:left="109" w:right="117"/>
        <w:jc w:val="both"/>
        <w:rPr>
          <w:i/>
        </w:rPr>
      </w:pPr>
      <w:r>
        <w:lastRenderedPageBreak/>
        <w:t>Visoko rukovodstvo odgovorno je za učinak organizacije te za uspostavu sustava unutarnjih kontrola kako bi se ostvarili organizacijski ciljevi.</w:t>
      </w:r>
      <w:r>
        <w:t xml:space="preserve"> Stoga je važno da visoko rukovodstvo razumije svoju odgovornost u pogledu unutarnjih kontrola te da shvate kakvu</w:t>
      </w:r>
      <w:r>
        <w:t xml:space="preserve"> korist imaju od svega. </w:t>
      </w:r>
      <w:r>
        <w:t>U protivnom će tek shvatiti korist PIC-a kada im se pojavi problem prilikom rada na ostvarenju ciljeva ili kada se zapitaju „što je pošlo krivo?”.</w:t>
      </w:r>
    </w:p>
    <w:p w:rsidR="00BA10ED" w:rsidRDefault="00BA10ED">
      <w:pPr>
        <w:pStyle w:val="BodyText"/>
        <w:spacing w:before="9"/>
        <w:rPr>
          <w:i/>
          <w:sz w:val="20"/>
        </w:rPr>
      </w:pPr>
    </w:p>
    <w:p w:rsidR="00BA10ED" w:rsidRDefault="00050BCE">
      <w:pPr>
        <w:pStyle w:val="BodyText"/>
        <w:ind w:left="109" w:right="118"/>
        <w:jc w:val="both"/>
      </w:pPr>
      <w:r>
        <w:t>U praksi, u našoj javnoj upravi, zbog višestrukih i složenih administrativnih i ruko</w:t>
      </w:r>
      <w:r>
        <w:t>vodstvenih zadataka, upravitelji ponekad ne obraćaju dovoljno pozornosti na sustav unutarnjih kontrola.</w:t>
      </w:r>
      <w:r>
        <w:t xml:space="preserve"> Još je jedan od razloga to što su unutarnje kontrole preapstraktne</w:t>
      </w:r>
      <w:r>
        <w:t xml:space="preserve">, što dovodi do nedovoljno razumijevanja samog koncepta, njegovih ključnih elemenata i </w:t>
      </w:r>
      <w:r>
        <w:t>specifične uloge svih upravitelja i aktera. Nadalje, provedba sustava unutarnjih kontrola ne daje odmah vidljive i mjerljive izlazne rezultate koji se mogu nazvati „ostvarenjima”.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BodyText"/>
        <w:ind w:left="109" w:right="120"/>
        <w:jc w:val="both"/>
      </w:pPr>
      <w:r>
        <w:t>U ovom će se dokumentu na jednostavan način pokušati objasniti važnost unut</w:t>
      </w:r>
      <w:r>
        <w:t>arnjih kontrola u javnoj upravi te zašto i kako njihova provedba doprinosi ostvarenju triju najvažnijih i najvidljivijih komponenti dobrog javnog upravljanja:</w:t>
      </w:r>
      <w:r>
        <w:t xml:space="preserve"> </w:t>
      </w:r>
      <w:r>
        <w:rPr>
          <w:b/>
        </w:rPr>
        <w:t>odgovornost, integritet i transparentnost.</w:t>
      </w:r>
    </w:p>
    <w:p w:rsidR="00BA10ED" w:rsidRDefault="00BA10ED">
      <w:pPr>
        <w:pStyle w:val="BodyText"/>
        <w:rPr>
          <w:sz w:val="26"/>
        </w:rPr>
      </w:pPr>
    </w:p>
    <w:p w:rsidR="00BA10ED" w:rsidRDefault="00050BCE">
      <w:pPr>
        <w:pStyle w:val="ListParagraph"/>
        <w:numPr>
          <w:ilvl w:val="0"/>
          <w:numId w:val="5"/>
        </w:numPr>
        <w:tabs>
          <w:tab w:val="left" w:pos="467"/>
        </w:tabs>
        <w:spacing w:before="185"/>
        <w:ind w:hanging="357"/>
        <w:jc w:val="both"/>
        <w:rPr>
          <w:b/>
          <w:sz w:val="19"/>
        </w:rPr>
      </w:pPr>
      <w:bookmarkStart w:id="1" w:name="_bookmark1"/>
      <w:bookmarkEnd w:id="1"/>
      <w:r>
        <w:rPr>
          <w:b/>
        </w:rPr>
        <w:t>KLJUČNI POJMOVI</w:t>
      </w:r>
    </w:p>
    <w:p w:rsidR="00BA10ED" w:rsidRDefault="00BA10ED">
      <w:pPr>
        <w:pStyle w:val="BodyText"/>
        <w:spacing w:before="4"/>
        <w:rPr>
          <w:b/>
          <w:sz w:val="20"/>
        </w:rPr>
      </w:pPr>
    </w:p>
    <w:p w:rsidR="00BA10ED" w:rsidRDefault="00050BCE">
      <w:pPr>
        <w:pStyle w:val="BodyText"/>
        <w:spacing w:before="1"/>
        <w:ind w:left="109" w:right="114"/>
        <w:jc w:val="both"/>
      </w:pPr>
      <w:r>
        <w:t>Smatramo da su sljedeći ključni pojmovi ključne ideje ili detalji koji potiču razumijevanje načela i teorija primjenjivih na unutarnje kontrole i upravljanje u javnom sektoru.</w:t>
      </w:r>
      <w:r>
        <w:t xml:space="preserve"> Konkretno, služimo se tim ključnim pojmovima kako bismo naglasili važnost načela</w:t>
      </w:r>
      <w:r>
        <w:t xml:space="preserve"> PIC-a u javnoj organizaciji, uzimajući u obzir da sve javne organizacije rade s javnim novcem, tako da imaju posebnu odgovornost spram građana.</w:t>
      </w:r>
    </w:p>
    <w:p w:rsidR="00BA10ED" w:rsidRDefault="00BA10ED">
      <w:pPr>
        <w:pStyle w:val="BodyText"/>
        <w:spacing w:before="10"/>
        <w:rPr>
          <w:sz w:val="20"/>
        </w:rPr>
      </w:pPr>
    </w:p>
    <w:p w:rsidR="00BA10ED" w:rsidRDefault="00050BCE">
      <w:pPr>
        <w:pStyle w:val="BodyText"/>
        <w:ind w:left="109" w:right="116"/>
        <w:jc w:val="both"/>
      </w:pPr>
      <w:r>
        <w:t xml:space="preserve">Imajući u vidu da na cijeli sustav unutarnjih kontrola utječe ljudsko ponašanje (u smislu da se kontrole mogu </w:t>
      </w:r>
      <w:r>
        <w:t>izbjeći ili prebrisati ili da postupak donošenja odluka može biti manjkav), smatramo da je razumijevanje ključnih načela nužno kako bi upravitelji mogli lakše djelovati na optimalan način te izbjeći pogreške i donošenje loših odluka.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BodyText"/>
        <w:spacing w:before="1"/>
        <w:ind w:left="109" w:right="117"/>
        <w:jc w:val="both"/>
      </w:pPr>
      <w:r>
        <w:rPr>
          <w:b/>
          <w:i/>
          <w:u w:val="single"/>
        </w:rPr>
        <w:t>Integritet</w:t>
      </w:r>
      <w:r>
        <w:t xml:space="preserve"> – odnosi s</w:t>
      </w:r>
      <w:r>
        <w:t>e na načelo poštenja u vlastitom djelovanju te snažne moralne principe.</w:t>
      </w:r>
      <w:r>
        <w:t xml:space="preserve"> Integritet je čuvar poštenog i transparentnog ponašanja koje uključuje poštovanje zakona i standardnih procedura.</w:t>
      </w:r>
    </w:p>
    <w:p w:rsidR="00BA10ED" w:rsidRDefault="00BA10ED">
      <w:pPr>
        <w:pStyle w:val="BodyText"/>
        <w:spacing w:before="10"/>
        <w:rPr>
          <w:sz w:val="20"/>
        </w:rPr>
      </w:pPr>
    </w:p>
    <w:p w:rsidR="00BA10ED" w:rsidRDefault="00050BCE">
      <w:pPr>
        <w:pStyle w:val="BodyText"/>
        <w:ind w:left="109" w:right="117"/>
        <w:jc w:val="both"/>
      </w:pPr>
      <w:r>
        <w:rPr>
          <w:b/>
          <w:i/>
          <w:u w:val="single"/>
        </w:rPr>
        <w:t>Transparentnost</w:t>
      </w:r>
      <w:r>
        <w:t xml:space="preserve"> – načelo koje pokazuje da organizacija ništa ne skriva i upotrebljava pristup „otvorenih vrata” za sve odluke i aktivnosti.</w:t>
      </w:r>
      <w:r>
        <w:t xml:space="preserve"> Transparentnost je bitan element za suzbijanje korupcije i postiže se otvorenošću o krajnjim rezultatima kojima teži subjekt javnog</w:t>
      </w:r>
      <w:r>
        <w:t xml:space="preserve"> sektora, donesenim odlukama i potrebnim ili iskorištenim resursima te ostvarenim učinkom.</w:t>
      </w:r>
    </w:p>
    <w:p w:rsidR="00BA10ED" w:rsidRDefault="00BA10ED">
      <w:pPr>
        <w:pStyle w:val="BodyText"/>
        <w:spacing w:before="10"/>
        <w:rPr>
          <w:sz w:val="20"/>
        </w:rPr>
      </w:pPr>
    </w:p>
    <w:p w:rsidR="00BA10ED" w:rsidRDefault="00050BCE">
      <w:pPr>
        <w:pStyle w:val="BodyText"/>
        <w:ind w:left="109" w:right="116"/>
        <w:jc w:val="both"/>
      </w:pPr>
      <w:r>
        <w:rPr>
          <w:b/>
          <w:i/>
          <w:u w:val="single"/>
        </w:rPr>
        <w:t>Odgovornost</w:t>
      </w:r>
      <w:r>
        <w:t xml:space="preserve"> – odnosi se na obvezu rukovoditelja kojima su javni resursni dani na povjerenje, za koje su oni odgovorni, kao i za svoje politike, odluke, aktivnosti, </w:t>
      </w:r>
      <w:r>
        <w:t>posebno kada se odnose na javne financije i kada su krajnji rezultat njihovih postupaka.</w:t>
      </w:r>
      <w:r>
        <w:t xml:space="preserve"> (Krajnja odgovornost sa snošenjem posljedica ne može se delegirati, ali odgovornost, ovlast i zadaće mogu).</w:t>
      </w:r>
    </w:p>
    <w:p w:rsidR="00BA10ED" w:rsidRDefault="00BA10ED">
      <w:pPr>
        <w:jc w:val="both"/>
        <w:rPr>
          <w:sz w:val="24"/>
        </w:rPr>
        <w:sectPr w:rsidR="00BA10ED">
          <w:footerReference w:type="default" r:id="rId16"/>
          <w:pgSz w:w="11910" w:h="16840"/>
          <w:pgMar w:top="920" w:right="1580" w:bottom="1240" w:left="1480" w:header="0" w:footer="1060" w:gutter="0"/>
          <w:pgNumType w:start="5"/>
          <w:cols w:space="720"/>
        </w:sectPr>
      </w:pPr>
    </w:p>
    <w:p w:rsidR="00BA10ED" w:rsidRDefault="00050BCE">
      <w:pPr>
        <w:pStyle w:val="BodyText"/>
        <w:spacing w:before="73"/>
        <w:ind w:left="109" w:right="118"/>
        <w:jc w:val="both"/>
      </w:pPr>
      <w:r>
        <w:rPr>
          <w:b/>
        </w:rPr>
        <w:lastRenderedPageBreak/>
        <w:t>Upravljanje</w:t>
      </w:r>
      <w:r>
        <w:t xml:space="preserve"> – kombinacija procesa i struktura koje odbor provodi kako bi informirao, usmjeravao, upravljao i pratio aktivnosti organizacije u svrhu ispunjenja ciljeva.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BodyText"/>
        <w:spacing w:before="1"/>
        <w:ind w:left="109" w:right="117"/>
        <w:jc w:val="both"/>
      </w:pPr>
      <w:r>
        <w:rPr>
          <w:b/>
          <w:i/>
          <w:u w:val="single"/>
        </w:rPr>
        <w:t>Učinak</w:t>
      </w:r>
      <w:r>
        <w:t xml:space="preserve"> – ostvarenja javnog subjekta u odnosu na postavljene strateške ciljeve.</w:t>
      </w:r>
      <w:r>
        <w:t xml:space="preserve"> Ishodi i rezultati </w:t>
      </w:r>
      <w:r>
        <w:t>usporedit će se s očekivanim rezultatima ili s dogovorenim referentnim mjerilima.</w:t>
      </w:r>
    </w:p>
    <w:p w:rsidR="00BA10ED" w:rsidRDefault="00BA10ED">
      <w:pPr>
        <w:pStyle w:val="BodyText"/>
        <w:spacing w:before="10"/>
        <w:rPr>
          <w:sz w:val="20"/>
        </w:rPr>
      </w:pPr>
    </w:p>
    <w:p w:rsidR="00BA10ED" w:rsidRDefault="00050BCE">
      <w:pPr>
        <w:pStyle w:val="BodyText"/>
        <w:ind w:left="109" w:right="125"/>
        <w:jc w:val="both"/>
      </w:pPr>
      <w:r>
        <w:rPr>
          <w:b/>
          <w:i/>
          <w:u w:val="single"/>
        </w:rPr>
        <w:t>U</w:t>
      </w:r>
      <w:r>
        <w:rPr>
          <w:b/>
          <w:i/>
          <w:u w:val="single"/>
        </w:rPr>
        <w:t>sklađenost</w:t>
      </w:r>
      <w:r>
        <w:t xml:space="preserve"> – (sukladnost) znači poštovanje politika, planova, postupaka, zakona, propisa, internih pravila na snazi.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BodyText"/>
        <w:spacing w:before="1"/>
        <w:ind w:left="109" w:right="118"/>
        <w:jc w:val="both"/>
      </w:pPr>
      <w:r>
        <w:rPr>
          <w:b/>
          <w:i/>
          <w:u w:val="single"/>
        </w:rPr>
        <w:t>Izražavanje uvjerenja:</w:t>
      </w:r>
      <w:r>
        <w:t xml:space="preserve"> – odnosi se na razinu povjerenj</w:t>
      </w:r>
      <w:r>
        <w:t>a u pogledu vođenja organizacije (posebno po pitanju efikasnosti i učinkovitosti poslovanja, imovine itd.) Može se izraziti samo razumno uvjerenje jer nikada nije moguće u potpunosti ukloniti sve rizike.</w:t>
      </w:r>
    </w:p>
    <w:p w:rsidR="00BA10ED" w:rsidRDefault="00BA10ED">
      <w:pPr>
        <w:pStyle w:val="BodyText"/>
        <w:spacing w:before="10"/>
        <w:rPr>
          <w:sz w:val="20"/>
        </w:rPr>
      </w:pPr>
    </w:p>
    <w:p w:rsidR="00BA10ED" w:rsidRDefault="00050BCE">
      <w:pPr>
        <w:pStyle w:val="BodyText"/>
        <w:ind w:left="109" w:right="116"/>
        <w:jc w:val="both"/>
      </w:pPr>
      <w:r>
        <w:rPr>
          <w:b/>
          <w:i/>
          <w:u w:val="single"/>
        </w:rPr>
        <w:t>Profesionalizam</w:t>
      </w:r>
      <w:r>
        <w:t xml:space="preserve"> – biti stručnjak znači mnogo više o</w:t>
      </w:r>
      <w:r>
        <w:t>d posjedovanja diplome i nošenja poslovnog odjela.</w:t>
      </w:r>
      <w:r>
        <w:t xml:space="preserve"> Stručnjaci moraju imati niz važnih čimbenika: pouzdanost, sposobnost, etiku, organizacijske vještine, odgovornost te poznavati osnove poslovnog ponašanja.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BodyText"/>
        <w:spacing w:before="1"/>
        <w:ind w:left="109" w:right="120"/>
        <w:jc w:val="both"/>
      </w:pPr>
      <w:r>
        <w:rPr>
          <w:b/>
          <w:i/>
          <w:u w:val="single"/>
        </w:rPr>
        <w:t>Poštenje</w:t>
      </w:r>
      <w:r>
        <w:rPr>
          <w:b/>
          <w:i/>
        </w:rPr>
        <w:t xml:space="preserve">  </w:t>
      </w:r>
      <w:hyperlink r:id="rId17">
        <w:r>
          <w:t>– odnosi se na moral i pozitivne odlike poput integriteta,</w:t>
        </w:r>
      </w:hyperlink>
      <w:r>
        <w:t xml:space="preserve"> </w:t>
      </w:r>
      <w:hyperlink r:id="rId18">
        <w:r>
          <w:t>istinitosti</w:t>
        </w:r>
        <w:bookmarkStart w:id="2" w:name="_GoBack"/>
        <w:bookmarkEnd w:id="2"/>
        <w:r>
          <w:t>,</w:t>
        </w:r>
      </w:hyperlink>
      <w:r>
        <w:t>iskrenosti, uključujući iskreno ponašanje, bez laganja, varanja i krađe.</w:t>
      </w:r>
    </w:p>
    <w:p w:rsidR="00BA10ED" w:rsidRDefault="00BA10ED">
      <w:pPr>
        <w:pStyle w:val="BodyText"/>
        <w:rPr>
          <w:sz w:val="26"/>
        </w:rPr>
      </w:pPr>
    </w:p>
    <w:p w:rsidR="00BA10ED" w:rsidRDefault="00050BCE">
      <w:pPr>
        <w:pStyle w:val="ListParagraph"/>
        <w:numPr>
          <w:ilvl w:val="0"/>
          <w:numId w:val="5"/>
        </w:numPr>
        <w:tabs>
          <w:tab w:val="left" w:pos="467"/>
        </w:tabs>
        <w:spacing w:before="186"/>
        <w:ind w:hanging="357"/>
        <w:jc w:val="both"/>
        <w:rPr>
          <w:b/>
          <w:sz w:val="24"/>
        </w:rPr>
      </w:pPr>
      <w:bookmarkStart w:id="3" w:name="_bookmark2"/>
      <w:bookmarkEnd w:id="3"/>
      <w:r>
        <w:rPr>
          <w:b/>
        </w:rPr>
        <w:t>DODANA VRIJEDNOST PIC-A</w:t>
      </w:r>
    </w:p>
    <w:p w:rsidR="00BA10ED" w:rsidRDefault="00BA10ED">
      <w:pPr>
        <w:pStyle w:val="BodyText"/>
        <w:spacing w:before="5"/>
        <w:rPr>
          <w:b/>
          <w:sz w:val="20"/>
        </w:rPr>
      </w:pPr>
    </w:p>
    <w:p w:rsidR="00BA10ED" w:rsidRDefault="00050BCE">
      <w:pPr>
        <w:pStyle w:val="BodyText"/>
        <w:ind w:left="109" w:right="119"/>
        <w:jc w:val="both"/>
      </w:pPr>
      <w:r>
        <w:t>PIC se može opisati kao niz aktivnosti, djelovanja, planova, postupaka, politika, resursa i rada ljudi koji su uključeni u rad javnih subjekata, a sve u svrhu izražavanja razumnog uvjerenja da će javni subjekt ostvariti svoje ciljeve i misiju.</w:t>
      </w:r>
    </w:p>
    <w:p w:rsidR="00BA10ED" w:rsidRDefault="00BA10ED">
      <w:pPr>
        <w:pStyle w:val="BodyText"/>
        <w:spacing w:before="10"/>
        <w:rPr>
          <w:sz w:val="20"/>
        </w:rPr>
      </w:pPr>
    </w:p>
    <w:p w:rsidR="00BA10ED" w:rsidRDefault="00050BCE">
      <w:pPr>
        <w:pStyle w:val="BodyText"/>
        <w:ind w:left="109" w:right="117"/>
        <w:jc w:val="both"/>
      </w:pPr>
      <w:r>
        <w:rPr>
          <w:b/>
        </w:rPr>
        <w:t>Dobro uprav</w:t>
      </w:r>
      <w:r>
        <w:rPr>
          <w:b/>
        </w:rPr>
        <w:t>ljanje javnim sektorom</w:t>
      </w:r>
      <w:r>
        <w:t xml:space="preserve"> u interesu javnosti jest kontekst, svrha i pokretač PIC-a koji je dio sveobuhvatnijih internih aranžmana upravljanja.</w:t>
      </w:r>
      <w:r>
        <w:t xml:space="preserve"> Podupire učinkovito, efikasno, razborito i financijski odgovorno upravljanje u javnom interesu i provodi se kontinu</w:t>
      </w:r>
      <w:r>
        <w:t>irano diljem svih faza politike, pružanja usluga i proračunskog ciklusa.  Riječ je o strateškoj strani načela PIC-a gdje ciljevi javnih subjekata moraju biti usklađeni s političkom strategijom.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BodyText"/>
        <w:spacing w:before="1"/>
        <w:ind w:left="109" w:right="119"/>
        <w:jc w:val="both"/>
      </w:pPr>
      <w:r>
        <w:rPr>
          <w:b/>
        </w:rPr>
        <w:t>Usmjerenost PIC-a na ciljeve, izlazne i krajnje rezultate</w:t>
      </w:r>
      <w:r>
        <w:t xml:space="preserve"> pok</w:t>
      </w:r>
      <w:r>
        <w:t>azuje pristup usmjeren na učinak, koji se treba ostvariti na zakonit, prikladan, etičan i financijski odgovoran način.</w:t>
      </w:r>
      <w:r>
        <w:t xml:space="preserve"> PIC je u središtu sustava upravljanja učinkom, kroz mjerenje, analizu i izvještavanje o stvarnim izlaznim i krajnjim rezultatima u odnosu</w:t>
      </w:r>
      <w:r>
        <w:t xml:space="preserve"> na uspostavljene ciljeve.</w:t>
      </w:r>
    </w:p>
    <w:p w:rsidR="00BA10ED" w:rsidRDefault="00BA10ED">
      <w:pPr>
        <w:pStyle w:val="BodyText"/>
        <w:spacing w:before="10"/>
        <w:rPr>
          <w:sz w:val="20"/>
        </w:rPr>
      </w:pPr>
    </w:p>
    <w:p w:rsidR="00BA10ED" w:rsidRDefault="00050BCE">
      <w:pPr>
        <w:pStyle w:val="BodyText"/>
        <w:ind w:left="109" w:right="115"/>
        <w:jc w:val="both"/>
      </w:pPr>
      <w:r>
        <w:t>Interne kontrole osiguravaju provođenje dobrog financijskog upravljanja u smislu poslovanja (ekonomičnosti, efikasnosti i učinkovitosti) i usklađenosti (javni subjekti moraju biti primjer drugima tako da imaju veliku odgovornost</w:t>
      </w:r>
      <w:r>
        <w:t xml:space="preserve"> u smislu poštovanja zakona i pravila),</w:t>
      </w:r>
    </w:p>
    <w:p w:rsidR="00BA10ED" w:rsidRDefault="00BA10ED">
      <w:pPr>
        <w:jc w:val="both"/>
        <w:rPr>
          <w:sz w:val="24"/>
        </w:rPr>
        <w:sectPr w:rsidR="00BA10ED">
          <w:pgSz w:w="11910" w:h="16840"/>
          <w:pgMar w:top="920" w:right="1580" w:bottom="1240" w:left="1480" w:header="0" w:footer="1060" w:gutter="0"/>
          <w:cols w:space="720"/>
        </w:sectPr>
      </w:pPr>
    </w:p>
    <w:p w:rsidR="00BA10ED" w:rsidRDefault="00050BCE">
      <w:pPr>
        <w:spacing w:before="69"/>
        <w:ind w:left="229"/>
        <w:rPr>
          <w:b/>
          <w:sz w:val="24"/>
        </w:rPr>
      </w:pPr>
      <w:r>
        <w:lastRenderedPageBreak/>
        <w:pict>
          <v:group id="70701" o:spid="_x0000_s1026" style="position:absolute;left:0;text-align:left;margin-left:73.6pt;margin-top:2.05pt;width:442.65pt;height:382.85pt;z-index:-12136;mso-position-horizontal-relative:page" coordorigin="1472,41" coordsize="8853,7657">
            <v:rect id="70948" o:spid="_x0000_s1093" style="position:absolute;left:1481;top:50;width:8834;height:538" fillcolor="#f1f1f1" stroked="f"/>
            <v:rect id="71102" o:spid="_x0000_s1092" style="position:absolute;left:1471;top:41;width:10;height:10" fillcolor="black" stroked="f"/>
            <v:line id="71253" o:spid="_x0000_s1091" style="position:absolute" from="1481,46" to="10315,46" strokeweight=".48pt"/>
            <v:rect id="71412" o:spid="_x0000_s1090" style="position:absolute;left:10314;top:41;width:10;height:10" fillcolor="black" stroked="f"/>
            <v:line id="71564" o:spid="_x0000_s1089" style="position:absolute" from="1476,51" to="1476,588" strokeweight=".48pt"/>
            <v:line id="71723" o:spid="_x0000_s1088" style="position:absolute" from="10320,51" to="10320,588" strokeweight=".16936mm"/>
            <v:rect id="71887" o:spid="_x0000_s1087" style="position:absolute;left:1481;top:588;width:8834;height:293" fillcolor="#f1f1f1" stroked="f"/>
            <v:line id="72042" o:spid="_x0000_s1086" style="position:absolute" from="1476,588" to="1476,881" strokeweight=".48pt"/>
            <v:line id="72202" o:spid="_x0000_s1085" style="position:absolute" from="10320,588" to="10320,881" strokeweight=".16936mm"/>
            <v:rect id="72367" o:spid="_x0000_s1084" style="position:absolute;left:1481;top:880;width:8834;height:517" fillcolor="#f1f1f1" stroked="f"/>
            <v:line id="72522" o:spid="_x0000_s1083" style="position:absolute" from="1476,881" to="1476,1397" strokeweight=".48pt"/>
            <v:line id="72683" o:spid="_x0000_s1082" style="position:absolute" from="10320,881" to="10320,1397" strokeweight=".16936mm"/>
            <v:rect id="72849" o:spid="_x0000_s1081" style="position:absolute;left:1481;top:1397;width:8834;height:293" fillcolor="#f1f1f1" stroked="f"/>
            <v:line id="73005" o:spid="_x0000_s1080" style="position:absolute" from="1476,1397" to="1476,1690" strokeweight=".48pt"/>
            <v:line id="73167" o:spid="_x0000_s1079" style="position:absolute" from="10320,1397" to="10320,1690" strokeweight=".16936mm"/>
            <v:rect id="73334" o:spid="_x0000_s1078" style="position:absolute;left:1481;top:1690;width:8834;height:516" fillcolor="#f1f1f1" stroked="f"/>
            <v:line id="73490" o:spid="_x0000_s1077" style="position:absolute" from="1476,1690" to="1476,2206" strokeweight=".48pt"/>
            <v:line id="73652" o:spid="_x0000_s1076" style="position:absolute" from="10320,1690" to="10320,2206" strokeweight=".16936mm"/>
            <v:rect id="73819" o:spid="_x0000_s1075" style="position:absolute;left:1481;top:2206;width:8834;height:293" fillcolor="#f1f1f1" stroked="f"/>
            <v:line id="73975" o:spid="_x0000_s1074" style="position:absolute" from="1476,2206" to="1476,2499" strokeweight=".48pt"/>
            <v:line id="74137" o:spid="_x0000_s1073" style="position:absolute" from="10320,2206" to="10320,2499" strokeweight=".16936mm"/>
            <v:rect id="74304" o:spid="_x0000_s1072" style="position:absolute;left:1481;top:2499;width:8834;height:276" fillcolor="#f1f1f1" stroked="f"/>
            <v:line id="74460" o:spid="_x0000_s1071" style="position:absolute" from="1476,2499" to="1476,2775" strokeweight=".48pt"/>
            <v:line id="74622" o:spid="_x0000_s1070" style="position:absolute" from="10320,2499" to="10320,2775" strokeweight=".16936mm"/>
            <v:rect id="74789" o:spid="_x0000_s1069" style="position:absolute;left:1481;top:2775;width:8834;height:516" fillcolor="#f1f1f1" stroked="f"/>
            <v:line id="74945" o:spid="_x0000_s1068" style="position:absolute" from="1476,2775" to="1476,3291" strokeweight=".48pt"/>
            <v:line id="75107" o:spid="_x0000_s1067" style="position:absolute" from="10320,2775" to="10320,3291" strokeweight=".16936mm"/>
            <v:rect id="75274" o:spid="_x0000_s1066" style="position:absolute;left:1481;top:3291;width:8834;height:296" fillcolor="#f1f1f1" stroked="f"/>
            <v:line id="75430" o:spid="_x0000_s1065" style="position:absolute" from="1476,3291" to="1476,3586" strokeweight=".48pt"/>
            <v:line id="75592" o:spid="_x0000_s1064" style="position:absolute" from="10320,3291" to="10320,3586" strokeweight=".16936mm"/>
            <v:rect id="75759" o:spid="_x0000_s1063" style="position:absolute;left:1481;top:3586;width:8834;height:276" fillcolor="#f1f1f1" stroked="f"/>
            <v:line id="75915" o:spid="_x0000_s1062" style="position:absolute" from="1476,3586" to="1476,3862" strokeweight=".48pt"/>
            <v:line id="76077" o:spid="_x0000_s1061" style="position:absolute" from="10320,3586" to="10320,3862" strokeweight=".16936mm"/>
            <v:rect id="76244" o:spid="_x0000_s1060" style="position:absolute;left:1481;top:3862;width:8834;height:276" fillcolor="#f1f1f1" stroked="f"/>
            <v:line id="76400" o:spid="_x0000_s1059" style="position:absolute" from="1476,3862" to="1476,4138" strokeweight=".48pt"/>
            <v:line id="76562" o:spid="_x0000_s1058" style="position:absolute" from="10320,3862" to="10320,4138" strokeweight=".16936mm"/>
            <v:rect id="76729" o:spid="_x0000_s1057" style="position:absolute;left:1481;top:4138;width:8834;height:276" fillcolor="#f1f1f1" stroked="f"/>
            <v:line id="76885" o:spid="_x0000_s1056" style="position:absolute" from="1476,4138" to="1476,4414" strokeweight=".48pt"/>
            <v:line id="77047" o:spid="_x0000_s1055" style="position:absolute" from="10320,4138" to="10320,4414" strokeweight=".16936mm"/>
            <v:rect id="77214" o:spid="_x0000_s1054" style="position:absolute;left:1481;top:4414;width:8834;height:517" fillcolor="#f1f1f1" stroked="f"/>
            <v:line id="77370" o:spid="_x0000_s1053" style="position:absolute" from="1476,4414" to="1476,4931" strokeweight=".48pt"/>
            <v:line id="77532" o:spid="_x0000_s1052" style="position:absolute" from="10320,4414" to="10320,4931" strokeweight=".16936mm"/>
            <v:rect id="77699" o:spid="_x0000_s1051" style="position:absolute;left:1481;top:4930;width:8834;height:293" fillcolor="#f1f1f1" stroked="f"/>
            <v:line id="77855" o:spid="_x0000_s1050" style="position:absolute" from="1476,4931" to="1476,5224" strokeweight=".48pt"/>
            <v:line id="78017" o:spid="_x0000_s1049" style="position:absolute" from="10320,4931" to="10320,5224" strokeweight=".16936mm"/>
            <v:rect id="78184" o:spid="_x0000_s1048" style="position:absolute;left:1481;top:5223;width:8834;height:516" fillcolor="#f1f1f1" stroked="f"/>
            <v:line id="78340" o:spid="_x0000_s1047" style="position:absolute" from="1476,5224" to="1476,5740" strokeweight=".48pt"/>
            <v:line id="78502" o:spid="_x0000_s1046" style="position:absolute" from="10320,5224" to="10320,5740" strokeweight=".16936mm"/>
            <v:rect id="78669" o:spid="_x0000_s1045" style="position:absolute;left:1481;top:5739;width:8834;height:293" fillcolor="#f1f1f1" stroked="f"/>
            <v:line id="78825" o:spid="_x0000_s1044" style="position:absolute" from="1476,5740" to="1476,6032" strokeweight=".48pt"/>
            <v:line id="78987" o:spid="_x0000_s1043" style="position:absolute" from="10320,5740" to="10320,6032" strokeweight=".16936mm"/>
            <v:rect id="79154" o:spid="_x0000_s1042" style="position:absolute;left:1481;top:6032;width:8834;height:276" fillcolor="#f1f1f1" stroked="f"/>
            <v:line id="79310" o:spid="_x0000_s1041" style="position:absolute" from="1476,6032" to="1476,6308" strokeweight=".48pt"/>
            <v:line id="79472" o:spid="_x0000_s1040" style="position:absolute" from="10320,6032" to="10320,6308" strokeweight=".16936mm"/>
            <v:rect id="79639" o:spid="_x0000_s1039" style="position:absolute;left:1481;top:6308;width:8834;height:276" fillcolor="#f1f1f1" stroked="f"/>
            <v:line id="79795" o:spid="_x0000_s1038" style="position:absolute" from="1476,6308" to="1476,6584" strokeweight=".48pt"/>
            <v:line id="79957" o:spid="_x0000_s1037" style="position:absolute" from="10320,6308" to="10320,6584" strokeweight=".16936mm"/>
            <v:rect id="80124" o:spid="_x0000_s1036" style="position:absolute;left:1481;top:6584;width:8834;height:516" fillcolor="#f1f1f1" stroked="f"/>
            <v:line id="80280" o:spid="_x0000_s1035" style="position:absolute" from="1476,6584" to="1476,7100" strokeweight=".48pt"/>
            <v:line id="80442" o:spid="_x0000_s1034" style="position:absolute" from="10320,6584" to="10320,7100" strokeweight=".16936mm"/>
            <v:rect id="80609" o:spid="_x0000_s1033" style="position:absolute;left:1481;top:7100;width:8834;height:293" fillcolor="#f1f1f1" stroked="f"/>
            <v:line id="80765" o:spid="_x0000_s1032" style="position:absolute" from="1476,7100" to="1476,7393" strokeweight=".48pt"/>
            <v:line id="80927" o:spid="_x0000_s1031" style="position:absolute" from="10320,7100" to="10320,7393" strokeweight=".16936mm"/>
            <v:rect id="81094" o:spid="_x0000_s1030" style="position:absolute;left:1481;top:7393;width:8834;height:296" fillcolor="#f1f1f1" stroked="f"/>
            <v:line id="81250" o:spid="_x0000_s1029" style="position:absolute" from="1481,7693" to="10315,7693" strokeweight=".48pt"/>
            <v:line id="81416" o:spid="_x0000_s1028" style="position:absolute" from="1476,7393" to="1476,7698" strokeweight=".48pt"/>
            <v:line id="81578" o:spid="_x0000_s1027" style="position:absolute" from="10320,7393" to="10320,7698" strokeweight=".16936mm"/>
            <w10:wrap anchorx="page"/>
          </v:group>
        </w:pict>
      </w:r>
      <w:r>
        <w:rPr>
          <w:b/>
          <w:sz w:val="24"/>
        </w:rPr>
        <w:t>Što PIC može učiniti u našoj javnoj upravi i javnim subjektima?</w:t>
      </w:r>
    </w:p>
    <w:p w:rsidR="00BA10ED" w:rsidRDefault="00BA10ED">
      <w:pPr>
        <w:pStyle w:val="BodyText"/>
        <w:spacing w:before="9"/>
        <w:rPr>
          <w:b/>
          <w:sz w:val="20"/>
        </w:rPr>
      </w:pPr>
    </w:p>
    <w:p w:rsidR="00BA10ED" w:rsidRDefault="00050BCE">
      <w:pPr>
        <w:pStyle w:val="ListParagraph"/>
        <w:numPr>
          <w:ilvl w:val="0"/>
          <w:numId w:val="4"/>
        </w:numPr>
        <w:tabs>
          <w:tab w:val="left" w:pos="513"/>
        </w:tabs>
        <w:spacing w:line="237" w:lineRule="auto"/>
        <w:ind w:right="222" w:hanging="283"/>
        <w:jc w:val="both"/>
        <w:rPr>
          <w:sz w:val="24"/>
        </w:rPr>
      </w:pPr>
      <w:r>
        <w:rPr>
          <w:sz w:val="24"/>
        </w:rPr>
        <w:t>Može pomoći javnom subjektu da ostvari svoje ciljeve/učinak i izb</w:t>
      </w:r>
      <w:r>
        <w:rPr>
          <w:sz w:val="24"/>
        </w:rPr>
        <w:t>jegne nezadovoljavajuće rezultate;</w:t>
      </w:r>
    </w:p>
    <w:p w:rsidR="00BA10ED" w:rsidRDefault="00BA10ED">
      <w:pPr>
        <w:pStyle w:val="BodyText"/>
        <w:spacing w:before="2"/>
        <w:rPr>
          <w:sz w:val="21"/>
        </w:rPr>
      </w:pPr>
    </w:p>
    <w:p w:rsidR="00BA10ED" w:rsidRDefault="00050BCE">
      <w:pPr>
        <w:pStyle w:val="ListParagraph"/>
        <w:numPr>
          <w:ilvl w:val="0"/>
          <w:numId w:val="4"/>
        </w:numPr>
        <w:tabs>
          <w:tab w:val="left" w:pos="513"/>
        </w:tabs>
        <w:spacing w:before="1" w:line="237" w:lineRule="auto"/>
        <w:ind w:right="218" w:hanging="283"/>
        <w:jc w:val="both"/>
        <w:rPr>
          <w:sz w:val="24"/>
        </w:rPr>
      </w:pPr>
      <w:r>
        <w:rPr>
          <w:sz w:val="24"/>
        </w:rPr>
        <w:t>Pomaže rukovoditeljima da imaju ispravnu viziju svojih rezultata i objektivnu evaluaciju vlastitih aktivnosti;</w:t>
      </w:r>
    </w:p>
    <w:p w:rsidR="00BA10ED" w:rsidRDefault="00BA10ED">
      <w:pPr>
        <w:pStyle w:val="BodyText"/>
        <w:spacing w:before="3"/>
        <w:rPr>
          <w:sz w:val="21"/>
        </w:rPr>
      </w:pPr>
    </w:p>
    <w:p w:rsidR="00BA10ED" w:rsidRDefault="00050BCE">
      <w:pPr>
        <w:pStyle w:val="ListParagraph"/>
        <w:numPr>
          <w:ilvl w:val="0"/>
          <w:numId w:val="4"/>
        </w:numPr>
        <w:tabs>
          <w:tab w:val="left" w:pos="513"/>
        </w:tabs>
        <w:spacing w:line="237" w:lineRule="auto"/>
        <w:ind w:right="221" w:hanging="283"/>
        <w:jc w:val="both"/>
        <w:rPr>
          <w:sz w:val="24"/>
        </w:rPr>
      </w:pPr>
      <w:r>
        <w:rPr>
          <w:sz w:val="24"/>
        </w:rPr>
        <w:t>Osigurava usklađenost sa zakonima i propisima, izbjegavajući štetu svojem ugledu i ostale posljedice, kao i (skupe i dugotrajne) istrage koje su rezultat nepoštovanja određenih zakonskih odredbi;</w:t>
      </w:r>
    </w:p>
    <w:p w:rsidR="00BA10ED" w:rsidRDefault="00BA10ED">
      <w:pPr>
        <w:pStyle w:val="BodyText"/>
        <w:spacing w:before="11"/>
        <w:rPr>
          <w:sz w:val="20"/>
        </w:rPr>
      </w:pPr>
    </w:p>
    <w:p w:rsidR="00BA10ED" w:rsidRDefault="00050BCE">
      <w:pPr>
        <w:pStyle w:val="ListParagraph"/>
        <w:numPr>
          <w:ilvl w:val="0"/>
          <w:numId w:val="4"/>
        </w:numPr>
        <w:tabs>
          <w:tab w:val="left" w:pos="513"/>
        </w:tabs>
        <w:ind w:right="214" w:hanging="283"/>
        <w:jc w:val="both"/>
        <w:rPr>
          <w:sz w:val="24"/>
        </w:rPr>
      </w:pPr>
      <w:r>
        <w:rPr>
          <w:sz w:val="24"/>
        </w:rPr>
        <w:t>Sprječava prijevaru. Nedostatak postupaka i kontrola stvara</w:t>
      </w:r>
      <w:r>
        <w:rPr>
          <w:sz w:val="24"/>
        </w:rPr>
        <w:t xml:space="preserve"> uvjete u kojima zaposlenici mogu biti uključeni u prijevaru. Smanjena je i mogućnost da se prijevara otkrije na vrijeme. </w:t>
      </w:r>
      <w:r>
        <w:rPr>
          <w:sz w:val="24"/>
        </w:rPr>
        <w:t>Istovremeno, načelo „tona na vrhu” koje su osmislili rukovoditelji omogućuje im da podržavaju učinkovito kontrolno okruženje, što je o</w:t>
      </w:r>
      <w:r>
        <w:rPr>
          <w:sz w:val="24"/>
        </w:rPr>
        <w:t>snova za suzbijanje korupcije;</w:t>
      </w:r>
    </w:p>
    <w:p w:rsidR="00BA10ED" w:rsidRDefault="00BA10ED">
      <w:pPr>
        <w:pStyle w:val="BodyText"/>
        <w:spacing w:before="3"/>
        <w:rPr>
          <w:sz w:val="21"/>
        </w:rPr>
      </w:pPr>
    </w:p>
    <w:p w:rsidR="00BA10ED" w:rsidRDefault="00050BCE">
      <w:pPr>
        <w:pStyle w:val="ListParagraph"/>
        <w:numPr>
          <w:ilvl w:val="0"/>
          <w:numId w:val="4"/>
        </w:numPr>
        <w:tabs>
          <w:tab w:val="left" w:pos="513"/>
        </w:tabs>
        <w:spacing w:line="237" w:lineRule="auto"/>
        <w:ind w:right="215" w:hanging="283"/>
        <w:jc w:val="both"/>
        <w:rPr>
          <w:sz w:val="24"/>
        </w:rPr>
      </w:pPr>
      <w:r>
        <w:rPr>
          <w:sz w:val="24"/>
        </w:rPr>
        <w:t>Pomaže zaposlenicima da razumiju koje se aktivnosti moraju provoditi i na koji način te ih motivirati da unaprijede svoj učinak;</w:t>
      </w:r>
    </w:p>
    <w:p w:rsidR="00BA10ED" w:rsidRDefault="00BA10ED">
      <w:pPr>
        <w:pStyle w:val="BodyText"/>
        <w:spacing w:before="11"/>
        <w:rPr>
          <w:sz w:val="20"/>
        </w:rPr>
      </w:pPr>
    </w:p>
    <w:p w:rsidR="00BA10ED" w:rsidRDefault="00050BCE">
      <w:pPr>
        <w:pStyle w:val="ListParagraph"/>
        <w:numPr>
          <w:ilvl w:val="0"/>
          <w:numId w:val="4"/>
        </w:numPr>
        <w:tabs>
          <w:tab w:val="left" w:pos="513"/>
        </w:tabs>
        <w:ind w:right="215" w:hanging="283"/>
        <w:jc w:val="both"/>
        <w:rPr>
          <w:sz w:val="24"/>
        </w:rPr>
      </w:pPr>
      <w:r>
        <w:rPr>
          <w:sz w:val="24"/>
        </w:rPr>
        <w:t>Pomaže upraviteljima da ne gube vrijeme na koordinaciju nadzora zaposlenicima, nego da to vrij</w:t>
      </w:r>
      <w:r>
        <w:rPr>
          <w:sz w:val="24"/>
        </w:rPr>
        <w:t>eme utroše na druge aktivnosti strateškog upravljanja. Ako postoje procedure/priručnici, nadzorna funkcija i razdvojenost dužnosti tada je moguće bolje upravljati radnim vremenom zaposlenika i rukovodstva.</w:t>
      </w:r>
    </w:p>
    <w:p w:rsidR="00BA10ED" w:rsidRDefault="00BA10ED">
      <w:pPr>
        <w:pStyle w:val="BodyText"/>
        <w:rPr>
          <w:sz w:val="21"/>
        </w:rPr>
      </w:pPr>
    </w:p>
    <w:p w:rsidR="00BA10ED" w:rsidRDefault="00050BCE">
      <w:pPr>
        <w:pStyle w:val="ListParagraph"/>
        <w:numPr>
          <w:ilvl w:val="0"/>
          <w:numId w:val="4"/>
        </w:numPr>
        <w:tabs>
          <w:tab w:val="left" w:pos="513"/>
        </w:tabs>
        <w:ind w:right="220" w:hanging="283"/>
        <w:jc w:val="both"/>
        <w:rPr>
          <w:sz w:val="24"/>
        </w:rPr>
      </w:pPr>
      <w:r>
        <w:rPr>
          <w:sz w:val="24"/>
        </w:rPr>
        <w:t>Osigurava i bolju komunikaciju između dionika, up</w:t>
      </w:r>
      <w:r>
        <w:rPr>
          <w:sz w:val="24"/>
        </w:rPr>
        <w:t>ravitelja i zaposlenika.</w:t>
      </w:r>
    </w:p>
    <w:p w:rsidR="00BA10ED" w:rsidRDefault="00BA10ED">
      <w:pPr>
        <w:pStyle w:val="BodyText"/>
        <w:rPr>
          <w:sz w:val="20"/>
        </w:rPr>
      </w:pPr>
    </w:p>
    <w:p w:rsidR="00BA10ED" w:rsidRDefault="00BA10ED">
      <w:pPr>
        <w:pStyle w:val="BodyText"/>
        <w:spacing w:before="7"/>
        <w:rPr>
          <w:sz w:val="16"/>
        </w:rPr>
      </w:pPr>
    </w:p>
    <w:p w:rsidR="00BA10ED" w:rsidRDefault="00050BCE">
      <w:pPr>
        <w:pStyle w:val="ListParagraph"/>
        <w:numPr>
          <w:ilvl w:val="0"/>
          <w:numId w:val="5"/>
        </w:numPr>
        <w:tabs>
          <w:tab w:val="left" w:pos="587"/>
        </w:tabs>
        <w:spacing w:before="90"/>
        <w:ind w:left="586" w:hanging="357"/>
        <w:jc w:val="left"/>
        <w:rPr>
          <w:b/>
          <w:sz w:val="19"/>
        </w:rPr>
      </w:pPr>
      <w:bookmarkStart w:id="4" w:name="_bookmark3"/>
      <w:bookmarkEnd w:id="4"/>
      <w:r>
        <w:rPr>
          <w:b/>
        </w:rPr>
        <w:t>ODGOVORNOST:</w:t>
      </w:r>
      <w:r>
        <w:rPr>
          <w:b/>
          <w:sz w:val="24"/>
        </w:rPr>
        <w:t xml:space="preserve"> </w:t>
      </w:r>
      <w:r>
        <w:rPr>
          <w:b/>
          <w:sz w:val="19"/>
        </w:rPr>
        <w:t>POKRETAČ ZA BOLJI UČINAK</w:t>
      </w:r>
      <w:r>
        <w:rPr>
          <w:b/>
          <w:sz w:val="19"/>
        </w:rPr>
        <w:tab/>
      </w:r>
    </w:p>
    <w:p w:rsidR="00BA10ED" w:rsidRDefault="00BA10ED">
      <w:pPr>
        <w:pStyle w:val="BodyText"/>
        <w:spacing w:before="5"/>
        <w:rPr>
          <w:b/>
          <w:sz w:val="20"/>
        </w:rPr>
      </w:pPr>
    </w:p>
    <w:p w:rsidR="00BA10ED" w:rsidRDefault="00050BCE">
      <w:pPr>
        <w:pStyle w:val="BodyText"/>
        <w:ind w:left="229" w:right="215"/>
        <w:jc w:val="both"/>
      </w:pPr>
      <w:r>
        <w:rPr>
          <w:b/>
        </w:rPr>
        <w:t>Odgovornost</w:t>
      </w:r>
      <w:r>
        <w:t xml:space="preserve"> je obveza snošenja posljedica za izvršenje zadataka i dužnosti spram onih koji su ih povjerili (obveza izvršavanja zadataka).</w:t>
      </w:r>
      <w:r>
        <w:t xml:space="preserve"> </w:t>
      </w:r>
      <w:r>
        <w:t>Ti se zadaci dodjeljuju u skladu s ovlastima aktera (ovlaštenje) – pravo na djelovanje. Odgovornost uključuje i pružanje informacije o aktivnostima, odlukama i odabiru te njihovo objašnjenje i opravdanje.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BodyText"/>
        <w:ind w:left="229"/>
      </w:pPr>
      <w:r>
        <w:t>Odgovornost za učinak:</w:t>
      </w:r>
    </w:p>
    <w:p w:rsidR="00BA10ED" w:rsidRDefault="00BA10ED">
      <w:pPr>
        <w:pStyle w:val="BodyText"/>
        <w:rPr>
          <w:sz w:val="21"/>
        </w:rPr>
      </w:pPr>
    </w:p>
    <w:p w:rsidR="00BA10ED" w:rsidRDefault="00050BCE">
      <w:pPr>
        <w:pStyle w:val="ListParagraph"/>
        <w:numPr>
          <w:ilvl w:val="0"/>
          <w:numId w:val="3"/>
        </w:numPr>
        <w:tabs>
          <w:tab w:val="left" w:pos="995"/>
        </w:tabs>
        <w:ind w:right="219" w:hanging="283"/>
        <w:jc w:val="both"/>
        <w:rPr>
          <w:sz w:val="24"/>
        </w:rPr>
      </w:pPr>
      <w:r>
        <w:rPr>
          <w:sz w:val="24"/>
        </w:rPr>
        <w:t>PIC je usmjeren na ciljeve</w:t>
      </w:r>
      <w:r>
        <w:rPr>
          <w:sz w:val="24"/>
        </w:rPr>
        <w:t>, izlazne i krajnje rezultate koje treba ostvariti na zakonit, prikladan, etičan i financijski odgovoran način;</w:t>
      </w:r>
    </w:p>
    <w:p w:rsidR="00BA10ED" w:rsidRDefault="00BA10ED">
      <w:pPr>
        <w:pStyle w:val="BodyText"/>
        <w:rPr>
          <w:sz w:val="21"/>
        </w:rPr>
      </w:pPr>
    </w:p>
    <w:p w:rsidR="00BA10ED" w:rsidRDefault="00050BCE">
      <w:pPr>
        <w:pStyle w:val="ListParagraph"/>
        <w:numPr>
          <w:ilvl w:val="0"/>
          <w:numId w:val="3"/>
        </w:numPr>
        <w:tabs>
          <w:tab w:val="left" w:pos="995"/>
        </w:tabs>
        <w:ind w:right="216" w:hanging="283"/>
        <w:jc w:val="both"/>
        <w:rPr>
          <w:sz w:val="24"/>
        </w:rPr>
      </w:pPr>
      <w:r>
        <w:rPr>
          <w:sz w:val="24"/>
        </w:rPr>
        <w:t>PIC je u središtu sustava upravljanja učinkom, kroz mjerenje, analizu i izvještavanje o stvarnim izlaznim i krajnjim rezultatima u odnosu na us</w:t>
      </w:r>
      <w:r>
        <w:rPr>
          <w:sz w:val="24"/>
        </w:rPr>
        <w:t>postavljene ciljeve;</w:t>
      </w:r>
    </w:p>
    <w:p w:rsidR="00BA10ED" w:rsidRDefault="00BA10ED">
      <w:pPr>
        <w:pStyle w:val="BodyText"/>
        <w:spacing w:before="2"/>
        <w:rPr>
          <w:sz w:val="21"/>
        </w:rPr>
      </w:pPr>
    </w:p>
    <w:p w:rsidR="00BA10ED" w:rsidRDefault="00050BCE">
      <w:pPr>
        <w:pStyle w:val="ListParagraph"/>
        <w:numPr>
          <w:ilvl w:val="0"/>
          <w:numId w:val="3"/>
        </w:numPr>
        <w:tabs>
          <w:tab w:val="left" w:pos="995"/>
        </w:tabs>
        <w:spacing w:before="1" w:line="237" w:lineRule="auto"/>
        <w:ind w:right="223" w:hanging="283"/>
        <w:jc w:val="both"/>
        <w:rPr>
          <w:sz w:val="24"/>
        </w:rPr>
      </w:pPr>
      <w:r>
        <w:rPr>
          <w:sz w:val="24"/>
        </w:rPr>
        <w:t>Informacije o učinku upotrebljavaju se za odgovornost i učenje u pogledu ostvarenja vrijednosti za uloženi novac za građane.</w:t>
      </w:r>
    </w:p>
    <w:p w:rsidR="00BA10ED" w:rsidRDefault="00BA10ED">
      <w:pPr>
        <w:spacing w:line="237" w:lineRule="auto"/>
        <w:jc w:val="both"/>
        <w:rPr>
          <w:sz w:val="24"/>
        </w:rPr>
        <w:sectPr w:rsidR="00BA10ED">
          <w:pgSz w:w="11910" w:h="16840"/>
          <w:pgMar w:top="960" w:right="1480" w:bottom="1240" w:left="1360" w:header="0" w:footer="1060" w:gutter="0"/>
          <w:cols w:space="720"/>
        </w:sectPr>
      </w:pPr>
    </w:p>
    <w:p w:rsidR="00BA10ED" w:rsidRDefault="00050BCE">
      <w:pPr>
        <w:pStyle w:val="BodyText"/>
        <w:spacing w:before="73"/>
        <w:ind w:left="109" w:right="114"/>
        <w:jc w:val="both"/>
      </w:pPr>
      <w:r>
        <w:lastRenderedPageBreak/>
        <w:t xml:space="preserve">Upravitelji javnih subjekata moraju biti orijentirani na ciljeve. </w:t>
      </w:r>
      <w:r>
        <w:t>Učinak znači ostvarenje ciljeva na efikasan, učinkovit i ekonomičan način te u skladu sa zakonodavstvom. Upravitelji su odgovorni za ostvarenje ciljeva, stoga je učinak jedan od glavnih načina ocjenjivanja odgovornosti u PIC-u.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BodyText"/>
        <w:ind w:left="109" w:right="116"/>
        <w:jc w:val="both"/>
      </w:pPr>
      <w:r>
        <w:t>U tom kontekstu može doći d</w:t>
      </w:r>
      <w:r>
        <w:t xml:space="preserve">o usporedbi između vanjske i unutarnje odgovornosti. </w:t>
      </w:r>
      <w:r>
        <w:rPr>
          <w:b/>
        </w:rPr>
        <w:t>Vanjska odgovornost</w:t>
      </w:r>
      <w:r>
        <w:t xml:space="preserve"> odnosi se na obvezu organizacije da snosi odgovornost prema vanjskim dionicima za ostvarenje organizacijskih ciljeva.</w:t>
      </w:r>
      <w:r>
        <w:t xml:space="preserve"> Vanjska odgovornost znači davanje pouzdanja dionicima da subjekt </w:t>
      </w:r>
      <w:r>
        <w:t>pruža ispravne i pouzdane informacije o svojim politikama, poslovanju i rezultatima.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BodyText"/>
        <w:ind w:left="109" w:right="116"/>
        <w:jc w:val="both"/>
      </w:pPr>
      <w:r>
        <w:rPr>
          <w:b/>
        </w:rPr>
        <w:t>Unutarnja odgovornost</w:t>
      </w:r>
      <w:r>
        <w:t xml:space="preserve"> znači odgovornost unutar organizacije i identična je </w:t>
      </w:r>
      <w:r>
        <w:rPr>
          <w:b/>
        </w:rPr>
        <w:t>upravljačkoj odgovornosti</w:t>
      </w:r>
      <w:r>
        <w:t xml:space="preserve">, gdje voditelji odjela moraju sve aktivnosti provoditi u skladu s načelima dobrog financijskog upravljanja, zakonitosti i transparentnosti u upravljanju, te snositi odgovornost za svoje radnje i posljedične rezultate svojih radnji spram tijela koje ih je </w:t>
      </w:r>
      <w:r>
        <w:t>imenovalo ili im dodijelilo tu odgovornost tj. zadaću.</w:t>
      </w:r>
    </w:p>
    <w:p w:rsidR="00BA10ED" w:rsidRDefault="00BA10ED">
      <w:pPr>
        <w:pStyle w:val="BodyText"/>
        <w:spacing w:before="10"/>
        <w:rPr>
          <w:sz w:val="20"/>
        </w:rPr>
      </w:pPr>
    </w:p>
    <w:p w:rsidR="00BA10ED" w:rsidRDefault="00050BCE">
      <w:pPr>
        <w:pStyle w:val="BodyText"/>
        <w:ind w:left="109"/>
        <w:jc w:val="both"/>
      </w:pPr>
      <w:r>
        <w:t>Upravljačka odgovornost podrazumijeva:</w:t>
      </w:r>
    </w:p>
    <w:p w:rsidR="00BA10ED" w:rsidRDefault="00BA10ED">
      <w:pPr>
        <w:pStyle w:val="BodyText"/>
        <w:rPr>
          <w:sz w:val="21"/>
        </w:rPr>
      </w:pPr>
    </w:p>
    <w:p w:rsidR="00BA10ED" w:rsidRDefault="00050BCE">
      <w:pPr>
        <w:pStyle w:val="ListParagraph"/>
        <w:numPr>
          <w:ilvl w:val="0"/>
          <w:numId w:val="2"/>
        </w:numPr>
        <w:tabs>
          <w:tab w:val="left" w:pos="875"/>
        </w:tabs>
        <w:ind w:hanging="283"/>
        <w:rPr>
          <w:sz w:val="24"/>
        </w:rPr>
      </w:pPr>
      <w:r>
        <w:rPr>
          <w:sz w:val="24"/>
        </w:rPr>
        <w:t>Odgovornost: jasnu i razboritu podjelu zadataka unutar organizacije</w:t>
      </w:r>
    </w:p>
    <w:p w:rsidR="00BA10ED" w:rsidRDefault="00050BCE">
      <w:pPr>
        <w:pStyle w:val="ListParagraph"/>
        <w:numPr>
          <w:ilvl w:val="0"/>
          <w:numId w:val="2"/>
        </w:numPr>
        <w:tabs>
          <w:tab w:val="left" w:pos="875"/>
        </w:tabs>
        <w:spacing w:before="238"/>
        <w:ind w:right="121" w:hanging="283"/>
        <w:jc w:val="both"/>
        <w:rPr>
          <w:sz w:val="24"/>
        </w:rPr>
      </w:pPr>
      <w:r>
        <w:rPr>
          <w:sz w:val="24"/>
        </w:rPr>
        <w:t xml:space="preserve">Autoritet – ostvaruje se dodjelom ovlasti za donošenje odluka i raspodjelom resursa tako da </w:t>
      </w:r>
      <w:r>
        <w:rPr>
          <w:sz w:val="24"/>
        </w:rPr>
        <w:t>pojedini upravitelji imaju pravo odlučiti (ili utjecati na odluku) o tome kako će izvršavati svoje zadatke.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BodyText"/>
        <w:ind w:left="109" w:right="117"/>
        <w:jc w:val="both"/>
      </w:pPr>
      <w:r>
        <w:t>Nijedan se zadatak ne može obaviti bez potrebnih resursa, što zahtijeva primjerenu alokaciju proračuna u sklopu strukture kojom upravlja rukovodite</w:t>
      </w:r>
      <w:r>
        <w:t>lj.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BodyText"/>
        <w:ind w:left="109" w:right="123"/>
        <w:jc w:val="both"/>
      </w:pPr>
      <w:r>
        <w:t>Biti odgovoran ne znači da sve treba sam napraviti. Zbog toga upravitelji subjekta moraju uspostaviti:</w:t>
      </w:r>
    </w:p>
    <w:p w:rsidR="00BA10ED" w:rsidRDefault="00BA10ED">
      <w:pPr>
        <w:pStyle w:val="BodyText"/>
        <w:spacing w:before="3"/>
        <w:rPr>
          <w:sz w:val="21"/>
        </w:rPr>
      </w:pPr>
    </w:p>
    <w:p w:rsidR="00BA10ED" w:rsidRDefault="00050BCE">
      <w:pPr>
        <w:pStyle w:val="ListParagraph"/>
        <w:numPr>
          <w:ilvl w:val="0"/>
          <w:numId w:val="2"/>
        </w:numPr>
        <w:tabs>
          <w:tab w:val="left" w:pos="875"/>
        </w:tabs>
        <w:spacing w:line="237" w:lineRule="auto"/>
        <w:ind w:right="121" w:hanging="283"/>
        <w:rPr>
          <w:sz w:val="24"/>
        </w:rPr>
      </w:pPr>
      <w:r>
        <w:rPr>
          <w:sz w:val="24"/>
        </w:rPr>
        <w:t>Organizacijsku strukturu prilagođenu ispunjenju zahtjeva organizacijskih strateških ciljeva i vizije;</w:t>
      </w:r>
    </w:p>
    <w:p w:rsidR="00BA10ED" w:rsidRDefault="00BA10ED">
      <w:pPr>
        <w:pStyle w:val="BodyText"/>
        <w:rPr>
          <w:sz w:val="21"/>
        </w:rPr>
      </w:pPr>
    </w:p>
    <w:p w:rsidR="00BA10ED" w:rsidRDefault="00050BCE">
      <w:pPr>
        <w:pStyle w:val="ListParagraph"/>
        <w:numPr>
          <w:ilvl w:val="0"/>
          <w:numId w:val="2"/>
        </w:numPr>
        <w:tabs>
          <w:tab w:val="left" w:pos="875"/>
        </w:tabs>
        <w:ind w:hanging="283"/>
        <w:rPr>
          <w:sz w:val="24"/>
        </w:rPr>
      </w:pPr>
      <w:r>
        <w:rPr>
          <w:sz w:val="24"/>
        </w:rPr>
        <w:t>Učinkovito okruženje unutarnjih kontrola u v</w:t>
      </w:r>
      <w:r>
        <w:rPr>
          <w:sz w:val="24"/>
        </w:rPr>
        <w:t>lastitoj organizaciji, uključujući</w:t>
      </w:r>
    </w:p>
    <w:p w:rsidR="00BA10ED" w:rsidRDefault="00050BCE">
      <w:pPr>
        <w:pStyle w:val="ListParagraph"/>
        <w:numPr>
          <w:ilvl w:val="1"/>
          <w:numId w:val="2"/>
        </w:numPr>
        <w:tabs>
          <w:tab w:val="left" w:pos="1671"/>
          <w:tab w:val="left" w:pos="1672"/>
        </w:tabs>
        <w:spacing w:before="241" w:line="237" w:lineRule="auto"/>
        <w:ind w:right="122"/>
        <w:rPr>
          <w:sz w:val="24"/>
        </w:rPr>
      </w:pPr>
      <w:r>
        <w:rPr>
          <w:sz w:val="24"/>
        </w:rPr>
        <w:t>učinkovit okvir dodjele ovlasti srednjem i nižem rukovodstvu;</w:t>
      </w:r>
    </w:p>
    <w:p w:rsidR="00BA10ED" w:rsidRDefault="00BA10ED">
      <w:pPr>
        <w:pStyle w:val="BodyText"/>
        <w:rPr>
          <w:sz w:val="21"/>
        </w:rPr>
      </w:pPr>
    </w:p>
    <w:p w:rsidR="00BA10ED" w:rsidRDefault="00050BCE">
      <w:pPr>
        <w:pStyle w:val="ListParagraph"/>
        <w:numPr>
          <w:ilvl w:val="1"/>
          <w:numId w:val="2"/>
        </w:numPr>
        <w:tabs>
          <w:tab w:val="left" w:pos="1671"/>
          <w:tab w:val="left" w:pos="1672"/>
        </w:tabs>
        <w:rPr>
          <w:sz w:val="24"/>
        </w:rPr>
      </w:pPr>
      <w:r>
        <w:rPr>
          <w:sz w:val="24"/>
        </w:rPr>
        <w:t>jasno definirane funkcije/odgovornost;</w:t>
      </w:r>
    </w:p>
    <w:p w:rsidR="00BA10ED" w:rsidRDefault="00050BCE">
      <w:pPr>
        <w:pStyle w:val="ListParagraph"/>
        <w:numPr>
          <w:ilvl w:val="1"/>
          <w:numId w:val="2"/>
        </w:numPr>
        <w:tabs>
          <w:tab w:val="left" w:pos="1671"/>
          <w:tab w:val="left" w:pos="1672"/>
        </w:tabs>
        <w:spacing w:before="238"/>
        <w:rPr>
          <w:sz w:val="24"/>
        </w:rPr>
      </w:pPr>
      <w:r>
        <w:rPr>
          <w:sz w:val="24"/>
        </w:rPr>
        <w:t>jasne linije izvještavanja i odgovornosti;</w:t>
      </w:r>
    </w:p>
    <w:p w:rsidR="00BA10ED" w:rsidRDefault="00050BCE">
      <w:pPr>
        <w:pStyle w:val="ListParagraph"/>
        <w:numPr>
          <w:ilvl w:val="1"/>
          <w:numId w:val="2"/>
        </w:numPr>
        <w:tabs>
          <w:tab w:val="left" w:pos="1671"/>
          <w:tab w:val="left" w:pos="1672"/>
        </w:tabs>
        <w:spacing w:before="239"/>
        <w:ind w:right="124"/>
        <w:rPr>
          <w:sz w:val="24"/>
        </w:rPr>
      </w:pPr>
      <w:r>
        <w:rPr>
          <w:sz w:val="24"/>
        </w:rPr>
        <w:t>jasnu odgovornost visokog i srednjeg rukovodstva u pogledu ostvarenja vrijednosti za uložen novac;</w:t>
      </w:r>
    </w:p>
    <w:p w:rsidR="00BA10ED" w:rsidRDefault="00BA10ED">
      <w:pPr>
        <w:pStyle w:val="BodyText"/>
        <w:rPr>
          <w:sz w:val="21"/>
        </w:rPr>
      </w:pPr>
    </w:p>
    <w:p w:rsidR="00BA10ED" w:rsidRDefault="00050BCE">
      <w:pPr>
        <w:pStyle w:val="ListParagraph"/>
        <w:numPr>
          <w:ilvl w:val="1"/>
          <w:numId w:val="2"/>
        </w:numPr>
        <w:tabs>
          <w:tab w:val="left" w:pos="1671"/>
          <w:tab w:val="left" w:pos="1672"/>
        </w:tabs>
        <w:rPr>
          <w:sz w:val="24"/>
        </w:rPr>
      </w:pPr>
      <w:r>
        <w:rPr>
          <w:sz w:val="24"/>
        </w:rPr>
        <w:t>transparentan postupak donošenja odluka u javnom interesu.</w:t>
      </w:r>
    </w:p>
    <w:p w:rsidR="00BA10ED" w:rsidRDefault="00BA10ED">
      <w:pPr>
        <w:rPr>
          <w:sz w:val="24"/>
        </w:rPr>
        <w:sectPr w:rsidR="00BA10ED">
          <w:pgSz w:w="11910" w:h="16840"/>
          <w:pgMar w:top="920" w:right="1580" w:bottom="1240" w:left="1480" w:header="0" w:footer="1060" w:gutter="0"/>
          <w:cols w:space="720"/>
        </w:sectPr>
      </w:pPr>
    </w:p>
    <w:p w:rsidR="00BA10ED" w:rsidRDefault="00050BCE">
      <w:pPr>
        <w:pStyle w:val="ListParagraph"/>
        <w:numPr>
          <w:ilvl w:val="0"/>
          <w:numId w:val="5"/>
        </w:numPr>
        <w:tabs>
          <w:tab w:val="left" w:pos="467"/>
        </w:tabs>
        <w:spacing w:before="78"/>
        <w:ind w:hanging="357"/>
        <w:jc w:val="both"/>
        <w:rPr>
          <w:b/>
          <w:sz w:val="19"/>
        </w:rPr>
      </w:pPr>
      <w:bookmarkStart w:id="5" w:name="_bookmark4"/>
      <w:bookmarkEnd w:id="5"/>
      <w:r>
        <w:rPr>
          <w:b/>
        </w:rPr>
        <w:lastRenderedPageBreak/>
        <w:t>INTEGRITET I TRANSPARENTNOST</w:t>
      </w:r>
    </w:p>
    <w:p w:rsidR="00BA10ED" w:rsidRDefault="00BA10ED">
      <w:pPr>
        <w:pStyle w:val="BodyText"/>
        <w:spacing w:before="4"/>
        <w:rPr>
          <w:b/>
          <w:sz w:val="20"/>
        </w:rPr>
      </w:pPr>
    </w:p>
    <w:p w:rsidR="00BA10ED" w:rsidRDefault="00050BCE">
      <w:pPr>
        <w:pStyle w:val="BodyText"/>
        <w:spacing w:before="1"/>
        <w:ind w:left="109" w:right="116"/>
        <w:jc w:val="both"/>
      </w:pPr>
      <w:r>
        <w:t>Kao što je već definirano, integritet je čuvar po</w:t>
      </w:r>
      <w:r>
        <w:t xml:space="preserve">štenog i transparentnog ponašanja kako bi se primjenjivali zakon i standardne procedure. Integritet se lako može povezati s poštenjem, ali je i puno više od toga. Poštenje znači biti iskren i vjerodostojan. Integritet znači </w:t>
      </w:r>
      <w:hyperlink r:id="rId19">
        <w:r>
          <w:t>biti iskren</w:t>
        </w:r>
      </w:hyperlink>
      <w:r>
        <w:t xml:space="preserve"> i strogo se pridržavati moralnih načela.</w:t>
      </w:r>
    </w:p>
    <w:p w:rsidR="00BA10ED" w:rsidRDefault="00BA10ED">
      <w:pPr>
        <w:pStyle w:val="BodyText"/>
        <w:spacing w:before="10"/>
        <w:rPr>
          <w:sz w:val="20"/>
        </w:rPr>
      </w:pPr>
    </w:p>
    <w:p w:rsidR="00BA10ED" w:rsidRDefault="00050BCE">
      <w:pPr>
        <w:pStyle w:val="BodyText"/>
        <w:ind w:left="109" w:right="113"/>
        <w:jc w:val="both"/>
      </w:pPr>
      <w:r>
        <w:t xml:space="preserve">Integritet također znači transparentnost jer se nema što skrivati, a politika „otvorenih vrata” primjenjuje se u svim odlukama i aktivnostima. </w:t>
      </w:r>
      <w:r>
        <w:t>Transparentnost je bitan element za suzbijanje korupcije i postiže se otvorenošću o krajnjim rezultatima kojima teži subjekt javnog sektora, potrebnim ili iskorištenim resursima te ostvarenim učinkom.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BodyText"/>
        <w:spacing w:before="1"/>
        <w:ind w:left="109" w:right="117"/>
        <w:jc w:val="both"/>
      </w:pPr>
      <w:r>
        <w:t>Cjelokupan javni sektor treba biti otvoren i dostupan dionicima, što uključuje i širu javnost. Transparentnost unutar organizacije jača predanost zaposlenika strategijama i ciljevima. Javna uprava treba komunicirati sa svojim dionicima kroz kanale koji ukl</w:t>
      </w:r>
      <w:r>
        <w:t>jučuju informacije s interneta i društvene medije.</w:t>
      </w:r>
      <w:r>
        <w:t xml:space="preserve"> Transparentnost pomaže da se organizacija zaštiti od percepcije da nešto skriva.</w:t>
      </w:r>
    </w:p>
    <w:p w:rsidR="00BA10ED" w:rsidRDefault="00BA10ED">
      <w:pPr>
        <w:pStyle w:val="BodyText"/>
        <w:spacing w:before="10"/>
        <w:rPr>
          <w:sz w:val="20"/>
        </w:rPr>
      </w:pPr>
    </w:p>
    <w:p w:rsidR="00BA10ED" w:rsidRDefault="00050BCE">
      <w:pPr>
        <w:pStyle w:val="BodyText"/>
        <w:ind w:left="109" w:right="119"/>
        <w:jc w:val="both"/>
      </w:pPr>
      <w:r>
        <w:t>Transparentnost je prirodan rezultat odgovornosti. Nemoguće je ne biti odgovoran u transparentnom okruženju. Kada dionici v</w:t>
      </w:r>
      <w:r>
        <w:t>ide i ocijene rezultate to potiče upravitelje i zaposlenike da vode posebnu brigu o obavljenom poslu i donesenim odlukama.</w:t>
      </w:r>
    </w:p>
    <w:p w:rsidR="00BA10ED" w:rsidRDefault="00BA10ED">
      <w:pPr>
        <w:pStyle w:val="BodyText"/>
        <w:rPr>
          <w:sz w:val="26"/>
        </w:rPr>
      </w:pPr>
    </w:p>
    <w:p w:rsidR="00BA10ED" w:rsidRDefault="00050BCE">
      <w:pPr>
        <w:pStyle w:val="ListParagraph"/>
        <w:numPr>
          <w:ilvl w:val="0"/>
          <w:numId w:val="5"/>
        </w:numPr>
        <w:tabs>
          <w:tab w:val="left" w:pos="467"/>
        </w:tabs>
        <w:spacing w:before="185"/>
        <w:ind w:hanging="357"/>
        <w:jc w:val="both"/>
        <w:rPr>
          <w:b/>
          <w:sz w:val="19"/>
        </w:rPr>
      </w:pPr>
      <w:bookmarkStart w:id="6" w:name="_bookmark5"/>
      <w:bookmarkEnd w:id="6"/>
      <w:r>
        <w:rPr>
          <w:b/>
        </w:rPr>
        <w:t>OGRANIČENJA UNUTARNJIH KONTROLA</w:t>
      </w:r>
    </w:p>
    <w:p w:rsidR="00BA10ED" w:rsidRDefault="00BA10ED">
      <w:pPr>
        <w:pStyle w:val="BodyText"/>
        <w:spacing w:before="4"/>
        <w:rPr>
          <w:b/>
          <w:sz w:val="20"/>
        </w:rPr>
      </w:pPr>
    </w:p>
    <w:p w:rsidR="00BA10ED" w:rsidRDefault="00050BCE">
      <w:pPr>
        <w:pStyle w:val="BodyText"/>
        <w:ind w:left="109" w:right="114"/>
        <w:jc w:val="both"/>
      </w:pPr>
      <w:r>
        <w:t>Unutarnje kontrole ne mogu same po sebi osigurati ostvarenje organizacijskih ciljeva jer uvijek postoji rizik da se sustav sruši, posebno zbog ljudskog čimbenika te zbog toga može patiti od pogrešaka u dizajnu, u prosudbi, od tajnih dogovora, zaobilaska ko</w:t>
      </w:r>
      <w:r>
        <w:t>ntrole itd.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BodyText"/>
        <w:spacing w:before="1"/>
        <w:ind w:left="109" w:right="113"/>
        <w:jc w:val="both"/>
      </w:pPr>
      <w:r>
        <w:t>Nadalje, oblik i struktura kontrola ovise o količini dostupnih resursa. Održavanje sustava unutarnjih kontrola koji otklanja rizik od gubitka nije realistično, stoga se prednosti kontrola moraju sagledati u odnosu na njihove troškove i vjeroja</w:t>
      </w:r>
      <w:r>
        <w:t>tnost te potencijalne učinke nastanka rizika.</w:t>
      </w:r>
    </w:p>
    <w:p w:rsidR="00BA10ED" w:rsidRDefault="00BA10ED">
      <w:pPr>
        <w:pStyle w:val="BodyText"/>
        <w:spacing w:before="10"/>
        <w:rPr>
          <w:sz w:val="20"/>
        </w:rPr>
      </w:pPr>
    </w:p>
    <w:p w:rsidR="00BA10ED" w:rsidRDefault="00050BCE">
      <w:pPr>
        <w:pStyle w:val="BodyText"/>
        <w:ind w:left="109" w:right="122"/>
        <w:jc w:val="both"/>
      </w:pPr>
      <w:r>
        <w:t>Na kraju, organizacijske promjene i stav rukovodstva mogu imati značajan utjecaj na učinkovitost unutarnjih kontrola. Stoga rukovodstvo treba konstantno pregledavati i ažurirati kontrole, obavješćivati zaposle</w:t>
      </w:r>
      <w:r>
        <w:t>nike o promjenama i voditi svojim primjerom pridržavajući se svih pravila.</w:t>
      </w:r>
    </w:p>
    <w:p w:rsidR="00BA10ED" w:rsidRDefault="00BA10ED">
      <w:pPr>
        <w:jc w:val="both"/>
        <w:rPr>
          <w:sz w:val="24"/>
        </w:rPr>
        <w:sectPr w:rsidR="00BA10ED">
          <w:pgSz w:w="11910" w:h="16840"/>
          <w:pgMar w:top="920" w:right="1580" w:bottom="1240" w:left="1480" w:header="0" w:footer="1060" w:gutter="0"/>
          <w:cols w:space="720"/>
        </w:sectPr>
      </w:pPr>
    </w:p>
    <w:p w:rsidR="00BA10ED" w:rsidRDefault="00050BCE">
      <w:pPr>
        <w:pStyle w:val="ListParagraph"/>
        <w:numPr>
          <w:ilvl w:val="0"/>
          <w:numId w:val="5"/>
        </w:numPr>
        <w:tabs>
          <w:tab w:val="left" w:pos="467"/>
        </w:tabs>
        <w:spacing w:before="78"/>
        <w:ind w:hanging="357"/>
        <w:jc w:val="left"/>
        <w:rPr>
          <w:b/>
          <w:sz w:val="19"/>
        </w:rPr>
      </w:pPr>
      <w:bookmarkStart w:id="7" w:name="_bookmark6"/>
      <w:bookmarkEnd w:id="7"/>
      <w:r>
        <w:rPr>
          <w:b/>
        </w:rPr>
        <w:lastRenderedPageBreak/>
        <w:t>TEME ZA RASPRAVU</w:t>
      </w:r>
    </w:p>
    <w:p w:rsidR="00BA10ED" w:rsidRDefault="00BA10ED">
      <w:pPr>
        <w:pStyle w:val="BodyText"/>
        <w:spacing w:before="4"/>
        <w:rPr>
          <w:b/>
          <w:sz w:val="20"/>
        </w:rPr>
      </w:pPr>
    </w:p>
    <w:p w:rsidR="00BA10ED" w:rsidRDefault="00050BCE">
      <w:pPr>
        <w:pStyle w:val="ListParagraph"/>
        <w:numPr>
          <w:ilvl w:val="0"/>
          <w:numId w:val="1"/>
        </w:numPr>
        <w:tabs>
          <w:tab w:val="left" w:pos="818"/>
        </w:tabs>
        <w:spacing w:before="1"/>
        <w:ind w:right="121"/>
        <w:jc w:val="both"/>
        <w:rPr>
          <w:sz w:val="24"/>
        </w:rPr>
      </w:pPr>
      <w:r>
        <w:rPr>
          <w:sz w:val="24"/>
        </w:rPr>
        <w:t>Posebno za vrijeme smanjenja resursa (kada rukovoditelji često prigovaraju da nemaju dovoljno novca i zaposlenika kako bi osigurali optimalne rezultate), što je dobra praksa kojom se osigurava da rukovodstvo ne doživljava odgovornost kao nešto negativno, n</w:t>
      </w:r>
      <w:r>
        <w:rPr>
          <w:sz w:val="24"/>
        </w:rPr>
        <w:t>ego da nastavlja biti pokretač za bolji učinak.</w:t>
      </w:r>
    </w:p>
    <w:p w:rsidR="00BA10ED" w:rsidRDefault="00BA10ED">
      <w:pPr>
        <w:pStyle w:val="BodyText"/>
        <w:spacing w:before="10"/>
        <w:rPr>
          <w:sz w:val="20"/>
        </w:rPr>
      </w:pPr>
    </w:p>
    <w:p w:rsidR="00BA10ED" w:rsidRDefault="00050BCE">
      <w:pPr>
        <w:pStyle w:val="ListParagraph"/>
        <w:numPr>
          <w:ilvl w:val="0"/>
          <w:numId w:val="1"/>
        </w:numPr>
        <w:tabs>
          <w:tab w:val="left" w:pos="818"/>
        </w:tabs>
        <w:ind w:right="125"/>
        <w:jc w:val="both"/>
        <w:rPr>
          <w:sz w:val="24"/>
        </w:rPr>
      </w:pPr>
      <w:r>
        <w:rPr>
          <w:sz w:val="24"/>
        </w:rPr>
        <w:t>Koje su dobre prakse prikazivanja organizacijske odgovornosti u vašoj državi?</w:t>
      </w:r>
    </w:p>
    <w:p w:rsidR="00BA10ED" w:rsidRDefault="00BA10ED">
      <w:pPr>
        <w:pStyle w:val="BodyText"/>
        <w:spacing w:before="9"/>
        <w:rPr>
          <w:sz w:val="20"/>
        </w:rPr>
      </w:pPr>
    </w:p>
    <w:p w:rsidR="00BA10ED" w:rsidRDefault="00050BCE">
      <w:pPr>
        <w:pStyle w:val="ListParagraph"/>
        <w:numPr>
          <w:ilvl w:val="0"/>
          <w:numId w:val="1"/>
        </w:numPr>
        <w:tabs>
          <w:tab w:val="left" w:pos="818"/>
        </w:tabs>
        <w:spacing w:before="1"/>
        <w:ind w:right="120"/>
        <w:jc w:val="both"/>
        <w:rPr>
          <w:sz w:val="24"/>
        </w:rPr>
      </w:pPr>
      <w:r>
        <w:rPr>
          <w:sz w:val="24"/>
        </w:rPr>
        <w:t>Jesu li ministri odgovorni za učinak agencija/tijela u nadležnosti svojeg ministarstva?</w:t>
      </w:r>
    </w:p>
    <w:p w:rsidR="00BA10ED" w:rsidRDefault="00BA10ED">
      <w:pPr>
        <w:pStyle w:val="BodyText"/>
        <w:spacing w:before="10"/>
        <w:rPr>
          <w:sz w:val="20"/>
        </w:rPr>
      </w:pPr>
    </w:p>
    <w:p w:rsidR="00BA10ED" w:rsidRDefault="00050BCE">
      <w:pPr>
        <w:pStyle w:val="ListParagraph"/>
        <w:numPr>
          <w:ilvl w:val="0"/>
          <w:numId w:val="1"/>
        </w:numPr>
        <w:tabs>
          <w:tab w:val="left" w:pos="818"/>
        </w:tabs>
        <w:ind w:right="121"/>
        <w:jc w:val="both"/>
        <w:rPr>
          <w:sz w:val="24"/>
        </w:rPr>
      </w:pPr>
      <w:r>
        <w:rPr>
          <w:sz w:val="24"/>
        </w:rPr>
        <w:t>Kako se učinak ocjenjuje u vašoj zemlji</w:t>
      </w:r>
      <w:r>
        <w:rPr>
          <w:sz w:val="24"/>
        </w:rPr>
        <w:t>, većinom prema usklađenosti ili vrijednosti za uložen novac ili prema ostvarenju ciljeva?  Kako bi se učinak trebao mjeriti?</w:t>
      </w:r>
      <w:r>
        <w:rPr>
          <w:sz w:val="24"/>
        </w:rPr>
        <w:t xml:space="preserve"> Koje su dobre prakse za mjerenje učinka?</w:t>
      </w:r>
    </w:p>
    <w:p w:rsidR="00BA10ED" w:rsidRDefault="00BA10ED">
      <w:pPr>
        <w:pStyle w:val="BodyText"/>
        <w:spacing w:before="10"/>
        <w:rPr>
          <w:sz w:val="20"/>
        </w:rPr>
      </w:pPr>
    </w:p>
    <w:p w:rsidR="00BA10ED" w:rsidRDefault="00050BCE">
      <w:pPr>
        <w:pStyle w:val="ListParagraph"/>
        <w:numPr>
          <w:ilvl w:val="0"/>
          <w:numId w:val="1"/>
        </w:numPr>
        <w:tabs>
          <w:tab w:val="left" w:pos="818"/>
        </w:tabs>
        <w:ind w:right="116"/>
        <w:jc w:val="both"/>
        <w:rPr>
          <w:sz w:val="24"/>
        </w:rPr>
      </w:pPr>
      <w:r>
        <w:rPr>
          <w:sz w:val="24"/>
        </w:rPr>
        <w:t>Koje su dobre prakse da se dobije sustav strateškog planiranja koji povezuje organizacij</w:t>
      </w:r>
      <w:r>
        <w:rPr>
          <w:sz w:val="24"/>
        </w:rPr>
        <w:t>ske ciljeve sa sveukupnom vizijom vlade i koji dobro funkcionira u praksi te da se osigura dobro operativno planiranje koje povezuje operativne ciljeve s resursnim potrebama (proračun, osoblje i druga vrsta imovine).</w:t>
      </w:r>
    </w:p>
    <w:sectPr w:rsidR="00BA10ED">
      <w:footerReference w:type="default" r:id="rId20"/>
      <w:pgSz w:w="11910" w:h="16840"/>
      <w:pgMar w:top="920" w:right="1580" w:bottom="1240" w:left="1480" w:header="0" w:footer="10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050BCE">
      <w:r>
        <w:separator/>
      </w:r>
    </w:p>
  </w:endnote>
  <w:endnote w:type="continuationSeparator" w:id="0">
    <w:p w:rsidR="00000000" w:rsidRDefault="00050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0ED" w:rsidRDefault="00050BCE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1130" o:spid="_x0000_s2051" type="#_x0000_t202" style="position:absolute;margin-left:305.9pt;margin-top:777.95pt;width:6.5pt;height:11pt;z-index:-12256;mso-position-horizontal-relative:page;mso-position-vertical-relative:page" filled="f" stroked="f">
          <v:textbox inset="0,0,0,0">
            <w:txbxContent>
              <w:p w:rsidR="00BA10ED" w:rsidRDefault="00050BCE">
                <w:pPr>
                  <w:spacing w:before="15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0ED" w:rsidRDefault="00BA10ED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0ED" w:rsidRDefault="00BA10ED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0ED" w:rsidRDefault="00050BCE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938" o:spid="_x0000_s2050" type="#_x0000_t202" style="position:absolute;margin-left:304.9pt;margin-top:777.95pt;width:8.5pt;height:11pt;z-index:-12232;mso-position-horizontal-relative:page;mso-position-vertical-relative:page" filled="f" stroked="f">
          <v:textbox inset="0,0,0,0">
            <w:txbxContent>
              <w:p w:rsidR="00BA10ED" w:rsidRDefault="00050BCE">
                <w:pPr>
                  <w:spacing w:before="15"/>
                  <w:ind w:left="40"/>
                  <w:rPr>
                    <w:rFonts w:ascii="Arial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0ED" w:rsidRDefault="00050BCE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6pt;margin-top:777.95pt;width:10.9pt;height:11pt;z-index:-12208;mso-position-horizontal-relative:page;mso-position-vertical-relative:page" filled="f" stroked="f">
          <v:textbox inset="0,0,0,0">
            <w:txbxContent>
              <w:p w:rsidR="00BA10ED" w:rsidRDefault="00050BCE">
                <w:pPr>
                  <w:spacing w:before="15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050BCE">
      <w:r>
        <w:separator/>
      </w:r>
    </w:p>
  </w:footnote>
  <w:footnote w:type="continuationSeparator" w:id="0">
    <w:p w:rsidR="00000000" w:rsidRDefault="00050B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900E3"/>
    <w:multiLevelType w:val="hybridMultilevel"/>
    <w:tmpl w:val="76EA53B6"/>
    <w:lvl w:ilvl="0" w:tplc="D4B24552">
      <w:numFmt w:val="bullet"/>
      <w:lvlText w:val=""/>
      <w:lvlJc w:val="left"/>
      <w:pPr>
        <w:ind w:left="874" w:hanging="284"/>
      </w:pPr>
      <w:rPr>
        <w:rFonts w:ascii="Symbol" w:eastAsia="Symbol" w:hAnsi="Symbol" w:cs="Symbol" w:hint="default"/>
        <w:sz w:val="24"/>
        <w:szCs w:val="24"/>
      </w:rPr>
    </w:lvl>
    <w:lvl w:ilvl="1" w:tplc="B7D0475E">
      <w:numFmt w:val="bullet"/>
      <w:lvlText w:val=""/>
      <w:lvlJc w:val="left"/>
      <w:pPr>
        <w:ind w:left="1671" w:hanging="360"/>
      </w:pPr>
      <w:rPr>
        <w:rFonts w:ascii="Symbol" w:eastAsia="Symbol" w:hAnsi="Symbol" w:cs="Symbol" w:hint="default"/>
        <w:sz w:val="24"/>
        <w:szCs w:val="24"/>
      </w:rPr>
    </w:lvl>
    <w:lvl w:ilvl="2" w:tplc="54EA0152">
      <w:numFmt w:val="bullet"/>
      <w:lvlText w:val="•"/>
      <w:lvlJc w:val="left"/>
      <w:pPr>
        <w:ind w:left="2476" w:hanging="360"/>
      </w:pPr>
      <w:rPr>
        <w:rFonts w:hint="default"/>
      </w:rPr>
    </w:lvl>
    <w:lvl w:ilvl="3" w:tplc="F8AEBBEC">
      <w:numFmt w:val="bullet"/>
      <w:lvlText w:val="•"/>
      <w:lvlJc w:val="left"/>
      <w:pPr>
        <w:ind w:left="3272" w:hanging="360"/>
      </w:pPr>
      <w:rPr>
        <w:rFonts w:hint="default"/>
      </w:rPr>
    </w:lvl>
    <w:lvl w:ilvl="4" w:tplc="DF9854E8">
      <w:numFmt w:val="bullet"/>
      <w:lvlText w:val="•"/>
      <w:lvlJc w:val="left"/>
      <w:pPr>
        <w:ind w:left="4068" w:hanging="360"/>
      </w:pPr>
      <w:rPr>
        <w:rFonts w:hint="default"/>
      </w:rPr>
    </w:lvl>
    <w:lvl w:ilvl="5" w:tplc="A2402094">
      <w:numFmt w:val="bullet"/>
      <w:lvlText w:val="•"/>
      <w:lvlJc w:val="left"/>
      <w:pPr>
        <w:ind w:left="4865" w:hanging="360"/>
      </w:pPr>
      <w:rPr>
        <w:rFonts w:hint="default"/>
      </w:rPr>
    </w:lvl>
    <w:lvl w:ilvl="6" w:tplc="4468A784">
      <w:numFmt w:val="bullet"/>
      <w:lvlText w:val="•"/>
      <w:lvlJc w:val="left"/>
      <w:pPr>
        <w:ind w:left="5661" w:hanging="360"/>
      </w:pPr>
      <w:rPr>
        <w:rFonts w:hint="default"/>
      </w:rPr>
    </w:lvl>
    <w:lvl w:ilvl="7" w:tplc="F79A64AE">
      <w:numFmt w:val="bullet"/>
      <w:lvlText w:val="•"/>
      <w:lvlJc w:val="left"/>
      <w:pPr>
        <w:ind w:left="6457" w:hanging="360"/>
      </w:pPr>
      <w:rPr>
        <w:rFonts w:hint="default"/>
      </w:rPr>
    </w:lvl>
    <w:lvl w:ilvl="8" w:tplc="DB086694">
      <w:numFmt w:val="bullet"/>
      <w:lvlText w:val="•"/>
      <w:lvlJc w:val="left"/>
      <w:pPr>
        <w:ind w:left="7253" w:hanging="360"/>
      </w:pPr>
      <w:rPr>
        <w:rFonts w:hint="default"/>
      </w:rPr>
    </w:lvl>
  </w:abstractNum>
  <w:abstractNum w:abstractNumId="1" w15:restartNumberingAfterBreak="0">
    <w:nsid w:val="085316D8"/>
    <w:multiLevelType w:val="hybridMultilevel"/>
    <w:tmpl w:val="0260620E"/>
    <w:lvl w:ilvl="0" w:tplc="3A867890">
      <w:start w:val="1"/>
      <w:numFmt w:val="decimal"/>
      <w:lvlText w:val="(%1)"/>
      <w:lvlJc w:val="left"/>
      <w:pPr>
        <w:ind w:left="817" w:hanging="708"/>
        <w:jc w:val="left"/>
      </w:pPr>
      <w:rPr>
        <w:rFonts w:ascii="Times New Roman" w:eastAsia="Times New Roman" w:hAnsi="Times New Roman" w:cs="Times New Roman" w:hint="default"/>
        <w:spacing w:val="-220"/>
        <w:sz w:val="24"/>
        <w:szCs w:val="24"/>
      </w:rPr>
    </w:lvl>
    <w:lvl w:ilvl="1" w:tplc="B48A903A">
      <w:numFmt w:val="bullet"/>
      <w:lvlText w:val="•"/>
      <w:lvlJc w:val="left"/>
      <w:pPr>
        <w:ind w:left="1622" w:hanging="708"/>
      </w:pPr>
      <w:rPr>
        <w:rFonts w:hint="default"/>
      </w:rPr>
    </w:lvl>
    <w:lvl w:ilvl="2" w:tplc="AB9C2E58">
      <w:numFmt w:val="bullet"/>
      <w:lvlText w:val="•"/>
      <w:lvlJc w:val="left"/>
      <w:pPr>
        <w:ind w:left="2425" w:hanging="708"/>
      </w:pPr>
      <w:rPr>
        <w:rFonts w:hint="default"/>
      </w:rPr>
    </w:lvl>
    <w:lvl w:ilvl="3" w:tplc="3C029A48">
      <w:numFmt w:val="bullet"/>
      <w:lvlText w:val="•"/>
      <w:lvlJc w:val="left"/>
      <w:pPr>
        <w:ind w:left="3227" w:hanging="708"/>
      </w:pPr>
      <w:rPr>
        <w:rFonts w:hint="default"/>
      </w:rPr>
    </w:lvl>
    <w:lvl w:ilvl="4" w:tplc="68E6E186">
      <w:numFmt w:val="bullet"/>
      <w:lvlText w:val="•"/>
      <w:lvlJc w:val="left"/>
      <w:pPr>
        <w:ind w:left="4030" w:hanging="708"/>
      </w:pPr>
      <w:rPr>
        <w:rFonts w:hint="default"/>
      </w:rPr>
    </w:lvl>
    <w:lvl w:ilvl="5" w:tplc="78A851EC">
      <w:numFmt w:val="bullet"/>
      <w:lvlText w:val="•"/>
      <w:lvlJc w:val="left"/>
      <w:pPr>
        <w:ind w:left="4833" w:hanging="708"/>
      </w:pPr>
      <w:rPr>
        <w:rFonts w:hint="default"/>
      </w:rPr>
    </w:lvl>
    <w:lvl w:ilvl="6" w:tplc="25B2633C">
      <w:numFmt w:val="bullet"/>
      <w:lvlText w:val="•"/>
      <w:lvlJc w:val="left"/>
      <w:pPr>
        <w:ind w:left="5635" w:hanging="708"/>
      </w:pPr>
      <w:rPr>
        <w:rFonts w:hint="default"/>
      </w:rPr>
    </w:lvl>
    <w:lvl w:ilvl="7" w:tplc="82A6BD30">
      <w:numFmt w:val="bullet"/>
      <w:lvlText w:val="•"/>
      <w:lvlJc w:val="left"/>
      <w:pPr>
        <w:ind w:left="6438" w:hanging="708"/>
      </w:pPr>
      <w:rPr>
        <w:rFonts w:hint="default"/>
      </w:rPr>
    </w:lvl>
    <w:lvl w:ilvl="8" w:tplc="8FFC3860">
      <w:numFmt w:val="bullet"/>
      <w:lvlText w:val="•"/>
      <w:lvlJc w:val="left"/>
      <w:pPr>
        <w:ind w:left="7241" w:hanging="708"/>
      </w:pPr>
      <w:rPr>
        <w:rFonts w:hint="default"/>
      </w:rPr>
    </w:lvl>
  </w:abstractNum>
  <w:abstractNum w:abstractNumId="2" w15:restartNumberingAfterBreak="0">
    <w:nsid w:val="32E53C80"/>
    <w:multiLevelType w:val="hybridMultilevel"/>
    <w:tmpl w:val="6FD4BAF2"/>
    <w:lvl w:ilvl="0" w:tplc="55945F32">
      <w:start w:val="1"/>
      <w:numFmt w:val="decimal"/>
      <w:lvlText w:val="%1."/>
      <w:lvlJc w:val="left"/>
      <w:pPr>
        <w:ind w:left="591" w:hanging="483"/>
        <w:jc w:val="left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914CA552">
      <w:numFmt w:val="bullet"/>
      <w:lvlText w:val="•"/>
      <w:lvlJc w:val="left"/>
      <w:pPr>
        <w:ind w:left="1426" w:hanging="483"/>
      </w:pPr>
      <w:rPr>
        <w:rFonts w:hint="default"/>
      </w:rPr>
    </w:lvl>
    <w:lvl w:ilvl="2" w:tplc="BCCC68C0">
      <w:numFmt w:val="bullet"/>
      <w:lvlText w:val="•"/>
      <w:lvlJc w:val="left"/>
      <w:pPr>
        <w:ind w:left="2253" w:hanging="483"/>
      </w:pPr>
      <w:rPr>
        <w:rFonts w:hint="default"/>
      </w:rPr>
    </w:lvl>
    <w:lvl w:ilvl="3" w:tplc="EF3C71A6">
      <w:numFmt w:val="bullet"/>
      <w:lvlText w:val="•"/>
      <w:lvlJc w:val="left"/>
      <w:pPr>
        <w:ind w:left="3079" w:hanging="483"/>
      </w:pPr>
      <w:rPr>
        <w:rFonts w:hint="default"/>
      </w:rPr>
    </w:lvl>
    <w:lvl w:ilvl="4" w:tplc="7A6E5CB4">
      <w:numFmt w:val="bullet"/>
      <w:lvlText w:val="•"/>
      <w:lvlJc w:val="left"/>
      <w:pPr>
        <w:ind w:left="3906" w:hanging="483"/>
      </w:pPr>
      <w:rPr>
        <w:rFonts w:hint="default"/>
      </w:rPr>
    </w:lvl>
    <w:lvl w:ilvl="5" w:tplc="D58E67EA">
      <w:numFmt w:val="bullet"/>
      <w:lvlText w:val="•"/>
      <w:lvlJc w:val="left"/>
      <w:pPr>
        <w:ind w:left="4733" w:hanging="483"/>
      </w:pPr>
      <w:rPr>
        <w:rFonts w:hint="default"/>
      </w:rPr>
    </w:lvl>
    <w:lvl w:ilvl="6" w:tplc="E62A9278">
      <w:numFmt w:val="bullet"/>
      <w:lvlText w:val="•"/>
      <w:lvlJc w:val="left"/>
      <w:pPr>
        <w:ind w:left="5559" w:hanging="483"/>
      </w:pPr>
      <w:rPr>
        <w:rFonts w:hint="default"/>
      </w:rPr>
    </w:lvl>
    <w:lvl w:ilvl="7" w:tplc="7D6AB024">
      <w:numFmt w:val="bullet"/>
      <w:lvlText w:val="•"/>
      <w:lvlJc w:val="left"/>
      <w:pPr>
        <w:ind w:left="6386" w:hanging="483"/>
      </w:pPr>
      <w:rPr>
        <w:rFonts w:hint="default"/>
      </w:rPr>
    </w:lvl>
    <w:lvl w:ilvl="8" w:tplc="FDBE155E">
      <w:numFmt w:val="bullet"/>
      <w:lvlText w:val="•"/>
      <w:lvlJc w:val="left"/>
      <w:pPr>
        <w:ind w:left="7213" w:hanging="483"/>
      </w:pPr>
      <w:rPr>
        <w:rFonts w:hint="default"/>
      </w:rPr>
    </w:lvl>
  </w:abstractNum>
  <w:abstractNum w:abstractNumId="3" w15:restartNumberingAfterBreak="0">
    <w:nsid w:val="43420397"/>
    <w:multiLevelType w:val="hybridMultilevel"/>
    <w:tmpl w:val="BEBCCB92"/>
    <w:lvl w:ilvl="0" w:tplc="3C5027D0">
      <w:numFmt w:val="bullet"/>
      <w:lvlText w:val=""/>
      <w:lvlJc w:val="left"/>
      <w:pPr>
        <w:ind w:left="512" w:hanging="284"/>
      </w:pPr>
      <w:rPr>
        <w:rFonts w:ascii="Symbol" w:eastAsia="Symbol" w:hAnsi="Symbol" w:cs="Symbol" w:hint="default"/>
        <w:sz w:val="24"/>
        <w:szCs w:val="24"/>
      </w:rPr>
    </w:lvl>
    <w:lvl w:ilvl="1" w:tplc="C6B4A02E">
      <w:numFmt w:val="bullet"/>
      <w:lvlText w:val="•"/>
      <w:lvlJc w:val="left"/>
      <w:pPr>
        <w:ind w:left="1374" w:hanging="284"/>
      </w:pPr>
      <w:rPr>
        <w:rFonts w:hint="default"/>
      </w:rPr>
    </w:lvl>
    <w:lvl w:ilvl="2" w:tplc="6B0C0DD0">
      <w:numFmt w:val="bullet"/>
      <w:lvlText w:val="•"/>
      <w:lvlJc w:val="left"/>
      <w:pPr>
        <w:ind w:left="2229" w:hanging="284"/>
      </w:pPr>
      <w:rPr>
        <w:rFonts w:hint="default"/>
      </w:rPr>
    </w:lvl>
    <w:lvl w:ilvl="3" w:tplc="3CCE1074">
      <w:numFmt w:val="bullet"/>
      <w:lvlText w:val="•"/>
      <w:lvlJc w:val="left"/>
      <w:pPr>
        <w:ind w:left="3083" w:hanging="284"/>
      </w:pPr>
      <w:rPr>
        <w:rFonts w:hint="default"/>
      </w:rPr>
    </w:lvl>
    <w:lvl w:ilvl="4" w:tplc="A71AFBE0">
      <w:numFmt w:val="bullet"/>
      <w:lvlText w:val="•"/>
      <w:lvlJc w:val="left"/>
      <w:pPr>
        <w:ind w:left="3938" w:hanging="284"/>
      </w:pPr>
      <w:rPr>
        <w:rFonts w:hint="default"/>
      </w:rPr>
    </w:lvl>
    <w:lvl w:ilvl="5" w:tplc="7758DFF6">
      <w:numFmt w:val="bullet"/>
      <w:lvlText w:val="•"/>
      <w:lvlJc w:val="left"/>
      <w:pPr>
        <w:ind w:left="4793" w:hanging="284"/>
      </w:pPr>
      <w:rPr>
        <w:rFonts w:hint="default"/>
      </w:rPr>
    </w:lvl>
    <w:lvl w:ilvl="6" w:tplc="78B05F38">
      <w:numFmt w:val="bullet"/>
      <w:lvlText w:val="•"/>
      <w:lvlJc w:val="left"/>
      <w:pPr>
        <w:ind w:left="5647" w:hanging="284"/>
      </w:pPr>
      <w:rPr>
        <w:rFonts w:hint="default"/>
      </w:rPr>
    </w:lvl>
    <w:lvl w:ilvl="7" w:tplc="3D961314">
      <w:numFmt w:val="bullet"/>
      <w:lvlText w:val="•"/>
      <w:lvlJc w:val="left"/>
      <w:pPr>
        <w:ind w:left="6502" w:hanging="284"/>
      </w:pPr>
      <w:rPr>
        <w:rFonts w:hint="default"/>
      </w:rPr>
    </w:lvl>
    <w:lvl w:ilvl="8" w:tplc="2BB42646">
      <w:numFmt w:val="bullet"/>
      <w:lvlText w:val="•"/>
      <w:lvlJc w:val="left"/>
      <w:pPr>
        <w:ind w:left="7357" w:hanging="284"/>
      </w:pPr>
      <w:rPr>
        <w:rFonts w:hint="default"/>
      </w:rPr>
    </w:lvl>
  </w:abstractNum>
  <w:abstractNum w:abstractNumId="4" w15:restartNumberingAfterBreak="0">
    <w:nsid w:val="562E60B3"/>
    <w:multiLevelType w:val="hybridMultilevel"/>
    <w:tmpl w:val="E9F053A0"/>
    <w:lvl w:ilvl="0" w:tplc="9FA4D9E0">
      <w:numFmt w:val="bullet"/>
      <w:lvlText w:val=""/>
      <w:lvlJc w:val="left"/>
      <w:pPr>
        <w:ind w:left="994" w:hanging="284"/>
      </w:pPr>
      <w:rPr>
        <w:rFonts w:ascii="Symbol" w:eastAsia="Symbol" w:hAnsi="Symbol" w:cs="Symbol" w:hint="default"/>
        <w:sz w:val="24"/>
        <w:szCs w:val="24"/>
      </w:rPr>
    </w:lvl>
    <w:lvl w:ilvl="1" w:tplc="1930BF7C">
      <w:numFmt w:val="bullet"/>
      <w:lvlText w:val="•"/>
      <w:lvlJc w:val="left"/>
      <w:pPr>
        <w:ind w:left="1806" w:hanging="284"/>
      </w:pPr>
      <w:rPr>
        <w:rFonts w:hint="default"/>
      </w:rPr>
    </w:lvl>
    <w:lvl w:ilvl="2" w:tplc="6B0E4FDA">
      <w:numFmt w:val="bullet"/>
      <w:lvlText w:val="•"/>
      <w:lvlJc w:val="left"/>
      <w:pPr>
        <w:ind w:left="2613" w:hanging="284"/>
      </w:pPr>
      <w:rPr>
        <w:rFonts w:hint="default"/>
      </w:rPr>
    </w:lvl>
    <w:lvl w:ilvl="3" w:tplc="D71C0D0E">
      <w:numFmt w:val="bullet"/>
      <w:lvlText w:val="•"/>
      <w:lvlJc w:val="left"/>
      <w:pPr>
        <w:ind w:left="3419" w:hanging="284"/>
      </w:pPr>
      <w:rPr>
        <w:rFonts w:hint="default"/>
      </w:rPr>
    </w:lvl>
    <w:lvl w:ilvl="4" w:tplc="28E6805C">
      <w:numFmt w:val="bullet"/>
      <w:lvlText w:val="•"/>
      <w:lvlJc w:val="left"/>
      <w:pPr>
        <w:ind w:left="4226" w:hanging="284"/>
      </w:pPr>
      <w:rPr>
        <w:rFonts w:hint="default"/>
      </w:rPr>
    </w:lvl>
    <w:lvl w:ilvl="5" w:tplc="EDFC621A">
      <w:numFmt w:val="bullet"/>
      <w:lvlText w:val="•"/>
      <w:lvlJc w:val="left"/>
      <w:pPr>
        <w:ind w:left="5033" w:hanging="284"/>
      </w:pPr>
      <w:rPr>
        <w:rFonts w:hint="default"/>
      </w:rPr>
    </w:lvl>
    <w:lvl w:ilvl="6" w:tplc="008E8B64">
      <w:numFmt w:val="bullet"/>
      <w:lvlText w:val="•"/>
      <w:lvlJc w:val="left"/>
      <w:pPr>
        <w:ind w:left="5839" w:hanging="284"/>
      </w:pPr>
      <w:rPr>
        <w:rFonts w:hint="default"/>
      </w:rPr>
    </w:lvl>
    <w:lvl w:ilvl="7" w:tplc="264EEB1E">
      <w:numFmt w:val="bullet"/>
      <w:lvlText w:val="•"/>
      <w:lvlJc w:val="left"/>
      <w:pPr>
        <w:ind w:left="6646" w:hanging="284"/>
      </w:pPr>
      <w:rPr>
        <w:rFonts w:hint="default"/>
      </w:rPr>
    </w:lvl>
    <w:lvl w:ilvl="8" w:tplc="9E024070">
      <w:numFmt w:val="bullet"/>
      <w:lvlText w:val="•"/>
      <w:lvlJc w:val="left"/>
      <w:pPr>
        <w:ind w:left="7453" w:hanging="284"/>
      </w:pPr>
      <w:rPr>
        <w:rFonts w:hint="default"/>
      </w:rPr>
    </w:lvl>
  </w:abstractNum>
  <w:abstractNum w:abstractNumId="5" w15:restartNumberingAfterBreak="0">
    <w:nsid w:val="62AF209F"/>
    <w:multiLevelType w:val="hybridMultilevel"/>
    <w:tmpl w:val="511C0A40"/>
    <w:lvl w:ilvl="0" w:tplc="BB10D2AC">
      <w:start w:val="1"/>
      <w:numFmt w:val="decimal"/>
      <w:lvlText w:val="%1."/>
      <w:lvlJc w:val="left"/>
      <w:pPr>
        <w:ind w:left="466" w:hanging="35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93861A80">
      <w:start w:val="1"/>
      <w:numFmt w:val="decimal"/>
      <w:lvlText w:val="(%2)"/>
      <w:lvlJc w:val="left"/>
      <w:pPr>
        <w:ind w:left="961" w:hanging="425"/>
        <w:jc w:val="left"/>
      </w:pPr>
      <w:rPr>
        <w:rFonts w:ascii="Times New Roman" w:eastAsia="Times New Roman" w:hAnsi="Times New Roman" w:cs="Times New Roman" w:hint="default"/>
        <w:sz w:val="24"/>
        <w:szCs w:val="24"/>
      </w:rPr>
    </w:lvl>
    <w:lvl w:ilvl="2" w:tplc="25A241DC">
      <w:numFmt w:val="bullet"/>
      <w:lvlText w:val="•"/>
      <w:lvlJc w:val="left"/>
      <w:pPr>
        <w:ind w:left="1836" w:hanging="425"/>
      </w:pPr>
      <w:rPr>
        <w:rFonts w:hint="default"/>
      </w:rPr>
    </w:lvl>
    <w:lvl w:ilvl="3" w:tplc="FF5048FE">
      <w:numFmt w:val="bullet"/>
      <w:lvlText w:val="•"/>
      <w:lvlJc w:val="left"/>
      <w:pPr>
        <w:ind w:left="2712" w:hanging="425"/>
      </w:pPr>
      <w:rPr>
        <w:rFonts w:hint="default"/>
      </w:rPr>
    </w:lvl>
    <w:lvl w:ilvl="4" w:tplc="AD204F82">
      <w:numFmt w:val="bullet"/>
      <w:lvlText w:val="•"/>
      <w:lvlJc w:val="left"/>
      <w:pPr>
        <w:ind w:left="3588" w:hanging="425"/>
      </w:pPr>
      <w:rPr>
        <w:rFonts w:hint="default"/>
      </w:rPr>
    </w:lvl>
    <w:lvl w:ilvl="5" w:tplc="C764E390">
      <w:numFmt w:val="bullet"/>
      <w:lvlText w:val="•"/>
      <w:lvlJc w:val="left"/>
      <w:pPr>
        <w:ind w:left="4465" w:hanging="425"/>
      </w:pPr>
      <w:rPr>
        <w:rFonts w:hint="default"/>
      </w:rPr>
    </w:lvl>
    <w:lvl w:ilvl="6" w:tplc="89E21FD8">
      <w:numFmt w:val="bullet"/>
      <w:lvlText w:val="•"/>
      <w:lvlJc w:val="left"/>
      <w:pPr>
        <w:ind w:left="5341" w:hanging="425"/>
      </w:pPr>
      <w:rPr>
        <w:rFonts w:hint="default"/>
      </w:rPr>
    </w:lvl>
    <w:lvl w:ilvl="7" w:tplc="0C9E638C">
      <w:numFmt w:val="bullet"/>
      <w:lvlText w:val="•"/>
      <w:lvlJc w:val="left"/>
      <w:pPr>
        <w:ind w:left="6217" w:hanging="425"/>
      </w:pPr>
      <w:rPr>
        <w:rFonts w:hint="default"/>
      </w:rPr>
    </w:lvl>
    <w:lvl w:ilvl="8" w:tplc="4816C89A">
      <w:numFmt w:val="bullet"/>
      <w:lvlText w:val="•"/>
      <w:lvlJc w:val="left"/>
      <w:pPr>
        <w:ind w:left="7093" w:hanging="425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10ED"/>
    <w:rsid w:val="00050BCE"/>
    <w:rsid w:val="00BA1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C448B77F-00EC-4991-8C67-9ABC4DEBE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61" w:hanging="28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hyperlink" Target="https://en.wikipedia.org/wiki/Truth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yperlink" Target="https://en.wikipedia.org/wiki/Integrity" TargetMode="Externa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yperlink" Target="http://www.oxforddictionaries.com/definition/english/honest%23honest__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ec.europa.eu/budget/pic/lib/docs/2015/CD02PrinciplesofPIC-PositionPaper.pd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2506</Words>
  <Characters>14290</Characters>
  <Application>Microsoft Office Word</Application>
  <DocSecurity>0</DocSecurity>
  <Lines>119</Lines>
  <Paragraphs>33</Paragraphs>
  <ScaleCrop>false</ScaleCrop>
  <Company/>
  <LinksUpToDate>false</LinksUpToDate>
  <CharactersWithSpaces>16763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Hublau;Mioara DIACONESCU</dc:creator>
  <cp:keywords>EL4</cp:keywords>
  <cp:lastModifiedBy>User</cp:lastModifiedBy>
  <cp:revision>2</cp:revision>
  <dcterms:created xsi:type="dcterms:W3CDTF">2018-10-09T10:41:00Z</dcterms:created>
  <dcterms:modified xsi:type="dcterms:W3CDTF">2018-10-22T14:39:00Z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2018-10-09T00:00:00Z</vt:filetime>
  </property>
</Properties>
</file>