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3E9E7" w14:textId="5B78AD4E" w:rsidR="00B84F4C" w:rsidRDefault="00B84F4C" w:rsidP="00362FC6">
      <w:pPr>
        <w:pStyle w:val="Title"/>
        <w:jc w:val="center"/>
      </w:pPr>
      <w:r w:rsidRPr="0006149B">
        <w:t xml:space="preserve">PEMPAL Guidance </w:t>
      </w:r>
      <w:r w:rsidR="007F40FD">
        <w:t xml:space="preserve">On </w:t>
      </w:r>
      <w:r w:rsidR="00932E78" w:rsidRPr="0006149B">
        <w:t xml:space="preserve">Internal </w:t>
      </w:r>
      <w:r w:rsidR="00932E78">
        <w:t>audit</w:t>
      </w:r>
      <w:r w:rsidR="00ED1910">
        <w:t>:</w:t>
      </w:r>
      <w:r w:rsidR="00932E78">
        <w:t xml:space="preserve"> </w:t>
      </w:r>
      <w:r w:rsidR="007F40FD">
        <w:t>demonstrat</w:t>
      </w:r>
      <w:r w:rsidR="00AB7767">
        <w:t>ing</w:t>
      </w:r>
      <w:r w:rsidR="007F40FD">
        <w:t xml:space="preserve"> and Measur</w:t>
      </w:r>
      <w:r w:rsidR="00AB7767">
        <w:t>ing</w:t>
      </w:r>
      <w:r w:rsidR="007F40FD">
        <w:t xml:space="preserve"> </w:t>
      </w:r>
      <w:r>
        <w:t xml:space="preserve">added value </w:t>
      </w:r>
    </w:p>
    <w:p w14:paraId="5359B123" w14:textId="77777777" w:rsidR="000B7FD9" w:rsidRPr="000B7FD9" w:rsidRDefault="000B7FD9" w:rsidP="000B7FD9"/>
    <w:p w14:paraId="02843A35" w14:textId="25B9C784" w:rsidR="00B84F4C" w:rsidRDefault="00B84F4C" w:rsidP="00B84F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673546" w14:paraId="0935D452" w14:textId="77777777" w:rsidTr="00673546">
        <w:tc>
          <w:tcPr>
            <w:tcW w:w="8630" w:type="dxa"/>
          </w:tcPr>
          <w:p w14:paraId="4F80547B" w14:textId="2655A576" w:rsidR="00673546" w:rsidRDefault="000B7FD9" w:rsidP="003F2BEA">
            <w:pPr>
              <w:tabs>
                <w:tab w:val="right" w:pos="8090"/>
              </w:tabs>
              <w:ind w:left="791"/>
            </w:pPr>
            <w:r>
              <w:rPr>
                <w:noProof/>
              </w:rPr>
              <w:drawing>
                <wp:inline distT="0" distB="0" distL="0" distR="0" wp14:anchorId="3371DA82" wp14:editId="48A19A18">
                  <wp:extent cx="3855308" cy="3473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lue-chart.png"/>
                          <pic:cNvPicPr/>
                        </pic:nvPicPr>
                        <pic:blipFill>
                          <a:blip r:embed="rId8"/>
                          <a:stretch>
                            <a:fillRect/>
                          </a:stretch>
                        </pic:blipFill>
                        <pic:spPr>
                          <a:xfrm>
                            <a:off x="0" y="0"/>
                            <a:ext cx="3897376" cy="3511149"/>
                          </a:xfrm>
                          <a:prstGeom prst="rect">
                            <a:avLst/>
                          </a:prstGeom>
                        </pic:spPr>
                      </pic:pic>
                    </a:graphicData>
                  </a:graphic>
                </wp:inline>
              </w:drawing>
            </w:r>
            <w:r w:rsidR="003F2BEA">
              <w:tab/>
            </w:r>
          </w:p>
        </w:tc>
      </w:tr>
    </w:tbl>
    <w:p w14:paraId="6327D8A3" w14:textId="77777777" w:rsidR="00B84F4C" w:rsidRPr="00B84F4C" w:rsidRDefault="00B84F4C" w:rsidP="00B84F4C"/>
    <w:p w14:paraId="02ACCCBF" w14:textId="77777777" w:rsidR="00B84F4C" w:rsidRDefault="00B84F4C">
      <w:pPr>
        <w:rPr>
          <w:caps/>
          <w:spacing w:val="15"/>
          <w:sz w:val="22"/>
          <w:szCs w:val="22"/>
        </w:rPr>
      </w:pPr>
    </w:p>
    <w:p w14:paraId="690250D2" w14:textId="77777777" w:rsidR="003407AB" w:rsidRDefault="00B84F4C" w:rsidP="003407AB">
      <w:pPr>
        <w:spacing w:after="0" w:line="240" w:lineRule="auto"/>
      </w:pPr>
      <w:r>
        <w:br w:type="page"/>
      </w:r>
    </w:p>
    <w:p w14:paraId="6BB8DE4A" w14:textId="77777777" w:rsidR="003407AB" w:rsidRDefault="003407AB" w:rsidP="003407AB">
      <w:pPr>
        <w:spacing w:after="0" w:line="240" w:lineRule="auto"/>
        <w:rPr>
          <w:rFonts w:ascii="Arial" w:hAnsi="Arial" w:cs="Arial"/>
          <w:color w:val="1F497D"/>
          <w:sz w:val="24"/>
          <w:szCs w:val="24"/>
        </w:rPr>
      </w:pPr>
    </w:p>
    <w:p w14:paraId="348C71AD" w14:textId="77777777" w:rsidR="003407AB" w:rsidRDefault="003407AB" w:rsidP="003407AB">
      <w:pPr>
        <w:spacing w:after="0" w:line="240" w:lineRule="auto"/>
        <w:rPr>
          <w:rFonts w:ascii="Arial" w:hAnsi="Arial" w:cs="Arial"/>
          <w:color w:val="1F497D"/>
          <w:sz w:val="24"/>
          <w:szCs w:val="24"/>
        </w:rPr>
      </w:pPr>
    </w:p>
    <w:p w14:paraId="795E8399" w14:textId="77777777" w:rsidR="003407AB" w:rsidRDefault="003407AB" w:rsidP="003407AB">
      <w:pPr>
        <w:spacing w:after="0" w:line="240" w:lineRule="auto"/>
        <w:rPr>
          <w:rFonts w:ascii="Arial" w:hAnsi="Arial" w:cs="Arial"/>
          <w:color w:val="1F497D"/>
          <w:sz w:val="24"/>
          <w:szCs w:val="24"/>
        </w:rPr>
      </w:pPr>
    </w:p>
    <w:p w14:paraId="1C013CCE" w14:textId="77777777" w:rsidR="003407AB" w:rsidRDefault="003407AB" w:rsidP="003407AB">
      <w:pPr>
        <w:spacing w:after="0" w:line="240" w:lineRule="auto"/>
        <w:rPr>
          <w:rFonts w:ascii="Arial" w:hAnsi="Arial" w:cs="Arial"/>
          <w:color w:val="1F497D"/>
          <w:sz w:val="24"/>
          <w:szCs w:val="24"/>
        </w:rPr>
      </w:pPr>
    </w:p>
    <w:p w14:paraId="1E5DF7E6" w14:textId="77777777" w:rsidR="003407AB" w:rsidRDefault="003407AB" w:rsidP="003407AB">
      <w:pPr>
        <w:spacing w:after="0" w:line="240" w:lineRule="auto"/>
        <w:rPr>
          <w:rFonts w:ascii="Arial" w:hAnsi="Arial" w:cs="Arial"/>
          <w:color w:val="1F497D"/>
          <w:sz w:val="24"/>
          <w:szCs w:val="24"/>
        </w:rPr>
      </w:pPr>
    </w:p>
    <w:p w14:paraId="7BE8503F" w14:textId="77777777" w:rsidR="003407AB" w:rsidRDefault="003407AB" w:rsidP="003407AB">
      <w:pPr>
        <w:spacing w:after="0" w:line="240" w:lineRule="auto"/>
        <w:rPr>
          <w:rFonts w:ascii="Arial" w:hAnsi="Arial" w:cs="Arial"/>
          <w:color w:val="1F497D"/>
          <w:sz w:val="24"/>
          <w:szCs w:val="24"/>
        </w:rPr>
      </w:pPr>
    </w:p>
    <w:p w14:paraId="43C49D7B" w14:textId="77777777" w:rsidR="003407AB" w:rsidRDefault="003407AB" w:rsidP="003407AB">
      <w:pPr>
        <w:spacing w:after="0" w:line="240" w:lineRule="auto"/>
        <w:rPr>
          <w:rFonts w:ascii="Arial" w:hAnsi="Arial" w:cs="Arial"/>
          <w:color w:val="1F497D"/>
          <w:sz w:val="24"/>
          <w:szCs w:val="24"/>
        </w:rPr>
      </w:pPr>
    </w:p>
    <w:p w14:paraId="1B64E89F" w14:textId="77777777" w:rsidR="003407AB" w:rsidRDefault="003407AB" w:rsidP="003407AB">
      <w:pPr>
        <w:spacing w:after="0" w:line="240" w:lineRule="auto"/>
        <w:rPr>
          <w:rFonts w:ascii="Arial" w:hAnsi="Arial" w:cs="Arial"/>
          <w:color w:val="1F497D"/>
          <w:sz w:val="24"/>
          <w:szCs w:val="24"/>
        </w:rPr>
      </w:pPr>
    </w:p>
    <w:p w14:paraId="7D51840B" w14:textId="77777777" w:rsidR="003407AB" w:rsidRDefault="003407AB" w:rsidP="003407AB">
      <w:pPr>
        <w:spacing w:after="0" w:line="240" w:lineRule="auto"/>
        <w:rPr>
          <w:rFonts w:ascii="Arial" w:hAnsi="Arial" w:cs="Arial"/>
          <w:color w:val="1F497D"/>
          <w:sz w:val="24"/>
          <w:szCs w:val="24"/>
        </w:rPr>
      </w:pPr>
    </w:p>
    <w:p w14:paraId="2B938772" w14:textId="77777777" w:rsidR="003407AB" w:rsidRDefault="003407AB" w:rsidP="003407AB">
      <w:pPr>
        <w:spacing w:after="0" w:line="240" w:lineRule="auto"/>
        <w:rPr>
          <w:rFonts w:ascii="Arial" w:hAnsi="Arial" w:cs="Arial"/>
          <w:color w:val="1F497D"/>
          <w:sz w:val="24"/>
          <w:szCs w:val="24"/>
        </w:rPr>
      </w:pPr>
    </w:p>
    <w:p w14:paraId="3EA31BCC" w14:textId="77777777" w:rsidR="003407AB" w:rsidRDefault="003407AB" w:rsidP="003407AB">
      <w:pPr>
        <w:spacing w:after="0" w:line="240" w:lineRule="auto"/>
        <w:rPr>
          <w:rFonts w:ascii="Arial" w:hAnsi="Arial" w:cs="Arial"/>
          <w:color w:val="1F497D"/>
          <w:sz w:val="24"/>
          <w:szCs w:val="24"/>
        </w:rPr>
      </w:pPr>
    </w:p>
    <w:p w14:paraId="29E6AD4E" w14:textId="77777777" w:rsidR="003407AB" w:rsidRDefault="003407AB" w:rsidP="003407AB">
      <w:pPr>
        <w:spacing w:after="0" w:line="240" w:lineRule="auto"/>
        <w:rPr>
          <w:rFonts w:ascii="Arial" w:hAnsi="Arial" w:cs="Arial"/>
          <w:color w:val="1F497D"/>
          <w:sz w:val="24"/>
          <w:szCs w:val="24"/>
        </w:rPr>
      </w:pPr>
    </w:p>
    <w:p w14:paraId="5B28CB5C" w14:textId="77777777" w:rsidR="003407AB" w:rsidRDefault="003407AB" w:rsidP="003407AB">
      <w:pPr>
        <w:spacing w:after="0" w:line="240" w:lineRule="auto"/>
        <w:rPr>
          <w:rFonts w:ascii="Arial" w:hAnsi="Arial" w:cs="Arial"/>
          <w:color w:val="1F497D"/>
          <w:sz w:val="24"/>
          <w:szCs w:val="24"/>
        </w:rPr>
      </w:pPr>
    </w:p>
    <w:p w14:paraId="0EDC4A81" w14:textId="77777777" w:rsidR="003407AB" w:rsidRDefault="003407AB" w:rsidP="003407AB">
      <w:pPr>
        <w:spacing w:after="0" w:line="240" w:lineRule="auto"/>
        <w:rPr>
          <w:rFonts w:ascii="Arial" w:hAnsi="Arial" w:cs="Arial"/>
          <w:color w:val="1F497D"/>
          <w:sz w:val="24"/>
          <w:szCs w:val="24"/>
        </w:rPr>
      </w:pPr>
    </w:p>
    <w:p w14:paraId="3CFA60F5" w14:textId="77777777" w:rsidR="003407AB" w:rsidRDefault="003407AB" w:rsidP="003407AB">
      <w:pPr>
        <w:spacing w:after="0" w:line="240" w:lineRule="auto"/>
        <w:rPr>
          <w:rFonts w:ascii="Arial" w:hAnsi="Arial" w:cs="Arial"/>
          <w:color w:val="1F497D"/>
          <w:sz w:val="24"/>
          <w:szCs w:val="24"/>
        </w:rPr>
      </w:pPr>
    </w:p>
    <w:p w14:paraId="2DED63B5" w14:textId="77777777" w:rsidR="003407AB" w:rsidRDefault="003407AB" w:rsidP="003407AB">
      <w:pPr>
        <w:spacing w:after="0" w:line="240" w:lineRule="auto"/>
        <w:rPr>
          <w:rFonts w:ascii="Arial" w:hAnsi="Arial" w:cs="Arial"/>
          <w:color w:val="1F497D"/>
          <w:sz w:val="24"/>
          <w:szCs w:val="24"/>
        </w:rPr>
      </w:pPr>
    </w:p>
    <w:p w14:paraId="1366E7EF" w14:textId="77777777" w:rsidR="003407AB" w:rsidRDefault="003407AB" w:rsidP="003407AB">
      <w:pPr>
        <w:spacing w:after="0" w:line="240" w:lineRule="auto"/>
        <w:rPr>
          <w:rFonts w:ascii="Arial" w:hAnsi="Arial" w:cs="Arial"/>
          <w:color w:val="1F497D"/>
          <w:sz w:val="24"/>
          <w:szCs w:val="24"/>
        </w:rPr>
      </w:pPr>
    </w:p>
    <w:p w14:paraId="3B537DE8" w14:textId="77777777" w:rsidR="003407AB" w:rsidRDefault="003407AB" w:rsidP="003407AB">
      <w:pPr>
        <w:spacing w:after="0" w:line="240" w:lineRule="auto"/>
        <w:rPr>
          <w:rFonts w:ascii="Arial" w:hAnsi="Arial" w:cs="Arial"/>
          <w:color w:val="1F497D"/>
          <w:sz w:val="24"/>
          <w:szCs w:val="24"/>
        </w:rPr>
      </w:pPr>
    </w:p>
    <w:p w14:paraId="05B9982E" w14:textId="77777777" w:rsidR="003407AB" w:rsidRDefault="003407AB" w:rsidP="003407AB">
      <w:pPr>
        <w:spacing w:after="0" w:line="240" w:lineRule="auto"/>
        <w:rPr>
          <w:rFonts w:ascii="Arial" w:hAnsi="Arial" w:cs="Arial"/>
          <w:color w:val="1F497D"/>
          <w:sz w:val="24"/>
          <w:szCs w:val="24"/>
        </w:rPr>
      </w:pPr>
    </w:p>
    <w:p w14:paraId="485EB454" w14:textId="77777777" w:rsidR="003407AB" w:rsidRDefault="003407AB" w:rsidP="003407AB">
      <w:pPr>
        <w:spacing w:after="0" w:line="240" w:lineRule="auto"/>
        <w:rPr>
          <w:rFonts w:ascii="Arial" w:hAnsi="Arial" w:cs="Arial"/>
          <w:color w:val="1F497D"/>
          <w:sz w:val="24"/>
          <w:szCs w:val="24"/>
        </w:rPr>
      </w:pPr>
    </w:p>
    <w:p w14:paraId="45A45CCC" w14:textId="77777777" w:rsidR="003407AB" w:rsidRDefault="003407AB" w:rsidP="003407AB">
      <w:pPr>
        <w:spacing w:after="0" w:line="240" w:lineRule="auto"/>
        <w:rPr>
          <w:rFonts w:ascii="Arial" w:hAnsi="Arial" w:cs="Arial"/>
          <w:color w:val="1F497D"/>
          <w:sz w:val="24"/>
          <w:szCs w:val="24"/>
        </w:rPr>
      </w:pPr>
    </w:p>
    <w:p w14:paraId="149AE4EB" w14:textId="77777777" w:rsidR="003407AB" w:rsidRDefault="003407AB" w:rsidP="003407AB">
      <w:pPr>
        <w:spacing w:after="0" w:line="240" w:lineRule="auto"/>
        <w:rPr>
          <w:rFonts w:ascii="Arial" w:hAnsi="Arial" w:cs="Arial"/>
          <w:color w:val="1F497D"/>
          <w:sz w:val="24"/>
          <w:szCs w:val="24"/>
        </w:rPr>
      </w:pPr>
    </w:p>
    <w:p w14:paraId="3FA67573" w14:textId="77777777" w:rsidR="003407AB" w:rsidRDefault="003407AB" w:rsidP="003407AB">
      <w:pPr>
        <w:spacing w:after="0" w:line="240" w:lineRule="auto"/>
        <w:rPr>
          <w:rFonts w:ascii="Arial" w:hAnsi="Arial" w:cs="Arial"/>
          <w:color w:val="1F497D"/>
          <w:sz w:val="24"/>
          <w:szCs w:val="24"/>
        </w:rPr>
      </w:pPr>
    </w:p>
    <w:p w14:paraId="7EC26D9A" w14:textId="12A81B14" w:rsidR="003407AB" w:rsidRPr="00813904" w:rsidRDefault="003407AB" w:rsidP="003407AB">
      <w:pPr>
        <w:spacing w:after="0" w:line="240" w:lineRule="auto"/>
        <w:rPr>
          <w:rFonts w:ascii="Arial" w:hAnsi="Arial" w:cs="Arial"/>
          <w:color w:val="1F497D"/>
          <w:sz w:val="24"/>
          <w:szCs w:val="24"/>
        </w:rPr>
      </w:pPr>
      <w:r w:rsidRPr="00813904">
        <w:rPr>
          <w:rFonts w:ascii="Arial" w:hAnsi="Arial" w:cs="Arial"/>
          <w:color w:val="1F497D"/>
          <w:sz w:val="24"/>
          <w:szCs w:val="24"/>
        </w:rPr>
        <w:t>Copyright © 201</w:t>
      </w:r>
      <w:r>
        <w:rPr>
          <w:rFonts w:ascii="Arial" w:hAnsi="Arial" w:cs="Arial"/>
          <w:color w:val="1F497D"/>
          <w:sz w:val="24"/>
          <w:szCs w:val="24"/>
        </w:rPr>
        <w:t>9</w:t>
      </w:r>
      <w:r w:rsidRPr="00813904">
        <w:rPr>
          <w:rFonts w:ascii="Arial" w:hAnsi="Arial" w:cs="Arial"/>
          <w:color w:val="1F497D"/>
          <w:sz w:val="24"/>
          <w:szCs w:val="24"/>
        </w:rPr>
        <w:t xml:space="preserve"> PEMPAL</w:t>
      </w:r>
      <w:r>
        <w:rPr>
          <w:rFonts w:ascii="Arial" w:hAnsi="Arial" w:cs="Arial"/>
          <w:color w:val="1F497D"/>
          <w:sz w:val="24"/>
          <w:szCs w:val="24"/>
        </w:rPr>
        <w:t xml:space="preserve"> IACOP</w:t>
      </w:r>
    </w:p>
    <w:p w14:paraId="03F3ABCE" w14:textId="77777777" w:rsidR="003407AB" w:rsidRPr="00813904" w:rsidRDefault="003407AB" w:rsidP="003407AB">
      <w:pPr>
        <w:spacing w:after="0" w:line="240" w:lineRule="auto"/>
        <w:rPr>
          <w:rFonts w:ascii="Arial" w:hAnsi="Arial" w:cs="Arial"/>
          <w:color w:val="1F497D"/>
          <w:sz w:val="24"/>
          <w:szCs w:val="24"/>
        </w:rPr>
      </w:pPr>
    </w:p>
    <w:p w14:paraId="36129EE1" w14:textId="77777777" w:rsidR="003407AB" w:rsidRDefault="003407AB" w:rsidP="003407AB">
      <w:pPr>
        <w:spacing w:after="0" w:line="240" w:lineRule="auto"/>
        <w:rPr>
          <w:rFonts w:ascii="Arial" w:hAnsi="Arial" w:cs="Arial"/>
          <w:color w:val="1F497D"/>
          <w:sz w:val="24"/>
          <w:szCs w:val="24"/>
        </w:rPr>
      </w:pPr>
      <w:r w:rsidRPr="00813904">
        <w:rPr>
          <w:rFonts w:ascii="Arial" w:hAnsi="Arial" w:cs="Arial"/>
          <w:color w:val="1F497D"/>
          <w:sz w:val="24"/>
          <w:szCs w:val="24"/>
        </w:rPr>
        <w:t>All rights reserved. No part of this publication may be reproduced, transmitted, or distributed in any form without prior written permission from PEMPAL</w:t>
      </w:r>
      <w:r>
        <w:rPr>
          <w:rFonts w:ascii="Arial" w:hAnsi="Arial" w:cs="Arial"/>
          <w:color w:val="1F497D"/>
          <w:sz w:val="24"/>
          <w:szCs w:val="24"/>
        </w:rPr>
        <w:t xml:space="preserve"> IACOP</w:t>
      </w:r>
      <w:r w:rsidRPr="00813904">
        <w:rPr>
          <w:rFonts w:ascii="Arial" w:hAnsi="Arial" w:cs="Arial"/>
          <w:color w:val="1F497D"/>
          <w:sz w:val="24"/>
          <w:szCs w:val="24"/>
        </w:rPr>
        <w:t>, except for noncommercial uses permitted by copyright law. Any modification to the criteria used in this publication requires a citation to the effect that this Guide was used and that the criteria herein were modified.</w:t>
      </w:r>
      <w:r>
        <w:rPr>
          <w:rFonts w:ascii="Arial" w:hAnsi="Arial" w:cs="Arial"/>
          <w:color w:val="1F497D"/>
          <w:sz w:val="24"/>
          <w:szCs w:val="24"/>
        </w:rPr>
        <w:t xml:space="preserve"> Contact </w:t>
      </w:r>
      <w:r w:rsidRPr="00CB20FC">
        <w:rPr>
          <w:rFonts w:ascii="Arial" w:hAnsi="Arial" w:cs="Arial"/>
          <w:color w:val="1F497D"/>
          <w:sz w:val="24"/>
          <w:szCs w:val="24"/>
          <w:u w:val="single"/>
        </w:rPr>
        <w:t>iacop@pempal.org</w:t>
      </w:r>
      <w:r>
        <w:rPr>
          <w:rFonts w:ascii="Arial" w:hAnsi="Arial" w:cs="Arial"/>
          <w:color w:val="1F497D"/>
          <w:sz w:val="24"/>
          <w:szCs w:val="24"/>
          <w:u w:val="single"/>
        </w:rPr>
        <w:t>.</w:t>
      </w:r>
    </w:p>
    <w:p w14:paraId="0A0784A7" w14:textId="7A701394" w:rsidR="003407AB" w:rsidRDefault="003407AB">
      <w:pPr>
        <w:rPr>
          <w:caps/>
          <w:spacing w:val="15"/>
          <w:sz w:val="22"/>
          <w:szCs w:val="22"/>
        </w:rPr>
      </w:pPr>
      <w:r>
        <w:rPr>
          <w:caps/>
          <w:spacing w:val="15"/>
          <w:sz w:val="22"/>
          <w:szCs w:val="22"/>
        </w:rPr>
        <w:br w:type="page"/>
      </w:r>
    </w:p>
    <w:p w14:paraId="38AC2048" w14:textId="77777777" w:rsidR="00B84F4C" w:rsidRDefault="00B84F4C">
      <w:pPr>
        <w:rPr>
          <w:caps/>
          <w:spacing w:val="15"/>
          <w:sz w:val="22"/>
          <w:szCs w:val="22"/>
        </w:rPr>
      </w:pPr>
    </w:p>
    <w:p w14:paraId="12095FF0" w14:textId="0AAED337" w:rsidR="00A72951" w:rsidRPr="00A72951" w:rsidRDefault="00A72951" w:rsidP="0095296A">
      <w:pPr>
        <w:pStyle w:val="ESheadings"/>
      </w:pPr>
      <w:bookmarkStart w:id="0" w:name="_Toc2767511"/>
      <w:r w:rsidRPr="002172AA">
        <w:t>Preface</w:t>
      </w:r>
      <w:bookmarkEnd w:id="0"/>
    </w:p>
    <w:p w14:paraId="7D6ADE3E" w14:textId="6C69177F" w:rsidR="003407AB" w:rsidRPr="0059441C" w:rsidRDefault="003407AB" w:rsidP="003407AB">
      <w:pPr>
        <w:spacing w:before="100" w:beforeAutospacing="1" w:after="100" w:afterAutospacing="1" w:line="240" w:lineRule="auto"/>
        <w:jc w:val="both"/>
        <w:rPr>
          <w:rFonts w:ascii="Arial" w:hAnsi="Arial"/>
          <w:sz w:val="24"/>
        </w:rPr>
      </w:pPr>
      <w:r w:rsidRPr="008C4C8C">
        <w:rPr>
          <w:rFonts w:ascii="Arial" w:hAnsi="Arial"/>
          <w:sz w:val="24"/>
        </w:rPr>
        <w:t>This guid</w:t>
      </w:r>
      <w:r>
        <w:rPr>
          <w:rFonts w:ascii="Arial" w:hAnsi="Arial"/>
          <w:sz w:val="24"/>
        </w:rPr>
        <w:t>ance</w:t>
      </w:r>
      <w:r w:rsidRPr="008C4C8C">
        <w:rPr>
          <w:rFonts w:ascii="Arial" w:hAnsi="Arial"/>
          <w:sz w:val="24"/>
        </w:rPr>
        <w:t xml:space="preserve"> is a product of knowledge sharing and collaboration among members of the Internal Audit Community of Practice (IACOP), of the Public Expenditure Management Peer-Assisted Learning (PEMPAL) network.</w:t>
      </w:r>
    </w:p>
    <w:p w14:paraId="08BB4D75" w14:textId="5A04107B" w:rsidR="00DD28E7" w:rsidRDefault="003407AB" w:rsidP="00B95C9D">
      <w:pPr>
        <w:spacing w:before="100" w:beforeAutospacing="1" w:after="100" w:afterAutospacing="1" w:line="240" w:lineRule="auto"/>
        <w:jc w:val="both"/>
        <w:rPr>
          <w:rFonts w:ascii="Arial" w:hAnsi="Arial"/>
          <w:sz w:val="24"/>
        </w:rPr>
      </w:pPr>
      <w:r w:rsidRPr="008C4C8C">
        <w:rPr>
          <w:rFonts w:ascii="Arial" w:hAnsi="Arial"/>
          <w:sz w:val="24"/>
        </w:rPr>
        <w:t>The PEMPAL network, launched in 2006 with the assistance of the World Bank, is a regional body that aims to support reforms in public expenditure and financial management in 21 countries in Central Asia and Central and Eastern Europe by promoting capacity building and exchange of information. The IACOP, one of the three Communities of Practice around which the network is organized, has representatives from 23 countries of the Europe and Central Asia region.</w:t>
      </w:r>
      <w:r w:rsidR="00B95C9D">
        <w:rPr>
          <w:rFonts w:ascii="Arial" w:hAnsi="Arial"/>
          <w:sz w:val="24"/>
        </w:rPr>
        <w:t xml:space="preserve"> </w:t>
      </w:r>
      <w:r w:rsidRPr="008C4C8C">
        <w:rPr>
          <w:rFonts w:ascii="Arial" w:hAnsi="Arial"/>
          <w:sz w:val="24"/>
        </w:rPr>
        <w:t xml:space="preserve">The goal of the IACOP is </w:t>
      </w:r>
      <w:r w:rsidRPr="0059441C">
        <w:rPr>
          <w:rFonts w:ascii="Arial" w:hAnsi="Arial"/>
          <w:sz w:val="24"/>
        </w:rPr>
        <w:t>“to</w:t>
      </w:r>
      <w:r w:rsidRPr="008C4C8C">
        <w:rPr>
          <w:rFonts w:ascii="Arial" w:hAnsi="Arial"/>
          <w:sz w:val="24"/>
        </w:rPr>
        <w:t xml:space="preserve"> contribute to improved </w:t>
      </w:r>
      <w:r w:rsidR="00C1659F" w:rsidRPr="008C4C8C">
        <w:rPr>
          <w:rFonts w:ascii="Arial" w:hAnsi="Arial"/>
          <w:sz w:val="24"/>
        </w:rPr>
        <w:t>public financial management</w:t>
      </w:r>
      <w:r w:rsidRPr="008C4C8C">
        <w:rPr>
          <w:rFonts w:ascii="Arial" w:hAnsi="Arial"/>
          <w:sz w:val="24"/>
        </w:rPr>
        <w:t xml:space="preserve"> systems by supporting its members to establish a modern and effective internal audit service in their governments that meets international and European Union standards and facilitates good governance in the public sector.”</w:t>
      </w:r>
      <w:r>
        <w:rPr>
          <w:rStyle w:val="FootnoteReference"/>
          <w:rFonts w:ascii="Arial" w:hAnsi="Arial"/>
          <w:sz w:val="24"/>
        </w:rPr>
        <w:footnoteReference w:id="1"/>
      </w:r>
      <w:r w:rsidRPr="008C4C8C">
        <w:rPr>
          <w:rFonts w:ascii="Arial" w:hAnsi="Arial"/>
          <w:sz w:val="24"/>
        </w:rPr>
        <w:t xml:space="preserve"> </w:t>
      </w:r>
    </w:p>
    <w:p w14:paraId="6BA73755" w14:textId="78F3CD77" w:rsidR="0045726C" w:rsidRDefault="003407AB" w:rsidP="000642FA">
      <w:pPr>
        <w:spacing w:before="100" w:beforeAutospacing="1" w:after="100" w:afterAutospacing="1" w:line="240" w:lineRule="auto"/>
        <w:jc w:val="both"/>
        <w:rPr>
          <w:rFonts w:ascii="Arial" w:hAnsi="Arial"/>
          <w:sz w:val="24"/>
        </w:rPr>
      </w:pPr>
      <w:r>
        <w:rPr>
          <w:rFonts w:ascii="Arial" w:hAnsi="Arial"/>
          <w:sz w:val="24"/>
        </w:rPr>
        <w:t xml:space="preserve">In </w:t>
      </w:r>
      <w:r w:rsidR="00DD28E7">
        <w:rPr>
          <w:rFonts w:ascii="Arial" w:hAnsi="Arial"/>
          <w:sz w:val="24"/>
        </w:rPr>
        <w:t>its</w:t>
      </w:r>
      <w:r w:rsidR="00DD28E7" w:rsidRPr="008C4C8C">
        <w:rPr>
          <w:rFonts w:ascii="Arial" w:hAnsi="Arial"/>
          <w:sz w:val="24"/>
        </w:rPr>
        <w:t xml:space="preserve"> </w:t>
      </w:r>
      <w:r w:rsidRPr="008C4C8C">
        <w:rPr>
          <w:rFonts w:ascii="Arial" w:hAnsi="Arial"/>
          <w:sz w:val="24"/>
        </w:rPr>
        <w:t>201</w:t>
      </w:r>
      <w:r>
        <w:rPr>
          <w:rFonts w:ascii="Arial" w:hAnsi="Arial"/>
          <w:sz w:val="24"/>
        </w:rPr>
        <w:t>8</w:t>
      </w:r>
      <w:r w:rsidRPr="008C4C8C">
        <w:rPr>
          <w:rFonts w:ascii="Arial" w:hAnsi="Arial"/>
          <w:sz w:val="24"/>
        </w:rPr>
        <w:t xml:space="preserve"> – 201</w:t>
      </w:r>
      <w:r>
        <w:rPr>
          <w:rFonts w:ascii="Arial" w:hAnsi="Arial"/>
          <w:sz w:val="24"/>
        </w:rPr>
        <w:t>9</w:t>
      </w:r>
      <w:r w:rsidRPr="008C4C8C">
        <w:rPr>
          <w:rFonts w:ascii="Arial" w:hAnsi="Arial"/>
          <w:sz w:val="24"/>
        </w:rPr>
        <w:t xml:space="preserve"> </w:t>
      </w:r>
      <w:r>
        <w:rPr>
          <w:rFonts w:ascii="Arial" w:hAnsi="Arial"/>
          <w:sz w:val="24"/>
        </w:rPr>
        <w:t>A</w:t>
      </w:r>
      <w:r w:rsidRPr="008C4C8C">
        <w:rPr>
          <w:rFonts w:ascii="Arial" w:hAnsi="Arial"/>
          <w:sz w:val="24"/>
        </w:rPr>
        <w:t xml:space="preserve">ction </w:t>
      </w:r>
      <w:r>
        <w:rPr>
          <w:rFonts w:ascii="Arial" w:hAnsi="Arial"/>
          <w:sz w:val="24"/>
        </w:rPr>
        <w:t>P</w:t>
      </w:r>
      <w:r w:rsidRPr="008C4C8C">
        <w:rPr>
          <w:rFonts w:ascii="Arial" w:hAnsi="Arial"/>
          <w:sz w:val="24"/>
        </w:rPr>
        <w:t>lan</w:t>
      </w:r>
      <w:r>
        <w:rPr>
          <w:rFonts w:ascii="Arial" w:hAnsi="Arial"/>
          <w:sz w:val="24"/>
        </w:rPr>
        <w:t>,</w:t>
      </w:r>
      <w:r w:rsidR="00DD28E7">
        <w:rPr>
          <w:rFonts w:ascii="Arial" w:hAnsi="Arial"/>
          <w:sz w:val="24"/>
        </w:rPr>
        <w:t xml:space="preserve"> the</w:t>
      </w:r>
      <w:r>
        <w:rPr>
          <w:rFonts w:ascii="Arial" w:hAnsi="Arial"/>
          <w:sz w:val="24"/>
        </w:rPr>
        <w:t xml:space="preserve"> IACOP</w:t>
      </w:r>
      <w:r w:rsidRPr="008C4C8C">
        <w:rPr>
          <w:rFonts w:ascii="Arial" w:hAnsi="Arial"/>
          <w:sz w:val="24"/>
        </w:rPr>
        <w:t xml:space="preserve"> identified </w:t>
      </w:r>
      <w:r>
        <w:rPr>
          <w:rFonts w:ascii="Arial" w:hAnsi="Arial"/>
          <w:sz w:val="24"/>
        </w:rPr>
        <w:t xml:space="preserve">demonstrating and measuring the value </w:t>
      </w:r>
      <w:r w:rsidRPr="008C4C8C">
        <w:rPr>
          <w:rFonts w:ascii="Arial" w:hAnsi="Arial"/>
          <w:sz w:val="24"/>
        </w:rPr>
        <w:t>of public sector internal audit as a priority area</w:t>
      </w:r>
      <w:r w:rsidR="000642FA">
        <w:rPr>
          <w:rFonts w:ascii="Arial" w:hAnsi="Arial"/>
          <w:sz w:val="24"/>
        </w:rPr>
        <w:t xml:space="preserve">, in response to </w:t>
      </w:r>
      <w:r w:rsidR="008E603B">
        <w:rPr>
          <w:rFonts w:ascii="Arial" w:hAnsi="Arial"/>
          <w:sz w:val="24"/>
        </w:rPr>
        <w:t>some PEMPAL country governments’ questioning of the value of internal audit and its role in the country</w:t>
      </w:r>
      <w:r w:rsidR="000642FA">
        <w:rPr>
          <w:rFonts w:ascii="Arial" w:hAnsi="Arial"/>
          <w:sz w:val="24"/>
        </w:rPr>
        <w:t>’s</w:t>
      </w:r>
      <w:r w:rsidR="008E603B">
        <w:rPr>
          <w:rFonts w:ascii="Arial" w:hAnsi="Arial"/>
          <w:sz w:val="24"/>
        </w:rPr>
        <w:t xml:space="preserve"> </w:t>
      </w:r>
      <w:r w:rsidR="008E603B" w:rsidRPr="008C4C8C">
        <w:rPr>
          <w:rFonts w:ascii="Arial" w:hAnsi="Arial"/>
          <w:sz w:val="24"/>
        </w:rPr>
        <w:t>public financial management</w:t>
      </w:r>
      <w:r w:rsidRPr="008C4C8C">
        <w:rPr>
          <w:rFonts w:ascii="Arial" w:hAnsi="Arial"/>
          <w:sz w:val="24"/>
        </w:rPr>
        <w:t>.</w:t>
      </w:r>
      <w:r w:rsidR="00BA2713">
        <w:rPr>
          <w:rFonts w:ascii="Arial" w:hAnsi="Arial"/>
          <w:sz w:val="24"/>
        </w:rPr>
        <w:t xml:space="preserve"> </w:t>
      </w:r>
      <w:r w:rsidR="00A81239">
        <w:rPr>
          <w:rFonts w:ascii="Arial" w:hAnsi="Arial"/>
          <w:sz w:val="24"/>
        </w:rPr>
        <w:t>The topic was discussed at IACOP meetings</w:t>
      </w:r>
      <w:r w:rsidR="00A81239" w:rsidRPr="008C4C8C">
        <w:rPr>
          <w:rFonts w:ascii="Arial" w:hAnsi="Arial"/>
          <w:sz w:val="24"/>
        </w:rPr>
        <w:t xml:space="preserve"> </w:t>
      </w:r>
      <w:r w:rsidR="00427A2C">
        <w:rPr>
          <w:rFonts w:ascii="Arial" w:hAnsi="Arial"/>
          <w:sz w:val="24"/>
        </w:rPr>
        <w:t xml:space="preserve">and </w:t>
      </w:r>
      <w:r w:rsidR="00A81239" w:rsidRPr="008C4C8C">
        <w:rPr>
          <w:rFonts w:ascii="Arial" w:hAnsi="Arial"/>
          <w:sz w:val="24"/>
        </w:rPr>
        <w:t>good practice</w:t>
      </w:r>
      <w:r w:rsidR="00A81239">
        <w:rPr>
          <w:rFonts w:ascii="Arial" w:hAnsi="Arial"/>
          <w:sz w:val="24"/>
        </w:rPr>
        <w:t xml:space="preserve">s </w:t>
      </w:r>
      <w:r w:rsidR="00461DC1">
        <w:rPr>
          <w:rFonts w:ascii="Arial" w:hAnsi="Arial"/>
          <w:sz w:val="24"/>
        </w:rPr>
        <w:t xml:space="preserve">were identified and developed </w:t>
      </w:r>
      <w:r w:rsidR="0097118B">
        <w:rPr>
          <w:rFonts w:ascii="Arial" w:hAnsi="Arial"/>
          <w:sz w:val="24"/>
        </w:rPr>
        <w:t xml:space="preserve">into </w:t>
      </w:r>
      <w:r w:rsidR="00A81239" w:rsidRPr="008C4C8C">
        <w:rPr>
          <w:rFonts w:ascii="Arial" w:hAnsi="Arial"/>
          <w:sz w:val="24"/>
        </w:rPr>
        <w:t>this guid</w:t>
      </w:r>
      <w:r w:rsidR="0097118B">
        <w:rPr>
          <w:rFonts w:ascii="Arial" w:hAnsi="Arial"/>
          <w:sz w:val="24"/>
        </w:rPr>
        <w:t>ance</w:t>
      </w:r>
      <w:r w:rsidR="00A81239" w:rsidRPr="008C4C8C">
        <w:rPr>
          <w:rFonts w:ascii="Arial" w:hAnsi="Arial"/>
          <w:sz w:val="24"/>
        </w:rPr>
        <w:t>.</w:t>
      </w:r>
      <w:r w:rsidR="0097118B">
        <w:rPr>
          <w:rFonts w:ascii="Arial" w:hAnsi="Arial"/>
          <w:sz w:val="24"/>
        </w:rPr>
        <w:t xml:space="preserve"> </w:t>
      </w:r>
    </w:p>
    <w:p w14:paraId="280055C7" w14:textId="3811D1DC" w:rsidR="003407AB" w:rsidRPr="0059441C" w:rsidRDefault="003407AB" w:rsidP="00DA1358">
      <w:pPr>
        <w:spacing w:before="100" w:beforeAutospacing="1" w:after="100" w:afterAutospacing="1" w:line="240" w:lineRule="auto"/>
        <w:jc w:val="both"/>
        <w:rPr>
          <w:rFonts w:ascii="Arial" w:hAnsi="Arial"/>
          <w:sz w:val="24"/>
        </w:rPr>
      </w:pPr>
      <w:r w:rsidRPr="008C4C8C">
        <w:rPr>
          <w:rFonts w:ascii="Arial" w:hAnsi="Arial"/>
          <w:sz w:val="24"/>
        </w:rPr>
        <w:t>This publication</w:t>
      </w:r>
      <w:r w:rsidR="003D34A0">
        <w:rPr>
          <w:rFonts w:ascii="Arial" w:hAnsi="Arial"/>
          <w:sz w:val="24"/>
        </w:rPr>
        <w:t xml:space="preserve"> is the latest in a </w:t>
      </w:r>
      <w:r w:rsidR="00F72879">
        <w:rPr>
          <w:rFonts w:ascii="Arial" w:hAnsi="Arial"/>
          <w:sz w:val="24"/>
        </w:rPr>
        <w:t xml:space="preserve">series of IACOP </w:t>
      </w:r>
      <w:r w:rsidR="007C7087" w:rsidRPr="007C7087">
        <w:rPr>
          <w:rFonts w:ascii="Arial" w:hAnsi="Arial"/>
          <w:sz w:val="24"/>
        </w:rPr>
        <w:t>Good Practice knowledge products</w:t>
      </w:r>
      <w:r w:rsidR="003D34A0">
        <w:rPr>
          <w:rFonts w:ascii="Arial" w:hAnsi="Arial"/>
          <w:sz w:val="24"/>
        </w:rPr>
        <w:t xml:space="preserve"> </w:t>
      </w:r>
      <w:r w:rsidR="007C7087" w:rsidRPr="007C7087">
        <w:rPr>
          <w:rFonts w:ascii="Arial" w:hAnsi="Arial"/>
          <w:sz w:val="24"/>
        </w:rPr>
        <w:t>developed by the community</w:t>
      </w:r>
      <w:r w:rsidR="00B153F3">
        <w:rPr>
          <w:rFonts w:ascii="Arial" w:hAnsi="Arial"/>
          <w:sz w:val="24"/>
        </w:rPr>
        <w:t>. These include</w:t>
      </w:r>
      <w:r w:rsidR="007C7087" w:rsidRPr="007C7087">
        <w:rPr>
          <w:rFonts w:ascii="Arial" w:hAnsi="Arial"/>
          <w:sz w:val="24"/>
        </w:rPr>
        <w:t xml:space="preserve"> </w:t>
      </w:r>
      <w:r w:rsidR="00B153F3">
        <w:rPr>
          <w:rFonts w:ascii="Arial" w:hAnsi="Arial"/>
          <w:sz w:val="24"/>
        </w:rPr>
        <w:t>“</w:t>
      </w:r>
      <w:r w:rsidR="007C7087" w:rsidRPr="007C7087">
        <w:rPr>
          <w:rFonts w:ascii="Arial" w:hAnsi="Arial"/>
          <w:sz w:val="24"/>
        </w:rPr>
        <w:t>Good Practice I</w:t>
      </w:r>
      <w:r w:rsidR="00B153F3">
        <w:rPr>
          <w:rFonts w:ascii="Arial" w:hAnsi="Arial"/>
          <w:sz w:val="24"/>
        </w:rPr>
        <w:t xml:space="preserve">nternal </w:t>
      </w:r>
      <w:r w:rsidR="007C7087" w:rsidRPr="007C7087">
        <w:rPr>
          <w:rFonts w:ascii="Arial" w:hAnsi="Arial"/>
          <w:sz w:val="24"/>
        </w:rPr>
        <w:t>A</w:t>
      </w:r>
      <w:r w:rsidR="00B153F3">
        <w:rPr>
          <w:rFonts w:ascii="Arial" w:hAnsi="Arial"/>
          <w:sz w:val="24"/>
        </w:rPr>
        <w:t>udit</w:t>
      </w:r>
      <w:r w:rsidR="007C7087" w:rsidRPr="007C7087">
        <w:rPr>
          <w:rFonts w:ascii="Arial" w:hAnsi="Arial"/>
          <w:sz w:val="24"/>
        </w:rPr>
        <w:t xml:space="preserve"> Manual Template</w:t>
      </w:r>
      <w:r w:rsidR="00B153F3">
        <w:rPr>
          <w:rFonts w:ascii="Arial" w:hAnsi="Arial"/>
          <w:sz w:val="24"/>
        </w:rPr>
        <w:t>”;</w:t>
      </w:r>
      <w:r w:rsidR="007C7087" w:rsidRPr="007C7087">
        <w:rPr>
          <w:rFonts w:ascii="Arial" w:hAnsi="Arial"/>
          <w:sz w:val="24"/>
        </w:rPr>
        <w:t xml:space="preserve"> </w:t>
      </w:r>
      <w:r w:rsidR="00B153F3">
        <w:rPr>
          <w:rFonts w:ascii="Arial" w:hAnsi="Arial"/>
          <w:sz w:val="24"/>
        </w:rPr>
        <w:t>“</w:t>
      </w:r>
      <w:r w:rsidR="007C7087" w:rsidRPr="007C7087">
        <w:rPr>
          <w:rFonts w:ascii="Arial" w:hAnsi="Arial"/>
          <w:sz w:val="24"/>
        </w:rPr>
        <w:t>Good Practice C</w:t>
      </w:r>
      <w:r w:rsidR="0068475C">
        <w:rPr>
          <w:rFonts w:ascii="Arial" w:hAnsi="Arial"/>
          <w:sz w:val="24"/>
        </w:rPr>
        <w:t xml:space="preserve">ontinuing </w:t>
      </w:r>
      <w:r w:rsidR="007C7087" w:rsidRPr="007C7087">
        <w:rPr>
          <w:rFonts w:ascii="Arial" w:hAnsi="Arial"/>
          <w:sz w:val="24"/>
        </w:rPr>
        <w:t>P</w:t>
      </w:r>
      <w:r w:rsidR="0068475C">
        <w:rPr>
          <w:rFonts w:ascii="Arial" w:hAnsi="Arial"/>
          <w:sz w:val="24"/>
        </w:rPr>
        <w:t xml:space="preserve">rofessional </w:t>
      </w:r>
      <w:r w:rsidR="007C7087" w:rsidRPr="007C7087">
        <w:rPr>
          <w:rFonts w:ascii="Arial" w:hAnsi="Arial"/>
          <w:sz w:val="24"/>
        </w:rPr>
        <w:t>D</w:t>
      </w:r>
      <w:r w:rsidR="0068475C">
        <w:rPr>
          <w:rFonts w:ascii="Arial" w:hAnsi="Arial"/>
          <w:sz w:val="24"/>
        </w:rPr>
        <w:t>evelopment</w:t>
      </w:r>
      <w:r w:rsidR="007C7087" w:rsidRPr="007C7087">
        <w:rPr>
          <w:rFonts w:ascii="Arial" w:hAnsi="Arial"/>
          <w:sz w:val="24"/>
        </w:rPr>
        <w:t xml:space="preserve"> Manual Template</w:t>
      </w:r>
      <w:r w:rsidR="0068475C">
        <w:rPr>
          <w:rFonts w:ascii="Arial" w:hAnsi="Arial"/>
          <w:sz w:val="24"/>
        </w:rPr>
        <w:t>”;</w:t>
      </w:r>
      <w:r w:rsidR="007C7087" w:rsidRPr="007C7087">
        <w:rPr>
          <w:rFonts w:ascii="Arial" w:hAnsi="Arial"/>
          <w:sz w:val="24"/>
        </w:rPr>
        <w:t xml:space="preserve"> </w:t>
      </w:r>
      <w:r w:rsidR="0068475C">
        <w:rPr>
          <w:rFonts w:ascii="Arial" w:hAnsi="Arial"/>
          <w:sz w:val="24"/>
        </w:rPr>
        <w:t>“</w:t>
      </w:r>
      <w:r w:rsidR="007C7087" w:rsidRPr="007C7087">
        <w:rPr>
          <w:rFonts w:ascii="Arial" w:hAnsi="Arial"/>
          <w:sz w:val="24"/>
        </w:rPr>
        <w:t>Internal Audit Body of Knowledge</w:t>
      </w:r>
      <w:r w:rsidR="0068475C">
        <w:rPr>
          <w:rFonts w:ascii="Arial" w:hAnsi="Arial"/>
          <w:sz w:val="24"/>
        </w:rPr>
        <w:t>”;</w:t>
      </w:r>
      <w:r w:rsidR="007C7087" w:rsidRPr="007C7087">
        <w:rPr>
          <w:rFonts w:ascii="Arial" w:hAnsi="Arial"/>
          <w:sz w:val="24"/>
        </w:rPr>
        <w:t xml:space="preserve"> </w:t>
      </w:r>
      <w:r w:rsidR="0068475C">
        <w:rPr>
          <w:rFonts w:ascii="Arial" w:hAnsi="Arial"/>
          <w:sz w:val="24"/>
        </w:rPr>
        <w:t>“</w:t>
      </w:r>
      <w:r w:rsidR="007C7087" w:rsidRPr="007C7087">
        <w:rPr>
          <w:rFonts w:ascii="Arial" w:hAnsi="Arial"/>
          <w:sz w:val="24"/>
        </w:rPr>
        <w:t>Risk Assessment in Audit Planning</w:t>
      </w:r>
      <w:r w:rsidR="00B975E3">
        <w:rPr>
          <w:rFonts w:ascii="Arial" w:hAnsi="Arial"/>
          <w:sz w:val="24"/>
        </w:rPr>
        <w:t>”; and</w:t>
      </w:r>
      <w:r w:rsidR="007C7087" w:rsidRPr="007C7087">
        <w:rPr>
          <w:rFonts w:ascii="Arial" w:hAnsi="Arial"/>
          <w:sz w:val="24"/>
        </w:rPr>
        <w:t xml:space="preserve"> </w:t>
      </w:r>
      <w:r w:rsidR="00B975E3">
        <w:rPr>
          <w:rFonts w:ascii="Arial" w:hAnsi="Arial"/>
          <w:sz w:val="24"/>
        </w:rPr>
        <w:t>“</w:t>
      </w:r>
      <w:r w:rsidR="007C7087" w:rsidRPr="007C7087">
        <w:rPr>
          <w:rFonts w:ascii="Arial" w:hAnsi="Arial"/>
          <w:sz w:val="24"/>
        </w:rPr>
        <w:t>Quality Assessment Guide</w:t>
      </w:r>
      <w:r w:rsidR="00B975E3">
        <w:rPr>
          <w:rFonts w:ascii="Arial" w:hAnsi="Arial"/>
          <w:sz w:val="24"/>
        </w:rPr>
        <w:t>”</w:t>
      </w:r>
      <w:r w:rsidR="009143E2">
        <w:rPr>
          <w:rFonts w:ascii="Arial" w:hAnsi="Arial"/>
          <w:sz w:val="24"/>
        </w:rPr>
        <w:t xml:space="preserve">, all available from </w:t>
      </w:r>
      <w:hyperlink r:id="rId9" w:history="1">
        <w:r w:rsidR="0080757B" w:rsidRPr="005765CE">
          <w:rPr>
            <w:rStyle w:val="Hyperlink"/>
            <w:rFonts w:ascii="Arial" w:hAnsi="Arial"/>
            <w:sz w:val="24"/>
          </w:rPr>
          <w:t>www.pempal.org</w:t>
        </w:r>
      </w:hyperlink>
      <w:r w:rsidR="0080757B">
        <w:rPr>
          <w:rFonts w:ascii="Arial" w:hAnsi="Arial"/>
          <w:sz w:val="24"/>
        </w:rPr>
        <w:t>. It reflects</w:t>
      </w:r>
      <w:r w:rsidR="007C7087" w:rsidRPr="007C7087">
        <w:rPr>
          <w:rFonts w:ascii="Arial" w:hAnsi="Arial"/>
          <w:sz w:val="24"/>
        </w:rPr>
        <w:t xml:space="preserve"> </w:t>
      </w:r>
      <w:r w:rsidRPr="008C4C8C">
        <w:rPr>
          <w:rFonts w:ascii="Arial" w:hAnsi="Arial"/>
          <w:sz w:val="24"/>
        </w:rPr>
        <w:t xml:space="preserve">an extensive collaborative process, which included participation </w:t>
      </w:r>
      <w:r>
        <w:rPr>
          <w:rFonts w:ascii="Arial" w:hAnsi="Arial"/>
          <w:sz w:val="24"/>
        </w:rPr>
        <w:t>of</w:t>
      </w:r>
      <w:r w:rsidRPr="008C4C8C">
        <w:rPr>
          <w:rFonts w:ascii="Arial" w:hAnsi="Arial"/>
          <w:sz w:val="24"/>
        </w:rPr>
        <w:t xml:space="preserve"> practitioners and policymakers</w:t>
      </w:r>
      <w:r>
        <w:rPr>
          <w:rFonts w:ascii="Arial" w:hAnsi="Arial"/>
          <w:sz w:val="24"/>
        </w:rPr>
        <w:t xml:space="preserve"> in </w:t>
      </w:r>
      <w:r w:rsidR="001F585B">
        <w:rPr>
          <w:rFonts w:ascii="Arial" w:hAnsi="Arial"/>
          <w:sz w:val="24"/>
        </w:rPr>
        <w:t xml:space="preserve">PEMPAL </w:t>
      </w:r>
      <w:r>
        <w:rPr>
          <w:rFonts w:ascii="Arial" w:hAnsi="Arial"/>
          <w:sz w:val="24"/>
        </w:rPr>
        <w:t>member countries</w:t>
      </w:r>
      <w:r w:rsidRPr="008C4C8C">
        <w:rPr>
          <w:rFonts w:ascii="Arial" w:hAnsi="Arial"/>
          <w:sz w:val="24"/>
        </w:rPr>
        <w:t xml:space="preserve">. The IACOP hopes that users will find it valuable </w:t>
      </w:r>
      <w:r>
        <w:rPr>
          <w:rFonts w:ascii="Arial" w:hAnsi="Arial"/>
          <w:sz w:val="24"/>
        </w:rPr>
        <w:t>for</w:t>
      </w:r>
      <w:r w:rsidRPr="008C4C8C">
        <w:rPr>
          <w:rFonts w:ascii="Arial" w:hAnsi="Arial"/>
          <w:sz w:val="24"/>
        </w:rPr>
        <w:t xml:space="preserve"> the </w:t>
      </w:r>
      <w:r w:rsidR="001F585B">
        <w:rPr>
          <w:rFonts w:ascii="Arial" w:hAnsi="Arial"/>
          <w:sz w:val="24"/>
        </w:rPr>
        <w:t xml:space="preserve">assessment of the added value of Internal Audit </w:t>
      </w:r>
      <w:r w:rsidRPr="008C4C8C">
        <w:rPr>
          <w:rFonts w:ascii="Arial" w:hAnsi="Arial"/>
          <w:sz w:val="24"/>
        </w:rPr>
        <w:t>in the public sector.</w:t>
      </w:r>
    </w:p>
    <w:p w14:paraId="2FE78232" w14:textId="1A784369" w:rsidR="003407AB" w:rsidRPr="0059441C" w:rsidRDefault="003407AB" w:rsidP="003407AB">
      <w:pPr>
        <w:jc w:val="right"/>
        <w:rPr>
          <w:rFonts w:ascii="Arial" w:hAnsi="Arial"/>
          <w:sz w:val="24"/>
        </w:rPr>
      </w:pPr>
      <w:r>
        <w:rPr>
          <w:rFonts w:ascii="Arial" w:hAnsi="Arial"/>
          <w:sz w:val="24"/>
        </w:rPr>
        <w:t>March 2019</w:t>
      </w:r>
    </w:p>
    <w:p w14:paraId="7E96E20C" w14:textId="77777777" w:rsidR="003407AB" w:rsidRDefault="003407AB" w:rsidP="00A72951">
      <w:pPr>
        <w:pStyle w:val="numberedparas"/>
        <w:numPr>
          <w:ilvl w:val="0"/>
          <w:numId w:val="0"/>
        </w:numPr>
        <w:ind w:left="567"/>
      </w:pPr>
    </w:p>
    <w:p w14:paraId="58EE81B3" w14:textId="125ED52D" w:rsidR="009911BA" w:rsidRPr="0059441C" w:rsidRDefault="009911BA" w:rsidP="00DA1358">
      <w:pPr>
        <w:pStyle w:val="Heading1"/>
        <w:numPr>
          <w:ilvl w:val="0"/>
          <w:numId w:val="0"/>
        </w:numPr>
      </w:pPr>
      <w:r>
        <w:br w:type="page"/>
      </w:r>
      <w:bookmarkStart w:id="1" w:name="_Toc293520337"/>
      <w:bookmarkStart w:id="2" w:name="_Toc295075578"/>
      <w:bookmarkStart w:id="3" w:name="_Toc2767512"/>
      <w:r w:rsidRPr="008C4C8C">
        <w:lastRenderedPageBreak/>
        <w:t>Acknowledgements</w:t>
      </w:r>
      <w:bookmarkEnd w:id="1"/>
      <w:bookmarkEnd w:id="2"/>
      <w:bookmarkEnd w:id="3"/>
    </w:p>
    <w:p w14:paraId="50F286B8" w14:textId="5AEC4B7B" w:rsidR="009911BA" w:rsidRPr="0059441C" w:rsidRDefault="009911BA" w:rsidP="009911BA">
      <w:pPr>
        <w:spacing w:before="100" w:beforeAutospacing="1" w:after="100" w:afterAutospacing="1" w:line="240" w:lineRule="auto"/>
        <w:jc w:val="both"/>
        <w:rPr>
          <w:rFonts w:ascii="Arial" w:hAnsi="Arial"/>
          <w:sz w:val="24"/>
        </w:rPr>
      </w:pPr>
      <w:r w:rsidRPr="008C4C8C">
        <w:rPr>
          <w:rFonts w:ascii="Arial" w:hAnsi="Arial"/>
          <w:sz w:val="24"/>
        </w:rPr>
        <w:t>This guid</w:t>
      </w:r>
      <w:r>
        <w:rPr>
          <w:rFonts w:ascii="Arial" w:hAnsi="Arial"/>
          <w:sz w:val="24"/>
        </w:rPr>
        <w:t>ance</w:t>
      </w:r>
      <w:r w:rsidRPr="008C4C8C">
        <w:rPr>
          <w:rFonts w:ascii="Arial" w:hAnsi="Arial"/>
          <w:sz w:val="24"/>
        </w:rPr>
        <w:t xml:space="preserve"> </w:t>
      </w:r>
      <w:r w:rsidR="00CA16E7">
        <w:rPr>
          <w:rFonts w:ascii="Arial" w:hAnsi="Arial"/>
          <w:sz w:val="24"/>
        </w:rPr>
        <w:t>was made possible by</w:t>
      </w:r>
      <w:r w:rsidRPr="008C4C8C">
        <w:rPr>
          <w:rFonts w:ascii="Arial" w:hAnsi="Arial"/>
          <w:sz w:val="24"/>
        </w:rPr>
        <w:t xml:space="preserve"> the </w:t>
      </w:r>
      <w:r w:rsidR="008039FF">
        <w:rPr>
          <w:rFonts w:ascii="Arial" w:hAnsi="Arial"/>
          <w:sz w:val="24"/>
        </w:rPr>
        <w:t>contributions of</w:t>
      </w:r>
      <w:r w:rsidRPr="008C4C8C">
        <w:rPr>
          <w:rFonts w:ascii="Arial" w:hAnsi="Arial"/>
          <w:sz w:val="24"/>
        </w:rPr>
        <w:t xml:space="preserve"> IACOP </w:t>
      </w:r>
      <w:r w:rsidR="008039FF">
        <w:rPr>
          <w:rFonts w:ascii="Arial" w:hAnsi="Arial"/>
          <w:sz w:val="24"/>
        </w:rPr>
        <w:t>members</w:t>
      </w:r>
      <w:r w:rsidRPr="008C4C8C">
        <w:rPr>
          <w:rFonts w:ascii="Arial" w:hAnsi="Arial"/>
          <w:sz w:val="24"/>
        </w:rPr>
        <w:t xml:space="preserve">.  </w:t>
      </w:r>
    </w:p>
    <w:p w14:paraId="032720C2" w14:textId="77777777" w:rsidR="009911BA" w:rsidRPr="0059441C" w:rsidRDefault="009911BA" w:rsidP="009911BA">
      <w:pPr>
        <w:spacing w:before="100" w:beforeAutospacing="1" w:after="100" w:afterAutospacing="1" w:line="240" w:lineRule="auto"/>
        <w:jc w:val="both"/>
        <w:rPr>
          <w:rFonts w:ascii="Arial" w:hAnsi="Arial"/>
          <w:sz w:val="24"/>
        </w:rPr>
      </w:pPr>
      <w:r w:rsidRPr="008C4C8C">
        <w:rPr>
          <w:rFonts w:ascii="Arial" w:hAnsi="Arial"/>
          <w:sz w:val="24"/>
        </w:rPr>
        <w:t>Specifically, the IACOP would like to recognize the following key contributors:</w:t>
      </w:r>
    </w:p>
    <w:p w14:paraId="710D6EFD" w14:textId="77777777" w:rsidR="00810CE0" w:rsidRPr="0059441C" w:rsidRDefault="00810CE0" w:rsidP="00810CE0">
      <w:pPr>
        <w:spacing w:before="100" w:beforeAutospacing="1" w:after="100" w:afterAutospacing="1" w:line="240" w:lineRule="auto"/>
        <w:ind w:left="708"/>
        <w:rPr>
          <w:rFonts w:ascii="Arial" w:hAnsi="Arial"/>
          <w:sz w:val="24"/>
        </w:rPr>
      </w:pPr>
      <w:r>
        <w:rPr>
          <w:rFonts w:ascii="Arial" w:hAnsi="Arial"/>
          <w:sz w:val="24"/>
        </w:rPr>
        <w:t>Richard Maggs</w:t>
      </w:r>
      <w:r w:rsidRPr="008C4C8C">
        <w:rPr>
          <w:rFonts w:ascii="Arial" w:hAnsi="Arial"/>
          <w:sz w:val="24"/>
        </w:rPr>
        <w:t>, World Bank</w:t>
      </w:r>
      <w:r>
        <w:rPr>
          <w:rFonts w:ascii="Arial" w:hAnsi="Arial"/>
          <w:sz w:val="24"/>
        </w:rPr>
        <w:t>,</w:t>
      </w:r>
      <w:r w:rsidRPr="008C4C8C">
        <w:rPr>
          <w:rFonts w:ascii="Arial" w:hAnsi="Arial"/>
          <w:sz w:val="24"/>
        </w:rPr>
        <w:t xml:space="preserve"> Consultant</w:t>
      </w:r>
    </w:p>
    <w:p w14:paraId="65A76527" w14:textId="77777777" w:rsidR="00810CE0" w:rsidRDefault="00810CE0" w:rsidP="00810CE0">
      <w:pPr>
        <w:spacing w:before="100" w:beforeAutospacing="1" w:after="100" w:afterAutospacing="1" w:line="240" w:lineRule="auto"/>
        <w:ind w:left="708"/>
        <w:rPr>
          <w:rFonts w:ascii="Arial" w:hAnsi="Arial"/>
          <w:sz w:val="24"/>
        </w:rPr>
      </w:pPr>
      <w:proofErr w:type="spellStart"/>
      <w:r>
        <w:rPr>
          <w:rFonts w:ascii="Arial" w:hAnsi="Arial"/>
          <w:sz w:val="24"/>
        </w:rPr>
        <w:t>Mioara</w:t>
      </w:r>
      <w:proofErr w:type="spellEnd"/>
      <w:r>
        <w:rPr>
          <w:rFonts w:ascii="Arial" w:hAnsi="Arial"/>
          <w:sz w:val="24"/>
        </w:rPr>
        <w:t xml:space="preserve"> </w:t>
      </w:r>
      <w:proofErr w:type="spellStart"/>
      <w:r w:rsidRPr="00D97AA5">
        <w:rPr>
          <w:rFonts w:ascii="Arial" w:hAnsi="Arial"/>
          <w:sz w:val="24"/>
        </w:rPr>
        <w:t>Diaconescu</w:t>
      </w:r>
      <w:proofErr w:type="spellEnd"/>
      <w:r>
        <w:rPr>
          <w:rFonts w:ascii="Arial" w:hAnsi="Arial"/>
          <w:sz w:val="24"/>
        </w:rPr>
        <w:t xml:space="preserve">, Romania, IACOP Executive Committee member Co-Leader of the Audit in Practice </w:t>
      </w:r>
      <w:r w:rsidRPr="008C4C8C">
        <w:rPr>
          <w:rFonts w:ascii="Arial" w:hAnsi="Arial"/>
          <w:sz w:val="24"/>
        </w:rPr>
        <w:t>Working Group</w:t>
      </w:r>
    </w:p>
    <w:p w14:paraId="20B41DC2" w14:textId="5E7551B2" w:rsidR="009911BA" w:rsidRDefault="009911BA" w:rsidP="009911BA">
      <w:pPr>
        <w:spacing w:before="100" w:beforeAutospacing="1" w:after="100" w:afterAutospacing="1" w:line="240" w:lineRule="auto"/>
        <w:ind w:left="708"/>
        <w:rPr>
          <w:rFonts w:ascii="Arial" w:hAnsi="Arial"/>
          <w:sz w:val="24"/>
        </w:rPr>
      </w:pPr>
      <w:proofErr w:type="spellStart"/>
      <w:r w:rsidRPr="008C4C8C">
        <w:rPr>
          <w:rFonts w:ascii="Arial" w:hAnsi="Arial"/>
          <w:sz w:val="24"/>
        </w:rPr>
        <w:t>Ljerka</w:t>
      </w:r>
      <w:proofErr w:type="spellEnd"/>
      <w:r w:rsidRPr="008C4C8C">
        <w:rPr>
          <w:rFonts w:ascii="Arial" w:hAnsi="Arial"/>
          <w:sz w:val="24"/>
        </w:rPr>
        <w:t xml:space="preserve"> </w:t>
      </w:r>
      <w:proofErr w:type="spellStart"/>
      <w:r w:rsidRPr="008C4C8C">
        <w:rPr>
          <w:rFonts w:ascii="Arial" w:hAnsi="Arial"/>
          <w:sz w:val="24"/>
        </w:rPr>
        <w:t>Crnković</w:t>
      </w:r>
      <w:proofErr w:type="spellEnd"/>
      <w:r w:rsidRPr="008C4C8C">
        <w:rPr>
          <w:rFonts w:ascii="Arial" w:hAnsi="Arial"/>
          <w:sz w:val="24"/>
        </w:rPr>
        <w:t xml:space="preserve">, Croatia, </w:t>
      </w:r>
      <w:bookmarkStart w:id="4" w:name="OLE_LINK1"/>
      <w:bookmarkStart w:id="5" w:name="OLE_LINK2"/>
      <w:r w:rsidR="003B5C9C">
        <w:rPr>
          <w:rFonts w:ascii="Arial" w:hAnsi="Arial"/>
          <w:sz w:val="24"/>
        </w:rPr>
        <w:t xml:space="preserve">IACOP Executive Committee member </w:t>
      </w:r>
      <w:bookmarkEnd w:id="4"/>
      <w:bookmarkEnd w:id="5"/>
      <w:r w:rsidRPr="008C4C8C">
        <w:rPr>
          <w:rFonts w:ascii="Arial" w:hAnsi="Arial"/>
          <w:sz w:val="24"/>
        </w:rPr>
        <w:t xml:space="preserve">and </w:t>
      </w:r>
      <w:r w:rsidR="00F72879">
        <w:rPr>
          <w:rFonts w:ascii="Arial" w:hAnsi="Arial"/>
          <w:sz w:val="24"/>
        </w:rPr>
        <w:t>Co-</w:t>
      </w:r>
      <w:r w:rsidRPr="008C4C8C">
        <w:rPr>
          <w:rFonts w:ascii="Arial" w:hAnsi="Arial"/>
          <w:sz w:val="24"/>
        </w:rPr>
        <w:t xml:space="preserve">Leader </w:t>
      </w:r>
      <w:r>
        <w:rPr>
          <w:rFonts w:ascii="Arial" w:hAnsi="Arial"/>
          <w:sz w:val="24"/>
        </w:rPr>
        <w:t xml:space="preserve">of </w:t>
      </w:r>
      <w:r w:rsidR="00F72879">
        <w:rPr>
          <w:rFonts w:ascii="Arial" w:hAnsi="Arial"/>
          <w:sz w:val="24"/>
        </w:rPr>
        <w:t xml:space="preserve">the Audit in Practice </w:t>
      </w:r>
      <w:r w:rsidR="00F72879" w:rsidRPr="008C4C8C">
        <w:rPr>
          <w:rFonts w:ascii="Arial" w:hAnsi="Arial"/>
          <w:sz w:val="24"/>
        </w:rPr>
        <w:t>Working Group</w:t>
      </w:r>
    </w:p>
    <w:p w14:paraId="61AD1420" w14:textId="77777777" w:rsidR="00810CE0" w:rsidRDefault="00810CE0" w:rsidP="00810CE0">
      <w:pPr>
        <w:spacing w:before="100" w:beforeAutospacing="1" w:after="100" w:afterAutospacing="1" w:line="240" w:lineRule="auto"/>
        <w:ind w:left="708"/>
        <w:rPr>
          <w:rFonts w:ascii="Arial" w:hAnsi="Arial"/>
          <w:sz w:val="24"/>
        </w:rPr>
      </w:pPr>
      <w:r>
        <w:rPr>
          <w:rFonts w:ascii="Arial" w:hAnsi="Arial"/>
          <w:sz w:val="24"/>
        </w:rPr>
        <w:t>Edit Nemeth, Hungary, IACOP Executive Committee Vice Chair, and Leader of the Internal Control Working Group</w:t>
      </w:r>
    </w:p>
    <w:p w14:paraId="75AB1502" w14:textId="77777777" w:rsidR="00810CE0" w:rsidRPr="0059441C" w:rsidRDefault="00810CE0" w:rsidP="00810CE0">
      <w:pPr>
        <w:spacing w:before="100" w:beforeAutospacing="1" w:after="100" w:afterAutospacing="1" w:line="240" w:lineRule="auto"/>
        <w:ind w:left="708"/>
        <w:rPr>
          <w:rFonts w:ascii="Arial" w:hAnsi="Arial"/>
          <w:sz w:val="24"/>
        </w:rPr>
      </w:pPr>
      <w:r w:rsidRPr="008C4C8C">
        <w:rPr>
          <w:rFonts w:ascii="Arial" w:hAnsi="Arial"/>
          <w:sz w:val="24"/>
        </w:rPr>
        <w:t xml:space="preserve">Arman </w:t>
      </w:r>
      <w:proofErr w:type="spellStart"/>
      <w:r w:rsidRPr="008C4C8C">
        <w:rPr>
          <w:rFonts w:ascii="Arial" w:hAnsi="Arial"/>
          <w:sz w:val="24"/>
        </w:rPr>
        <w:t>Vatyan</w:t>
      </w:r>
      <w:proofErr w:type="spellEnd"/>
      <w:r w:rsidRPr="008C4C8C">
        <w:rPr>
          <w:rFonts w:ascii="Arial" w:hAnsi="Arial"/>
          <w:sz w:val="24"/>
        </w:rPr>
        <w:t xml:space="preserve">, World Bank, Lead of </w:t>
      </w:r>
      <w:r>
        <w:rPr>
          <w:rFonts w:ascii="Arial" w:hAnsi="Arial"/>
          <w:sz w:val="24"/>
        </w:rPr>
        <w:t xml:space="preserve">the </w:t>
      </w:r>
      <w:r w:rsidRPr="008C4C8C">
        <w:rPr>
          <w:rFonts w:ascii="Arial" w:hAnsi="Arial"/>
          <w:sz w:val="24"/>
        </w:rPr>
        <w:t>IACOP</w:t>
      </w:r>
    </w:p>
    <w:p w14:paraId="1734A018" w14:textId="77777777" w:rsidR="009911BA" w:rsidRDefault="009911BA">
      <w:pPr>
        <w:rPr>
          <w:rFonts w:eastAsia="Cambria" w:cs="Times New Roman"/>
          <w:lang w:eastAsia="en-GB"/>
        </w:rPr>
      </w:pPr>
    </w:p>
    <w:p w14:paraId="58ACAE19" w14:textId="77777777" w:rsidR="00A72951" w:rsidRDefault="00A72951" w:rsidP="00A72951">
      <w:pPr>
        <w:pStyle w:val="numberedparas"/>
        <w:numPr>
          <w:ilvl w:val="0"/>
          <w:numId w:val="0"/>
        </w:numPr>
        <w:ind w:left="567"/>
      </w:pPr>
    </w:p>
    <w:p w14:paraId="16091D81" w14:textId="3618A5A5" w:rsidR="00A72951" w:rsidRDefault="00A72951" w:rsidP="0095296A">
      <w:pPr>
        <w:pStyle w:val="ESheadings"/>
      </w:pPr>
      <w:r>
        <w:br w:type="page"/>
      </w:r>
      <w:bookmarkStart w:id="6" w:name="_Toc2767513"/>
      <w:r w:rsidR="006211A9">
        <w:lastRenderedPageBreak/>
        <w:t>Glossary</w:t>
      </w:r>
      <w:bookmarkEnd w:id="6"/>
    </w:p>
    <w:tbl>
      <w:tblPr>
        <w:tblStyle w:val="TableGrid"/>
        <w:tblW w:w="0" w:type="auto"/>
        <w:tblLook w:val="04A0" w:firstRow="1" w:lastRow="0" w:firstColumn="1" w:lastColumn="0" w:noHBand="0" w:noVBand="1"/>
      </w:tblPr>
      <w:tblGrid>
        <w:gridCol w:w="1027"/>
        <w:gridCol w:w="7269"/>
      </w:tblGrid>
      <w:tr w:rsidR="00A72951" w14:paraId="1A7C1821" w14:textId="77777777" w:rsidTr="00D97AA5">
        <w:tc>
          <w:tcPr>
            <w:tcW w:w="1027" w:type="dxa"/>
          </w:tcPr>
          <w:p w14:paraId="4272685B" w14:textId="61DF0130" w:rsidR="00A72951" w:rsidRDefault="002172AA" w:rsidP="00A72951">
            <w:pPr>
              <w:pStyle w:val="Table"/>
            </w:pPr>
            <w:r>
              <w:t>CBOK</w:t>
            </w:r>
          </w:p>
        </w:tc>
        <w:tc>
          <w:tcPr>
            <w:tcW w:w="7269" w:type="dxa"/>
          </w:tcPr>
          <w:p w14:paraId="3A1A3550" w14:textId="772C617F" w:rsidR="00A72951" w:rsidRDefault="002172AA" w:rsidP="00A72951">
            <w:pPr>
              <w:pStyle w:val="Table"/>
            </w:pPr>
            <w:r>
              <w:t>Common Body of Knowledge</w:t>
            </w:r>
          </w:p>
        </w:tc>
      </w:tr>
      <w:tr w:rsidR="00D97AA5" w14:paraId="15D64529" w14:textId="77777777" w:rsidTr="007D3277">
        <w:tc>
          <w:tcPr>
            <w:tcW w:w="1027" w:type="dxa"/>
          </w:tcPr>
          <w:p w14:paraId="159DA418" w14:textId="77777777" w:rsidR="00D97AA5" w:rsidRDefault="00D97AA5" w:rsidP="007D3277">
            <w:pPr>
              <w:pStyle w:val="Table"/>
            </w:pPr>
            <w:r>
              <w:t>HIAs</w:t>
            </w:r>
          </w:p>
        </w:tc>
        <w:tc>
          <w:tcPr>
            <w:tcW w:w="7269" w:type="dxa"/>
          </w:tcPr>
          <w:p w14:paraId="5BACF8EB" w14:textId="3F47EA6D" w:rsidR="00D97AA5" w:rsidRPr="002172AA" w:rsidRDefault="00D97AA5" w:rsidP="007D3277">
            <w:pPr>
              <w:pStyle w:val="Table"/>
              <w:rPr>
                <w:i/>
              </w:rPr>
            </w:pPr>
            <w:r w:rsidRPr="00D97AA5">
              <w:t xml:space="preserve">Heads of </w:t>
            </w:r>
            <w:r w:rsidR="005F3374">
              <w:t>internal audit</w:t>
            </w:r>
            <w:r w:rsidRPr="00D97AA5">
              <w:t xml:space="preserve"> units </w:t>
            </w:r>
            <w:r>
              <w:t xml:space="preserve">(also known as </w:t>
            </w:r>
            <w:r w:rsidR="008E08D3">
              <w:t xml:space="preserve">chief audit executives </w:t>
            </w:r>
            <w:r>
              <w:t>in the private sector)</w:t>
            </w:r>
          </w:p>
        </w:tc>
      </w:tr>
      <w:tr w:rsidR="00A72951" w14:paraId="059E4E45" w14:textId="77777777" w:rsidTr="00D97AA5">
        <w:tc>
          <w:tcPr>
            <w:tcW w:w="1027" w:type="dxa"/>
          </w:tcPr>
          <w:p w14:paraId="59844965" w14:textId="114A0F7E" w:rsidR="00A72951" w:rsidRDefault="002172AA" w:rsidP="00A72951">
            <w:pPr>
              <w:pStyle w:val="Table"/>
            </w:pPr>
            <w:r>
              <w:t>IAC</w:t>
            </w:r>
            <w:r w:rsidR="00AB5549">
              <w:t>O</w:t>
            </w:r>
            <w:r>
              <w:t>P</w:t>
            </w:r>
          </w:p>
        </w:tc>
        <w:tc>
          <w:tcPr>
            <w:tcW w:w="7269" w:type="dxa"/>
          </w:tcPr>
          <w:p w14:paraId="43008294" w14:textId="7DA76B0B" w:rsidR="00A72951" w:rsidRDefault="002172AA" w:rsidP="00A72951">
            <w:pPr>
              <w:pStyle w:val="Table"/>
            </w:pPr>
            <w:r>
              <w:t>Internal Audit Community of Practice</w:t>
            </w:r>
            <w:r w:rsidR="00AB5549">
              <w:t xml:space="preserve"> of PEMPAL</w:t>
            </w:r>
          </w:p>
        </w:tc>
      </w:tr>
      <w:tr w:rsidR="00A72951" w14:paraId="4B5800DC" w14:textId="77777777" w:rsidTr="00D97AA5">
        <w:tc>
          <w:tcPr>
            <w:tcW w:w="1027" w:type="dxa"/>
          </w:tcPr>
          <w:p w14:paraId="30FAA595" w14:textId="177DF89F" w:rsidR="00A72951" w:rsidRDefault="002172AA" w:rsidP="00A72951">
            <w:pPr>
              <w:pStyle w:val="Table"/>
            </w:pPr>
            <w:r>
              <w:t>IIA</w:t>
            </w:r>
          </w:p>
        </w:tc>
        <w:tc>
          <w:tcPr>
            <w:tcW w:w="7269" w:type="dxa"/>
          </w:tcPr>
          <w:p w14:paraId="1AAF1F7F" w14:textId="3C687E93" w:rsidR="00A72951" w:rsidRDefault="00AB5549" w:rsidP="00A72951">
            <w:pPr>
              <w:pStyle w:val="Table"/>
            </w:pPr>
            <w:r>
              <w:t xml:space="preserve">The </w:t>
            </w:r>
            <w:r w:rsidR="002172AA">
              <w:t>Institute of Internal Auditors</w:t>
            </w:r>
          </w:p>
        </w:tc>
      </w:tr>
      <w:tr w:rsidR="00A72951" w14:paraId="5649FA36" w14:textId="77777777" w:rsidTr="00D97AA5">
        <w:tc>
          <w:tcPr>
            <w:tcW w:w="1027" w:type="dxa"/>
          </w:tcPr>
          <w:p w14:paraId="2B9594F2" w14:textId="7FFDFACC" w:rsidR="00A72951" w:rsidRDefault="002172AA" w:rsidP="00A72951">
            <w:pPr>
              <w:pStyle w:val="Table"/>
            </w:pPr>
            <w:r>
              <w:t>PEMPAL</w:t>
            </w:r>
          </w:p>
        </w:tc>
        <w:tc>
          <w:tcPr>
            <w:tcW w:w="7269" w:type="dxa"/>
          </w:tcPr>
          <w:p w14:paraId="247FCF8C" w14:textId="4BEF2DC3" w:rsidR="00A72951" w:rsidRDefault="002172AA" w:rsidP="00A72951">
            <w:pPr>
              <w:pStyle w:val="Table"/>
            </w:pPr>
            <w:r>
              <w:t xml:space="preserve">Public Expenditure Management Peer Assisted Learning </w:t>
            </w:r>
          </w:p>
        </w:tc>
      </w:tr>
      <w:tr w:rsidR="00A72951" w14:paraId="4A49D704" w14:textId="77777777" w:rsidTr="00D97AA5">
        <w:tc>
          <w:tcPr>
            <w:tcW w:w="1027" w:type="dxa"/>
          </w:tcPr>
          <w:p w14:paraId="4AA90E5C" w14:textId="1F2036EE" w:rsidR="00A72951" w:rsidRDefault="00A72951" w:rsidP="00A72951">
            <w:pPr>
              <w:pStyle w:val="Table"/>
            </w:pPr>
            <w:r>
              <w:t>SAI</w:t>
            </w:r>
          </w:p>
        </w:tc>
        <w:tc>
          <w:tcPr>
            <w:tcW w:w="7269" w:type="dxa"/>
          </w:tcPr>
          <w:p w14:paraId="5298C852" w14:textId="6C22F84E" w:rsidR="00A72951" w:rsidRDefault="00A72951" w:rsidP="00A72951">
            <w:pPr>
              <w:pStyle w:val="Table"/>
            </w:pPr>
            <w:r>
              <w:t>Supreme Audit Institution</w:t>
            </w:r>
          </w:p>
        </w:tc>
      </w:tr>
    </w:tbl>
    <w:p w14:paraId="12059377" w14:textId="77777777" w:rsidR="00A72951" w:rsidRPr="00A72951" w:rsidRDefault="00A72951" w:rsidP="00A72951">
      <w:pPr>
        <w:jc w:val="center"/>
        <w:rPr>
          <w:b/>
          <w:sz w:val="32"/>
          <w:szCs w:val="32"/>
        </w:rPr>
      </w:pPr>
    </w:p>
    <w:p w14:paraId="6BD4FF7E" w14:textId="1B2DF12E" w:rsidR="00A72951" w:rsidRDefault="00A72951">
      <w:pPr>
        <w:rPr>
          <w:rFonts w:eastAsia="Cambria" w:cs="Times New Roman"/>
          <w:lang w:eastAsia="en-GB"/>
        </w:rPr>
      </w:pPr>
      <w:r>
        <w:rPr>
          <w:rFonts w:eastAsia="Cambria" w:cs="Times New Roman"/>
          <w:lang w:eastAsia="en-GB"/>
        </w:rPr>
        <w:br w:type="page"/>
      </w:r>
    </w:p>
    <w:p w14:paraId="4C8A2423" w14:textId="10389101" w:rsidR="002172AA" w:rsidRPr="002172AA" w:rsidRDefault="002172AA" w:rsidP="0095296A">
      <w:pPr>
        <w:pStyle w:val="ESheadings"/>
        <w:rPr>
          <w:rFonts w:eastAsia="Cambria" w:cs="Times New Roman"/>
          <w:lang w:eastAsia="en-GB"/>
        </w:rPr>
      </w:pPr>
      <w:bookmarkStart w:id="7" w:name="_Toc2767514"/>
      <w:r w:rsidRPr="002172AA">
        <w:lastRenderedPageBreak/>
        <w:t>Contents</w:t>
      </w:r>
      <w:bookmarkEnd w:id="7"/>
    </w:p>
    <w:p w14:paraId="2833A062" w14:textId="352A64F0" w:rsidR="008C12F8" w:rsidRDefault="00A72951">
      <w:pPr>
        <w:pStyle w:val="TOC2"/>
        <w:tabs>
          <w:tab w:val="right" w:pos="8296"/>
        </w:tabs>
        <w:rPr>
          <w:b w:val="0"/>
          <w:bCs w:val="0"/>
          <w:noProof/>
          <w:sz w:val="24"/>
          <w:szCs w:val="24"/>
          <w:lang w:val="en-GB" w:eastAsia="en-US"/>
        </w:rPr>
      </w:pPr>
      <w:r>
        <w:rPr>
          <w:rFonts w:cstheme="majorHAnsi"/>
          <w:caps/>
        </w:rPr>
        <w:fldChar w:fldCharType="begin"/>
      </w:r>
      <w:r>
        <w:instrText xml:space="preserve"> TOC \o "1-3" \h \z \u </w:instrText>
      </w:r>
      <w:r>
        <w:rPr>
          <w:rFonts w:cstheme="majorHAnsi"/>
          <w:caps/>
        </w:rPr>
        <w:fldChar w:fldCharType="separate"/>
      </w:r>
      <w:hyperlink w:anchor="_Toc2767511" w:history="1">
        <w:r w:rsidR="008C12F8" w:rsidRPr="00FB6C6E">
          <w:rPr>
            <w:rStyle w:val="Hyperlink"/>
            <w:noProof/>
          </w:rPr>
          <w:t>Preface</w:t>
        </w:r>
        <w:r w:rsidR="008C12F8">
          <w:rPr>
            <w:noProof/>
            <w:webHidden/>
          </w:rPr>
          <w:tab/>
        </w:r>
        <w:r w:rsidR="008C12F8">
          <w:rPr>
            <w:noProof/>
            <w:webHidden/>
          </w:rPr>
          <w:fldChar w:fldCharType="begin"/>
        </w:r>
        <w:r w:rsidR="008C12F8">
          <w:rPr>
            <w:noProof/>
            <w:webHidden/>
          </w:rPr>
          <w:instrText xml:space="preserve"> PAGEREF _Toc2767511 \h </w:instrText>
        </w:r>
        <w:r w:rsidR="008C12F8">
          <w:rPr>
            <w:noProof/>
            <w:webHidden/>
          </w:rPr>
        </w:r>
        <w:r w:rsidR="008C12F8">
          <w:rPr>
            <w:noProof/>
            <w:webHidden/>
          </w:rPr>
          <w:fldChar w:fldCharType="separate"/>
        </w:r>
        <w:r w:rsidR="008C12F8">
          <w:rPr>
            <w:noProof/>
            <w:webHidden/>
          </w:rPr>
          <w:t>3</w:t>
        </w:r>
        <w:r w:rsidR="008C12F8">
          <w:rPr>
            <w:noProof/>
            <w:webHidden/>
          </w:rPr>
          <w:fldChar w:fldCharType="end"/>
        </w:r>
      </w:hyperlink>
    </w:p>
    <w:p w14:paraId="5F9C901D" w14:textId="610E413E" w:rsidR="008C12F8" w:rsidRDefault="008C12F8">
      <w:pPr>
        <w:pStyle w:val="TOC1"/>
        <w:tabs>
          <w:tab w:val="right" w:pos="8296"/>
        </w:tabs>
        <w:rPr>
          <w:rFonts w:cstheme="minorBidi"/>
          <w:b w:val="0"/>
          <w:bCs w:val="0"/>
          <w:caps w:val="0"/>
          <w:noProof/>
          <w:sz w:val="24"/>
          <w:szCs w:val="24"/>
          <w:lang w:val="en-GB" w:eastAsia="en-US"/>
        </w:rPr>
      </w:pPr>
      <w:hyperlink w:anchor="_Toc2767512" w:history="1">
        <w:r w:rsidRPr="00FB6C6E">
          <w:rPr>
            <w:rStyle w:val="Hyperlink"/>
            <w:noProof/>
          </w:rPr>
          <w:t>Acknowledgements</w:t>
        </w:r>
        <w:r>
          <w:rPr>
            <w:noProof/>
            <w:webHidden/>
          </w:rPr>
          <w:tab/>
        </w:r>
        <w:r>
          <w:rPr>
            <w:noProof/>
            <w:webHidden/>
          </w:rPr>
          <w:fldChar w:fldCharType="begin"/>
        </w:r>
        <w:r>
          <w:rPr>
            <w:noProof/>
            <w:webHidden/>
          </w:rPr>
          <w:instrText xml:space="preserve"> PAGEREF _Toc2767512 \h </w:instrText>
        </w:r>
        <w:r>
          <w:rPr>
            <w:noProof/>
            <w:webHidden/>
          </w:rPr>
        </w:r>
        <w:r>
          <w:rPr>
            <w:noProof/>
            <w:webHidden/>
          </w:rPr>
          <w:fldChar w:fldCharType="separate"/>
        </w:r>
        <w:r>
          <w:rPr>
            <w:noProof/>
            <w:webHidden/>
          </w:rPr>
          <w:t>4</w:t>
        </w:r>
        <w:r>
          <w:rPr>
            <w:noProof/>
            <w:webHidden/>
          </w:rPr>
          <w:fldChar w:fldCharType="end"/>
        </w:r>
      </w:hyperlink>
    </w:p>
    <w:p w14:paraId="14519170" w14:textId="6E2A67EC" w:rsidR="008C12F8" w:rsidRDefault="008C12F8">
      <w:pPr>
        <w:pStyle w:val="TOC2"/>
        <w:tabs>
          <w:tab w:val="right" w:pos="8296"/>
        </w:tabs>
        <w:rPr>
          <w:b w:val="0"/>
          <w:bCs w:val="0"/>
          <w:noProof/>
          <w:sz w:val="24"/>
          <w:szCs w:val="24"/>
          <w:lang w:val="en-GB" w:eastAsia="en-US"/>
        </w:rPr>
      </w:pPr>
      <w:hyperlink w:anchor="_Toc2767513" w:history="1">
        <w:r w:rsidRPr="00FB6C6E">
          <w:rPr>
            <w:rStyle w:val="Hyperlink"/>
            <w:noProof/>
          </w:rPr>
          <w:t>Glossary</w:t>
        </w:r>
        <w:r>
          <w:rPr>
            <w:noProof/>
            <w:webHidden/>
          </w:rPr>
          <w:tab/>
        </w:r>
        <w:r>
          <w:rPr>
            <w:noProof/>
            <w:webHidden/>
          </w:rPr>
          <w:fldChar w:fldCharType="begin"/>
        </w:r>
        <w:r>
          <w:rPr>
            <w:noProof/>
            <w:webHidden/>
          </w:rPr>
          <w:instrText xml:space="preserve"> PAGEREF _Toc2767513 \h </w:instrText>
        </w:r>
        <w:r>
          <w:rPr>
            <w:noProof/>
            <w:webHidden/>
          </w:rPr>
        </w:r>
        <w:r>
          <w:rPr>
            <w:noProof/>
            <w:webHidden/>
          </w:rPr>
          <w:fldChar w:fldCharType="separate"/>
        </w:r>
        <w:r>
          <w:rPr>
            <w:noProof/>
            <w:webHidden/>
          </w:rPr>
          <w:t>5</w:t>
        </w:r>
        <w:r>
          <w:rPr>
            <w:noProof/>
            <w:webHidden/>
          </w:rPr>
          <w:fldChar w:fldCharType="end"/>
        </w:r>
      </w:hyperlink>
    </w:p>
    <w:p w14:paraId="1845348E" w14:textId="2E08CD9C" w:rsidR="008C12F8" w:rsidRDefault="008C12F8">
      <w:pPr>
        <w:pStyle w:val="TOC2"/>
        <w:tabs>
          <w:tab w:val="right" w:pos="8296"/>
        </w:tabs>
        <w:rPr>
          <w:b w:val="0"/>
          <w:bCs w:val="0"/>
          <w:noProof/>
          <w:sz w:val="24"/>
          <w:szCs w:val="24"/>
          <w:lang w:val="en-GB" w:eastAsia="en-US"/>
        </w:rPr>
      </w:pPr>
      <w:hyperlink w:anchor="_Toc2767514" w:history="1">
        <w:r w:rsidRPr="00FB6C6E">
          <w:rPr>
            <w:rStyle w:val="Hyperlink"/>
            <w:noProof/>
          </w:rPr>
          <w:t>Contents</w:t>
        </w:r>
        <w:r>
          <w:rPr>
            <w:noProof/>
            <w:webHidden/>
          </w:rPr>
          <w:tab/>
        </w:r>
        <w:r>
          <w:rPr>
            <w:noProof/>
            <w:webHidden/>
          </w:rPr>
          <w:fldChar w:fldCharType="begin"/>
        </w:r>
        <w:r>
          <w:rPr>
            <w:noProof/>
            <w:webHidden/>
          </w:rPr>
          <w:instrText xml:space="preserve"> PAGEREF _Toc2767514 \h </w:instrText>
        </w:r>
        <w:r>
          <w:rPr>
            <w:noProof/>
            <w:webHidden/>
          </w:rPr>
        </w:r>
        <w:r>
          <w:rPr>
            <w:noProof/>
            <w:webHidden/>
          </w:rPr>
          <w:fldChar w:fldCharType="separate"/>
        </w:r>
        <w:r>
          <w:rPr>
            <w:noProof/>
            <w:webHidden/>
          </w:rPr>
          <w:t>6</w:t>
        </w:r>
        <w:r>
          <w:rPr>
            <w:noProof/>
            <w:webHidden/>
          </w:rPr>
          <w:fldChar w:fldCharType="end"/>
        </w:r>
      </w:hyperlink>
    </w:p>
    <w:p w14:paraId="31FDEE46" w14:textId="4A47C14D" w:rsidR="008C12F8" w:rsidRDefault="008C12F8">
      <w:pPr>
        <w:pStyle w:val="TOC1"/>
        <w:tabs>
          <w:tab w:val="left" w:pos="480"/>
          <w:tab w:val="right" w:pos="8296"/>
        </w:tabs>
        <w:rPr>
          <w:rFonts w:cstheme="minorBidi"/>
          <w:b w:val="0"/>
          <w:bCs w:val="0"/>
          <w:caps w:val="0"/>
          <w:noProof/>
          <w:sz w:val="24"/>
          <w:szCs w:val="24"/>
          <w:lang w:val="en-GB" w:eastAsia="en-US"/>
        </w:rPr>
      </w:pPr>
      <w:hyperlink w:anchor="_Toc2767515" w:history="1">
        <w:r w:rsidRPr="00FB6C6E">
          <w:rPr>
            <w:rStyle w:val="Hyperlink"/>
            <w:noProof/>
          </w:rPr>
          <w:t>1.</w:t>
        </w:r>
        <w:r>
          <w:rPr>
            <w:rFonts w:cstheme="minorBidi"/>
            <w:b w:val="0"/>
            <w:bCs w:val="0"/>
            <w:caps w:val="0"/>
            <w:noProof/>
            <w:sz w:val="24"/>
            <w:szCs w:val="24"/>
            <w:lang w:val="en-GB" w:eastAsia="en-US"/>
          </w:rPr>
          <w:tab/>
        </w:r>
        <w:r w:rsidRPr="00FB6C6E">
          <w:rPr>
            <w:rStyle w:val="Hyperlink"/>
            <w:noProof/>
          </w:rPr>
          <w:t>INTRODUCTION</w:t>
        </w:r>
        <w:r>
          <w:rPr>
            <w:noProof/>
            <w:webHidden/>
          </w:rPr>
          <w:tab/>
        </w:r>
        <w:r>
          <w:rPr>
            <w:noProof/>
            <w:webHidden/>
          </w:rPr>
          <w:fldChar w:fldCharType="begin"/>
        </w:r>
        <w:r>
          <w:rPr>
            <w:noProof/>
            <w:webHidden/>
          </w:rPr>
          <w:instrText xml:space="preserve"> PAGEREF _Toc2767515 \h </w:instrText>
        </w:r>
        <w:r>
          <w:rPr>
            <w:noProof/>
            <w:webHidden/>
          </w:rPr>
        </w:r>
        <w:r>
          <w:rPr>
            <w:noProof/>
            <w:webHidden/>
          </w:rPr>
          <w:fldChar w:fldCharType="separate"/>
        </w:r>
        <w:r>
          <w:rPr>
            <w:noProof/>
            <w:webHidden/>
          </w:rPr>
          <w:t>7</w:t>
        </w:r>
        <w:r>
          <w:rPr>
            <w:noProof/>
            <w:webHidden/>
          </w:rPr>
          <w:fldChar w:fldCharType="end"/>
        </w:r>
      </w:hyperlink>
    </w:p>
    <w:p w14:paraId="75AAC03A" w14:textId="3771FF24" w:rsidR="008C12F8" w:rsidRDefault="008C12F8">
      <w:pPr>
        <w:pStyle w:val="TOC2"/>
        <w:tabs>
          <w:tab w:val="left" w:pos="720"/>
          <w:tab w:val="right" w:pos="8296"/>
        </w:tabs>
        <w:rPr>
          <w:b w:val="0"/>
          <w:bCs w:val="0"/>
          <w:noProof/>
          <w:sz w:val="24"/>
          <w:szCs w:val="24"/>
          <w:lang w:val="en-GB" w:eastAsia="en-US"/>
        </w:rPr>
      </w:pPr>
      <w:hyperlink w:anchor="_Toc2767516" w:history="1">
        <w:r w:rsidRPr="00FB6C6E">
          <w:rPr>
            <w:rStyle w:val="Hyperlink"/>
            <w:noProof/>
          </w:rPr>
          <w:t>1.1.</w:t>
        </w:r>
        <w:r>
          <w:rPr>
            <w:b w:val="0"/>
            <w:bCs w:val="0"/>
            <w:noProof/>
            <w:sz w:val="24"/>
            <w:szCs w:val="24"/>
            <w:lang w:val="en-GB" w:eastAsia="en-US"/>
          </w:rPr>
          <w:tab/>
        </w:r>
        <w:r w:rsidRPr="00FB6C6E">
          <w:rPr>
            <w:rStyle w:val="Hyperlink"/>
            <w:noProof/>
          </w:rPr>
          <w:t>Background and Objectives</w:t>
        </w:r>
        <w:r>
          <w:rPr>
            <w:noProof/>
            <w:webHidden/>
          </w:rPr>
          <w:tab/>
        </w:r>
        <w:r>
          <w:rPr>
            <w:noProof/>
            <w:webHidden/>
          </w:rPr>
          <w:fldChar w:fldCharType="begin"/>
        </w:r>
        <w:r>
          <w:rPr>
            <w:noProof/>
            <w:webHidden/>
          </w:rPr>
          <w:instrText xml:space="preserve"> PAGEREF _Toc2767516 \h </w:instrText>
        </w:r>
        <w:r>
          <w:rPr>
            <w:noProof/>
            <w:webHidden/>
          </w:rPr>
        </w:r>
        <w:r>
          <w:rPr>
            <w:noProof/>
            <w:webHidden/>
          </w:rPr>
          <w:fldChar w:fldCharType="separate"/>
        </w:r>
        <w:r>
          <w:rPr>
            <w:noProof/>
            <w:webHidden/>
          </w:rPr>
          <w:t>7</w:t>
        </w:r>
        <w:r>
          <w:rPr>
            <w:noProof/>
            <w:webHidden/>
          </w:rPr>
          <w:fldChar w:fldCharType="end"/>
        </w:r>
      </w:hyperlink>
    </w:p>
    <w:p w14:paraId="329D783E" w14:textId="307190DD" w:rsidR="008C12F8" w:rsidRDefault="008C12F8">
      <w:pPr>
        <w:pStyle w:val="TOC2"/>
        <w:tabs>
          <w:tab w:val="left" w:pos="720"/>
          <w:tab w:val="right" w:pos="8296"/>
        </w:tabs>
        <w:rPr>
          <w:b w:val="0"/>
          <w:bCs w:val="0"/>
          <w:noProof/>
          <w:sz w:val="24"/>
          <w:szCs w:val="24"/>
          <w:lang w:val="en-GB" w:eastAsia="en-US"/>
        </w:rPr>
      </w:pPr>
      <w:hyperlink w:anchor="_Toc2767519" w:history="1">
        <w:r w:rsidRPr="00FB6C6E">
          <w:rPr>
            <w:rStyle w:val="Hyperlink"/>
            <w:noProof/>
          </w:rPr>
          <w:t>1.2.</w:t>
        </w:r>
        <w:r>
          <w:rPr>
            <w:b w:val="0"/>
            <w:bCs w:val="0"/>
            <w:noProof/>
            <w:sz w:val="24"/>
            <w:szCs w:val="24"/>
            <w:lang w:val="en-GB" w:eastAsia="en-US"/>
          </w:rPr>
          <w:tab/>
        </w:r>
        <w:r w:rsidRPr="00FB6C6E">
          <w:rPr>
            <w:rStyle w:val="Hyperlink"/>
            <w:noProof/>
          </w:rPr>
          <w:t>Sources of Information</w:t>
        </w:r>
        <w:r>
          <w:rPr>
            <w:noProof/>
            <w:webHidden/>
          </w:rPr>
          <w:tab/>
        </w:r>
        <w:r>
          <w:rPr>
            <w:noProof/>
            <w:webHidden/>
          </w:rPr>
          <w:fldChar w:fldCharType="begin"/>
        </w:r>
        <w:r>
          <w:rPr>
            <w:noProof/>
            <w:webHidden/>
          </w:rPr>
          <w:instrText xml:space="preserve"> PAGEREF _Toc2767519 \h </w:instrText>
        </w:r>
        <w:r>
          <w:rPr>
            <w:noProof/>
            <w:webHidden/>
          </w:rPr>
        </w:r>
        <w:r>
          <w:rPr>
            <w:noProof/>
            <w:webHidden/>
          </w:rPr>
          <w:fldChar w:fldCharType="separate"/>
        </w:r>
        <w:r>
          <w:rPr>
            <w:noProof/>
            <w:webHidden/>
          </w:rPr>
          <w:t>7</w:t>
        </w:r>
        <w:r>
          <w:rPr>
            <w:noProof/>
            <w:webHidden/>
          </w:rPr>
          <w:fldChar w:fldCharType="end"/>
        </w:r>
      </w:hyperlink>
    </w:p>
    <w:p w14:paraId="5E1AB013" w14:textId="42A78181" w:rsidR="008C12F8" w:rsidRDefault="008C12F8">
      <w:pPr>
        <w:pStyle w:val="TOC1"/>
        <w:tabs>
          <w:tab w:val="left" w:pos="480"/>
          <w:tab w:val="right" w:pos="8296"/>
        </w:tabs>
        <w:rPr>
          <w:rFonts w:cstheme="minorBidi"/>
          <w:b w:val="0"/>
          <w:bCs w:val="0"/>
          <w:caps w:val="0"/>
          <w:noProof/>
          <w:sz w:val="24"/>
          <w:szCs w:val="24"/>
          <w:lang w:val="en-GB" w:eastAsia="en-US"/>
        </w:rPr>
      </w:pPr>
      <w:hyperlink w:anchor="_Toc2767520" w:history="1">
        <w:r w:rsidRPr="00FB6C6E">
          <w:rPr>
            <w:rStyle w:val="Hyperlink"/>
            <w:noProof/>
          </w:rPr>
          <w:t>2.</w:t>
        </w:r>
        <w:r>
          <w:rPr>
            <w:rFonts w:cstheme="minorBidi"/>
            <w:b w:val="0"/>
            <w:bCs w:val="0"/>
            <w:caps w:val="0"/>
            <w:noProof/>
            <w:sz w:val="24"/>
            <w:szCs w:val="24"/>
            <w:lang w:val="en-GB" w:eastAsia="en-US"/>
          </w:rPr>
          <w:tab/>
        </w:r>
        <w:r w:rsidRPr="00FB6C6E">
          <w:rPr>
            <w:rStyle w:val="Hyperlink"/>
            <w:noProof/>
          </w:rPr>
          <w:t>HOW INTERNAL AUDIT ADDS VALUE</w:t>
        </w:r>
        <w:r>
          <w:rPr>
            <w:noProof/>
            <w:webHidden/>
          </w:rPr>
          <w:tab/>
        </w:r>
        <w:r>
          <w:rPr>
            <w:noProof/>
            <w:webHidden/>
          </w:rPr>
          <w:fldChar w:fldCharType="begin"/>
        </w:r>
        <w:r>
          <w:rPr>
            <w:noProof/>
            <w:webHidden/>
          </w:rPr>
          <w:instrText xml:space="preserve"> PAGEREF _Toc2767520 \h </w:instrText>
        </w:r>
        <w:r>
          <w:rPr>
            <w:noProof/>
            <w:webHidden/>
          </w:rPr>
        </w:r>
        <w:r>
          <w:rPr>
            <w:noProof/>
            <w:webHidden/>
          </w:rPr>
          <w:fldChar w:fldCharType="separate"/>
        </w:r>
        <w:r>
          <w:rPr>
            <w:noProof/>
            <w:webHidden/>
          </w:rPr>
          <w:t>8</w:t>
        </w:r>
        <w:r>
          <w:rPr>
            <w:noProof/>
            <w:webHidden/>
          </w:rPr>
          <w:fldChar w:fldCharType="end"/>
        </w:r>
      </w:hyperlink>
    </w:p>
    <w:p w14:paraId="40E1A2AB" w14:textId="18C39E6E" w:rsidR="008C12F8" w:rsidRDefault="008C12F8">
      <w:pPr>
        <w:pStyle w:val="TOC2"/>
        <w:tabs>
          <w:tab w:val="left" w:pos="720"/>
          <w:tab w:val="right" w:pos="8296"/>
        </w:tabs>
        <w:rPr>
          <w:b w:val="0"/>
          <w:bCs w:val="0"/>
          <w:noProof/>
          <w:sz w:val="24"/>
          <w:szCs w:val="24"/>
          <w:lang w:val="en-GB" w:eastAsia="en-US"/>
        </w:rPr>
      </w:pPr>
      <w:hyperlink w:anchor="_Toc2767521" w:history="1">
        <w:r w:rsidRPr="00FB6C6E">
          <w:rPr>
            <w:rStyle w:val="Hyperlink"/>
            <w:noProof/>
          </w:rPr>
          <w:t>2.1.</w:t>
        </w:r>
        <w:r>
          <w:rPr>
            <w:b w:val="0"/>
            <w:bCs w:val="0"/>
            <w:noProof/>
            <w:sz w:val="24"/>
            <w:szCs w:val="24"/>
            <w:lang w:val="en-GB" w:eastAsia="en-US"/>
          </w:rPr>
          <w:tab/>
        </w:r>
        <w:r w:rsidRPr="00FB6C6E">
          <w:rPr>
            <w:rStyle w:val="Hyperlink"/>
            <w:noProof/>
          </w:rPr>
          <w:t>How does internal audit add value?</w:t>
        </w:r>
        <w:r>
          <w:rPr>
            <w:noProof/>
            <w:webHidden/>
          </w:rPr>
          <w:tab/>
        </w:r>
        <w:r>
          <w:rPr>
            <w:noProof/>
            <w:webHidden/>
          </w:rPr>
          <w:fldChar w:fldCharType="begin"/>
        </w:r>
        <w:r>
          <w:rPr>
            <w:noProof/>
            <w:webHidden/>
          </w:rPr>
          <w:instrText xml:space="preserve"> PAGEREF _Toc2767521 \h </w:instrText>
        </w:r>
        <w:r>
          <w:rPr>
            <w:noProof/>
            <w:webHidden/>
          </w:rPr>
        </w:r>
        <w:r>
          <w:rPr>
            <w:noProof/>
            <w:webHidden/>
          </w:rPr>
          <w:fldChar w:fldCharType="separate"/>
        </w:r>
        <w:r>
          <w:rPr>
            <w:noProof/>
            <w:webHidden/>
          </w:rPr>
          <w:t>8</w:t>
        </w:r>
        <w:r>
          <w:rPr>
            <w:noProof/>
            <w:webHidden/>
          </w:rPr>
          <w:fldChar w:fldCharType="end"/>
        </w:r>
      </w:hyperlink>
    </w:p>
    <w:p w14:paraId="2B2A44D4" w14:textId="4C447354" w:rsidR="008C12F8" w:rsidRDefault="008C12F8">
      <w:pPr>
        <w:pStyle w:val="TOC3"/>
        <w:tabs>
          <w:tab w:val="left" w:pos="960"/>
          <w:tab w:val="right" w:pos="8296"/>
        </w:tabs>
        <w:rPr>
          <w:noProof/>
          <w:sz w:val="24"/>
          <w:szCs w:val="24"/>
          <w:lang w:val="en-GB" w:eastAsia="en-US"/>
        </w:rPr>
      </w:pPr>
      <w:hyperlink w:anchor="_Toc2767522" w:history="1">
        <w:r w:rsidRPr="00FB6C6E">
          <w:rPr>
            <w:rStyle w:val="Hyperlink"/>
            <w:noProof/>
          </w:rPr>
          <w:t>2.1.1.</w:t>
        </w:r>
        <w:r>
          <w:rPr>
            <w:noProof/>
            <w:sz w:val="24"/>
            <w:szCs w:val="24"/>
            <w:lang w:val="en-GB" w:eastAsia="en-US"/>
          </w:rPr>
          <w:tab/>
        </w:r>
        <w:r w:rsidRPr="00FB6C6E">
          <w:rPr>
            <w:rStyle w:val="Hyperlink"/>
            <w:noProof/>
          </w:rPr>
          <w:t>The Institute of Internal Auditors Value Proposition</w:t>
        </w:r>
        <w:r>
          <w:rPr>
            <w:noProof/>
            <w:webHidden/>
          </w:rPr>
          <w:tab/>
        </w:r>
        <w:r>
          <w:rPr>
            <w:noProof/>
            <w:webHidden/>
          </w:rPr>
          <w:fldChar w:fldCharType="begin"/>
        </w:r>
        <w:r>
          <w:rPr>
            <w:noProof/>
            <w:webHidden/>
          </w:rPr>
          <w:instrText xml:space="preserve"> PAGEREF _Toc2767522 \h </w:instrText>
        </w:r>
        <w:r>
          <w:rPr>
            <w:noProof/>
            <w:webHidden/>
          </w:rPr>
        </w:r>
        <w:r>
          <w:rPr>
            <w:noProof/>
            <w:webHidden/>
          </w:rPr>
          <w:fldChar w:fldCharType="separate"/>
        </w:r>
        <w:r>
          <w:rPr>
            <w:noProof/>
            <w:webHidden/>
          </w:rPr>
          <w:t>8</w:t>
        </w:r>
        <w:r>
          <w:rPr>
            <w:noProof/>
            <w:webHidden/>
          </w:rPr>
          <w:fldChar w:fldCharType="end"/>
        </w:r>
      </w:hyperlink>
    </w:p>
    <w:p w14:paraId="0F9F302B" w14:textId="4BC5A842" w:rsidR="008C12F8" w:rsidRDefault="008C12F8">
      <w:pPr>
        <w:pStyle w:val="TOC3"/>
        <w:tabs>
          <w:tab w:val="left" w:pos="960"/>
          <w:tab w:val="right" w:pos="8296"/>
        </w:tabs>
        <w:rPr>
          <w:noProof/>
          <w:sz w:val="24"/>
          <w:szCs w:val="24"/>
          <w:lang w:val="en-GB" w:eastAsia="en-US"/>
        </w:rPr>
      </w:pPr>
      <w:hyperlink w:anchor="_Toc2767523" w:history="1">
        <w:r w:rsidRPr="00FB6C6E">
          <w:rPr>
            <w:rStyle w:val="Hyperlink"/>
            <w:noProof/>
          </w:rPr>
          <w:t>2.1.2.</w:t>
        </w:r>
        <w:r>
          <w:rPr>
            <w:noProof/>
            <w:sz w:val="24"/>
            <w:szCs w:val="24"/>
            <w:lang w:val="en-GB" w:eastAsia="en-US"/>
          </w:rPr>
          <w:tab/>
        </w:r>
        <w:r w:rsidRPr="00FB6C6E">
          <w:rPr>
            <w:rStyle w:val="Hyperlink"/>
            <w:noProof/>
          </w:rPr>
          <w:t>A Unique Value Proposition for Public Sector internal audit in PEMPAL countries</w:t>
        </w:r>
        <w:r>
          <w:rPr>
            <w:noProof/>
            <w:webHidden/>
          </w:rPr>
          <w:tab/>
        </w:r>
        <w:r>
          <w:rPr>
            <w:noProof/>
            <w:webHidden/>
          </w:rPr>
          <w:fldChar w:fldCharType="begin"/>
        </w:r>
        <w:r>
          <w:rPr>
            <w:noProof/>
            <w:webHidden/>
          </w:rPr>
          <w:instrText xml:space="preserve"> PAGEREF _Toc2767523 \h </w:instrText>
        </w:r>
        <w:r>
          <w:rPr>
            <w:noProof/>
            <w:webHidden/>
          </w:rPr>
        </w:r>
        <w:r>
          <w:rPr>
            <w:noProof/>
            <w:webHidden/>
          </w:rPr>
          <w:fldChar w:fldCharType="separate"/>
        </w:r>
        <w:r>
          <w:rPr>
            <w:noProof/>
            <w:webHidden/>
          </w:rPr>
          <w:t>9</w:t>
        </w:r>
        <w:r>
          <w:rPr>
            <w:noProof/>
            <w:webHidden/>
          </w:rPr>
          <w:fldChar w:fldCharType="end"/>
        </w:r>
      </w:hyperlink>
    </w:p>
    <w:p w14:paraId="6907891B" w14:textId="70CC9C89" w:rsidR="008C12F8" w:rsidRDefault="008C12F8">
      <w:pPr>
        <w:pStyle w:val="TOC2"/>
        <w:tabs>
          <w:tab w:val="left" w:pos="720"/>
          <w:tab w:val="right" w:pos="8296"/>
        </w:tabs>
        <w:rPr>
          <w:b w:val="0"/>
          <w:bCs w:val="0"/>
          <w:noProof/>
          <w:sz w:val="24"/>
          <w:szCs w:val="24"/>
          <w:lang w:val="en-GB" w:eastAsia="en-US"/>
        </w:rPr>
      </w:pPr>
      <w:hyperlink w:anchor="_Toc2767524" w:history="1">
        <w:r w:rsidRPr="00FB6C6E">
          <w:rPr>
            <w:rStyle w:val="Hyperlink"/>
            <w:noProof/>
          </w:rPr>
          <w:t>2.2.</w:t>
        </w:r>
        <w:r>
          <w:rPr>
            <w:b w:val="0"/>
            <w:bCs w:val="0"/>
            <w:noProof/>
            <w:sz w:val="24"/>
            <w:szCs w:val="24"/>
            <w:lang w:val="en-GB" w:eastAsia="en-US"/>
          </w:rPr>
          <w:tab/>
        </w:r>
        <w:r w:rsidRPr="00FB6C6E">
          <w:rPr>
            <w:rStyle w:val="Hyperlink"/>
            <w:noProof/>
          </w:rPr>
          <w:t>What internal audit activities add the most value?</w:t>
        </w:r>
        <w:r>
          <w:rPr>
            <w:noProof/>
            <w:webHidden/>
          </w:rPr>
          <w:tab/>
        </w:r>
        <w:r>
          <w:rPr>
            <w:noProof/>
            <w:webHidden/>
          </w:rPr>
          <w:fldChar w:fldCharType="begin"/>
        </w:r>
        <w:r>
          <w:rPr>
            <w:noProof/>
            <w:webHidden/>
          </w:rPr>
          <w:instrText xml:space="preserve"> PAGEREF _Toc2767524 \h </w:instrText>
        </w:r>
        <w:r>
          <w:rPr>
            <w:noProof/>
            <w:webHidden/>
          </w:rPr>
        </w:r>
        <w:r>
          <w:rPr>
            <w:noProof/>
            <w:webHidden/>
          </w:rPr>
          <w:fldChar w:fldCharType="separate"/>
        </w:r>
        <w:r>
          <w:rPr>
            <w:noProof/>
            <w:webHidden/>
          </w:rPr>
          <w:t>10</w:t>
        </w:r>
        <w:r>
          <w:rPr>
            <w:noProof/>
            <w:webHidden/>
          </w:rPr>
          <w:fldChar w:fldCharType="end"/>
        </w:r>
      </w:hyperlink>
    </w:p>
    <w:p w14:paraId="6123C672" w14:textId="7CAE57D8" w:rsidR="008C12F8" w:rsidRDefault="008C12F8">
      <w:pPr>
        <w:pStyle w:val="TOC2"/>
        <w:tabs>
          <w:tab w:val="left" w:pos="720"/>
          <w:tab w:val="right" w:pos="8296"/>
        </w:tabs>
        <w:rPr>
          <w:b w:val="0"/>
          <w:bCs w:val="0"/>
          <w:noProof/>
          <w:sz w:val="24"/>
          <w:szCs w:val="24"/>
          <w:lang w:val="en-GB" w:eastAsia="en-US"/>
        </w:rPr>
      </w:pPr>
      <w:hyperlink w:anchor="_Toc2767525" w:history="1">
        <w:r w:rsidRPr="00FB6C6E">
          <w:rPr>
            <w:rStyle w:val="Hyperlink"/>
            <w:noProof/>
          </w:rPr>
          <w:t>2.3.</w:t>
        </w:r>
        <w:r>
          <w:rPr>
            <w:b w:val="0"/>
            <w:bCs w:val="0"/>
            <w:noProof/>
            <w:sz w:val="24"/>
            <w:szCs w:val="24"/>
            <w:lang w:val="en-GB" w:eastAsia="en-US"/>
          </w:rPr>
          <w:tab/>
        </w:r>
        <w:r w:rsidRPr="00FB6C6E">
          <w:rPr>
            <w:rStyle w:val="Hyperlink"/>
            <w:noProof/>
          </w:rPr>
          <w:t>What critical success factors influence delivery of added value?</w:t>
        </w:r>
        <w:r>
          <w:rPr>
            <w:noProof/>
            <w:webHidden/>
          </w:rPr>
          <w:tab/>
        </w:r>
        <w:r>
          <w:rPr>
            <w:noProof/>
            <w:webHidden/>
          </w:rPr>
          <w:fldChar w:fldCharType="begin"/>
        </w:r>
        <w:r>
          <w:rPr>
            <w:noProof/>
            <w:webHidden/>
          </w:rPr>
          <w:instrText xml:space="preserve"> PAGEREF _Toc2767525 \h </w:instrText>
        </w:r>
        <w:r>
          <w:rPr>
            <w:noProof/>
            <w:webHidden/>
          </w:rPr>
        </w:r>
        <w:r>
          <w:rPr>
            <w:noProof/>
            <w:webHidden/>
          </w:rPr>
          <w:fldChar w:fldCharType="separate"/>
        </w:r>
        <w:r>
          <w:rPr>
            <w:noProof/>
            <w:webHidden/>
          </w:rPr>
          <w:t>10</w:t>
        </w:r>
        <w:r>
          <w:rPr>
            <w:noProof/>
            <w:webHidden/>
          </w:rPr>
          <w:fldChar w:fldCharType="end"/>
        </w:r>
      </w:hyperlink>
    </w:p>
    <w:p w14:paraId="3480E3FF" w14:textId="721A3E36" w:rsidR="008C12F8" w:rsidRDefault="008C12F8">
      <w:pPr>
        <w:pStyle w:val="TOC3"/>
        <w:tabs>
          <w:tab w:val="left" w:pos="960"/>
          <w:tab w:val="right" w:pos="8296"/>
        </w:tabs>
        <w:rPr>
          <w:noProof/>
          <w:sz w:val="24"/>
          <w:szCs w:val="24"/>
          <w:lang w:val="en-GB" w:eastAsia="en-US"/>
        </w:rPr>
      </w:pPr>
      <w:hyperlink w:anchor="_Toc2767526" w:history="1">
        <w:r w:rsidRPr="00FB6C6E">
          <w:rPr>
            <w:rStyle w:val="Hyperlink"/>
            <w:noProof/>
          </w:rPr>
          <w:t>2.3.1.</w:t>
        </w:r>
        <w:r>
          <w:rPr>
            <w:noProof/>
            <w:sz w:val="24"/>
            <w:szCs w:val="24"/>
            <w:lang w:val="en-GB" w:eastAsia="en-US"/>
          </w:rPr>
          <w:tab/>
        </w:r>
        <w:r w:rsidRPr="00FB6C6E">
          <w:rPr>
            <w:rStyle w:val="Hyperlink"/>
            <w:noProof/>
          </w:rPr>
          <w:t>The positioning of internal audit</w:t>
        </w:r>
        <w:r>
          <w:rPr>
            <w:noProof/>
            <w:webHidden/>
          </w:rPr>
          <w:tab/>
        </w:r>
        <w:r>
          <w:rPr>
            <w:noProof/>
            <w:webHidden/>
          </w:rPr>
          <w:fldChar w:fldCharType="begin"/>
        </w:r>
        <w:r>
          <w:rPr>
            <w:noProof/>
            <w:webHidden/>
          </w:rPr>
          <w:instrText xml:space="preserve"> PAGEREF _Toc2767526 \h </w:instrText>
        </w:r>
        <w:r>
          <w:rPr>
            <w:noProof/>
            <w:webHidden/>
          </w:rPr>
        </w:r>
        <w:r>
          <w:rPr>
            <w:noProof/>
            <w:webHidden/>
          </w:rPr>
          <w:fldChar w:fldCharType="separate"/>
        </w:r>
        <w:r>
          <w:rPr>
            <w:noProof/>
            <w:webHidden/>
          </w:rPr>
          <w:t>11</w:t>
        </w:r>
        <w:r>
          <w:rPr>
            <w:noProof/>
            <w:webHidden/>
          </w:rPr>
          <w:fldChar w:fldCharType="end"/>
        </w:r>
      </w:hyperlink>
    </w:p>
    <w:p w14:paraId="4FB78CA5" w14:textId="4C3B4F99" w:rsidR="008C12F8" w:rsidRDefault="008C12F8">
      <w:pPr>
        <w:pStyle w:val="TOC3"/>
        <w:tabs>
          <w:tab w:val="left" w:pos="960"/>
          <w:tab w:val="right" w:pos="8296"/>
        </w:tabs>
        <w:rPr>
          <w:noProof/>
          <w:sz w:val="24"/>
          <w:szCs w:val="24"/>
          <w:lang w:val="en-GB" w:eastAsia="en-US"/>
        </w:rPr>
      </w:pPr>
      <w:hyperlink w:anchor="_Toc2767527" w:history="1">
        <w:r w:rsidRPr="00FB6C6E">
          <w:rPr>
            <w:rStyle w:val="Hyperlink"/>
            <w:noProof/>
          </w:rPr>
          <w:t>2.3.2.</w:t>
        </w:r>
        <w:r>
          <w:rPr>
            <w:noProof/>
            <w:sz w:val="24"/>
            <w:szCs w:val="24"/>
            <w:lang w:val="en-GB" w:eastAsia="en-US"/>
          </w:rPr>
          <w:tab/>
        </w:r>
        <w:r w:rsidRPr="00FB6C6E">
          <w:rPr>
            <w:rStyle w:val="Hyperlink"/>
            <w:noProof/>
          </w:rPr>
          <w:t>Oversight and support of internal audit function</w:t>
        </w:r>
        <w:r>
          <w:rPr>
            <w:noProof/>
            <w:webHidden/>
          </w:rPr>
          <w:tab/>
        </w:r>
        <w:r>
          <w:rPr>
            <w:noProof/>
            <w:webHidden/>
          </w:rPr>
          <w:fldChar w:fldCharType="begin"/>
        </w:r>
        <w:r>
          <w:rPr>
            <w:noProof/>
            <w:webHidden/>
          </w:rPr>
          <w:instrText xml:space="preserve"> PAGEREF _Toc2767527 \h </w:instrText>
        </w:r>
        <w:r>
          <w:rPr>
            <w:noProof/>
            <w:webHidden/>
          </w:rPr>
        </w:r>
        <w:r>
          <w:rPr>
            <w:noProof/>
            <w:webHidden/>
          </w:rPr>
          <w:fldChar w:fldCharType="separate"/>
        </w:r>
        <w:r>
          <w:rPr>
            <w:noProof/>
            <w:webHidden/>
          </w:rPr>
          <w:t>11</w:t>
        </w:r>
        <w:r>
          <w:rPr>
            <w:noProof/>
            <w:webHidden/>
          </w:rPr>
          <w:fldChar w:fldCharType="end"/>
        </w:r>
      </w:hyperlink>
    </w:p>
    <w:p w14:paraId="4F9B7C11" w14:textId="4805E677" w:rsidR="008C12F8" w:rsidRDefault="008C12F8">
      <w:pPr>
        <w:pStyle w:val="TOC3"/>
        <w:tabs>
          <w:tab w:val="left" w:pos="960"/>
          <w:tab w:val="right" w:pos="8296"/>
        </w:tabs>
        <w:rPr>
          <w:noProof/>
          <w:sz w:val="24"/>
          <w:szCs w:val="24"/>
          <w:lang w:val="en-GB" w:eastAsia="en-US"/>
        </w:rPr>
      </w:pPr>
      <w:hyperlink w:anchor="_Toc2767528" w:history="1">
        <w:r w:rsidRPr="00FB6C6E">
          <w:rPr>
            <w:rStyle w:val="Hyperlink"/>
            <w:noProof/>
          </w:rPr>
          <w:t>2.3.3.</w:t>
        </w:r>
        <w:r>
          <w:rPr>
            <w:noProof/>
            <w:sz w:val="24"/>
            <w:szCs w:val="24"/>
            <w:lang w:val="en-GB" w:eastAsia="en-US"/>
          </w:rPr>
          <w:tab/>
        </w:r>
        <w:r w:rsidRPr="00FB6C6E">
          <w:rPr>
            <w:rStyle w:val="Hyperlink"/>
            <w:noProof/>
          </w:rPr>
          <w:t>The level of awareness of internal audit role</w:t>
        </w:r>
        <w:r>
          <w:rPr>
            <w:noProof/>
            <w:webHidden/>
          </w:rPr>
          <w:tab/>
        </w:r>
        <w:r>
          <w:rPr>
            <w:noProof/>
            <w:webHidden/>
          </w:rPr>
          <w:fldChar w:fldCharType="begin"/>
        </w:r>
        <w:r>
          <w:rPr>
            <w:noProof/>
            <w:webHidden/>
          </w:rPr>
          <w:instrText xml:space="preserve"> PAGEREF _Toc2767528 \h </w:instrText>
        </w:r>
        <w:r>
          <w:rPr>
            <w:noProof/>
            <w:webHidden/>
          </w:rPr>
        </w:r>
        <w:r>
          <w:rPr>
            <w:noProof/>
            <w:webHidden/>
          </w:rPr>
          <w:fldChar w:fldCharType="separate"/>
        </w:r>
        <w:r>
          <w:rPr>
            <w:noProof/>
            <w:webHidden/>
          </w:rPr>
          <w:t>12</w:t>
        </w:r>
        <w:r>
          <w:rPr>
            <w:noProof/>
            <w:webHidden/>
          </w:rPr>
          <w:fldChar w:fldCharType="end"/>
        </w:r>
      </w:hyperlink>
    </w:p>
    <w:p w14:paraId="1AF3881F" w14:textId="29D45CAD" w:rsidR="008C12F8" w:rsidRDefault="008C12F8">
      <w:pPr>
        <w:pStyle w:val="TOC3"/>
        <w:tabs>
          <w:tab w:val="left" w:pos="960"/>
          <w:tab w:val="right" w:pos="8296"/>
        </w:tabs>
        <w:rPr>
          <w:noProof/>
          <w:sz w:val="24"/>
          <w:szCs w:val="24"/>
          <w:lang w:val="en-GB" w:eastAsia="en-US"/>
        </w:rPr>
      </w:pPr>
      <w:hyperlink w:anchor="_Toc2767529" w:history="1">
        <w:r w:rsidRPr="00FB6C6E">
          <w:rPr>
            <w:rStyle w:val="Hyperlink"/>
            <w:noProof/>
          </w:rPr>
          <w:t>2.3.4.</w:t>
        </w:r>
        <w:r>
          <w:rPr>
            <w:noProof/>
            <w:sz w:val="24"/>
            <w:szCs w:val="24"/>
            <w:lang w:val="en-GB" w:eastAsia="en-US"/>
          </w:rPr>
          <w:tab/>
        </w:r>
        <w:r w:rsidRPr="00FB6C6E">
          <w:rPr>
            <w:rStyle w:val="Hyperlink"/>
            <w:noProof/>
          </w:rPr>
          <w:t>Internal audit understanding of the organization</w:t>
        </w:r>
        <w:r>
          <w:rPr>
            <w:noProof/>
            <w:webHidden/>
          </w:rPr>
          <w:tab/>
        </w:r>
        <w:r>
          <w:rPr>
            <w:noProof/>
            <w:webHidden/>
          </w:rPr>
          <w:fldChar w:fldCharType="begin"/>
        </w:r>
        <w:r>
          <w:rPr>
            <w:noProof/>
            <w:webHidden/>
          </w:rPr>
          <w:instrText xml:space="preserve"> PAGEREF _Toc2767529 \h </w:instrText>
        </w:r>
        <w:r>
          <w:rPr>
            <w:noProof/>
            <w:webHidden/>
          </w:rPr>
        </w:r>
        <w:r>
          <w:rPr>
            <w:noProof/>
            <w:webHidden/>
          </w:rPr>
          <w:fldChar w:fldCharType="separate"/>
        </w:r>
        <w:r>
          <w:rPr>
            <w:noProof/>
            <w:webHidden/>
          </w:rPr>
          <w:t>12</w:t>
        </w:r>
        <w:r>
          <w:rPr>
            <w:noProof/>
            <w:webHidden/>
          </w:rPr>
          <w:fldChar w:fldCharType="end"/>
        </w:r>
      </w:hyperlink>
    </w:p>
    <w:p w14:paraId="0BB9CEFA" w14:textId="02BB66C2" w:rsidR="008C12F8" w:rsidRDefault="008C12F8">
      <w:pPr>
        <w:pStyle w:val="TOC3"/>
        <w:tabs>
          <w:tab w:val="left" w:pos="960"/>
          <w:tab w:val="right" w:pos="8296"/>
        </w:tabs>
        <w:rPr>
          <w:noProof/>
          <w:sz w:val="24"/>
          <w:szCs w:val="24"/>
          <w:lang w:val="en-GB" w:eastAsia="en-US"/>
        </w:rPr>
      </w:pPr>
      <w:hyperlink w:anchor="_Toc2767530" w:history="1">
        <w:r w:rsidRPr="00FB6C6E">
          <w:rPr>
            <w:rStyle w:val="Hyperlink"/>
            <w:noProof/>
          </w:rPr>
          <w:t>2.3.5.</w:t>
        </w:r>
        <w:r>
          <w:rPr>
            <w:noProof/>
            <w:sz w:val="24"/>
            <w:szCs w:val="24"/>
            <w:lang w:val="en-GB" w:eastAsia="en-US"/>
          </w:rPr>
          <w:tab/>
        </w:r>
        <w:r w:rsidRPr="00FB6C6E">
          <w:rPr>
            <w:rStyle w:val="Hyperlink"/>
            <w:noProof/>
          </w:rPr>
          <w:t>The quality of internal audit work</w:t>
        </w:r>
        <w:r>
          <w:rPr>
            <w:noProof/>
            <w:webHidden/>
          </w:rPr>
          <w:tab/>
        </w:r>
        <w:r>
          <w:rPr>
            <w:noProof/>
            <w:webHidden/>
          </w:rPr>
          <w:fldChar w:fldCharType="begin"/>
        </w:r>
        <w:r>
          <w:rPr>
            <w:noProof/>
            <w:webHidden/>
          </w:rPr>
          <w:instrText xml:space="preserve"> PAGEREF _Toc2767530 \h </w:instrText>
        </w:r>
        <w:r>
          <w:rPr>
            <w:noProof/>
            <w:webHidden/>
          </w:rPr>
        </w:r>
        <w:r>
          <w:rPr>
            <w:noProof/>
            <w:webHidden/>
          </w:rPr>
          <w:fldChar w:fldCharType="separate"/>
        </w:r>
        <w:r>
          <w:rPr>
            <w:noProof/>
            <w:webHidden/>
          </w:rPr>
          <w:t>13</w:t>
        </w:r>
        <w:r>
          <w:rPr>
            <w:noProof/>
            <w:webHidden/>
          </w:rPr>
          <w:fldChar w:fldCharType="end"/>
        </w:r>
      </w:hyperlink>
    </w:p>
    <w:p w14:paraId="72460BC2" w14:textId="035D0B6F" w:rsidR="008C12F8" w:rsidRDefault="008C12F8">
      <w:pPr>
        <w:pStyle w:val="TOC3"/>
        <w:tabs>
          <w:tab w:val="left" w:pos="960"/>
          <w:tab w:val="right" w:pos="8296"/>
        </w:tabs>
        <w:rPr>
          <w:noProof/>
          <w:sz w:val="24"/>
          <w:szCs w:val="24"/>
          <w:lang w:val="en-GB" w:eastAsia="en-US"/>
        </w:rPr>
      </w:pPr>
      <w:hyperlink w:anchor="_Toc2767531" w:history="1">
        <w:r w:rsidRPr="00FB6C6E">
          <w:rPr>
            <w:rStyle w:val="Hyperlink"/>
            <w:noProof/>
          </w:rPr>
          <w:t>2.3.6.</w:t>
        </w:r>
        <w:r>
          <w:rPr>
            <w:noProof/>
            <w:sz w:val="24"/>
            <w:szCs w:val="24"/>
            <w:lang w:val="en-GB" w:eastAsia="en-US"/>
          </w:rPr>
          <w:tab/>
        </w:r>
        <w:r w:rsidRPr="00FB6C6E">
          <w:rPr>
            <w:rStyle w:val="Hyperlink"/>
            <w:noProof/>
          </w:rPr>
          <w:t>The competence of internal audit staff and training</w:t>
        </w:r>
        <w:r>
          <w:rPr>
            <w:noProof/>
            <w:webHidden/>
          </w:rPr>
          <w:tab/>
        </w:r>
        <w:r>
          <w:rPr>
            <w:noProof/>
            <w:webHidden/>
          </w:rPr>
          <w:fldChar w:fldCharType="begin"/>
        </w:r>
        <w:r>
          <w:rPr>
            <w:noProof/>
            <w:webHidden/>
          </w:rPr>
          <w:instrText xml:space="preserve"> PAGEREF _Toc2767531 \h </w:instrText>
        </w:r>
        <w:r>
          <w:rPr>
            <w:noProof/>
            <w:webHidden/>
          </w:rPr>
        </w:r>
        <w:r>
          <w:rPr>
            <w:noProof/>
            <w:webHidden/>
          </w:rPr>
          <w:fldChar w:fldCharType="separate"/>
        </w:r>
        <w:r>
          <w:rPr>
            <w:noProof/>
            <w:webHidden/>
          </w:rPr>
          <w:t>13</w:t>
        </w:r>
        <w:r>
          <w:rPr>
            <w:noProof/>
            <w:webHidden/>
          </w:rPr>
          <w:fldChar w:fldCharType="end"/>
        </w:r>
      </w:hyperlink>
    </w:p>
    <w:p w14:paraId="043E0180" w14:textId="62474AC0" w:rsidR="008C12F8" w:rsidRDefault="008C12F8">
      <w:pPr>
        <w:pStyle w:val="TOC3"/>
        <w:tabs>
          <w:tab w:val="left" w:pos="960"/>
          <w:tab w:val="right" w:pos="8296"/>
        </w:tabs>
        <w:rPr>
          <w:noProof/>
          <w:sz w:val="24"/>
          <w:szCs w:val="24"/>
          <w:lang w:val="en-GB" w:eastAsia="en-US"/>
        </w:rPr>
      </w:pPr>
      <w:hyperlink w:anchor="_Toc2767532" w:history="1">
        <w:r w:rsidRPr="00FB6C6E">
          <w:rPr>
            <w:rStyle w:val="Hyperlink"/>
            <w:noProof/>
          </w:rPr>
          <w:t>2.3.7.</w:t>
        </w:r>
        <w:r>
          <w:rPr>
            <w:noProof/>
            <w:sz w:val="24"/>
            <w:szCs w:val="24"/>
            <w:lang w:val="en-GB" w:eastAsia="en-US"/>
          </w:rPr>
          <w:tab/>
        </w:r>
        <w:r w:rsidRPr="00FB6C6E">
          <w:rPr>
            <w:rStyle w:val="Hyperlink"/>
            <w:noProof/>
          </w:rPr>
          <w:t>Effective communication and reporting of internal audit findings</w:t>
        </w:r>
        <w:r>
          <w:rPr>
            <w:noProof/>
            <w:webHidden/>
          </w:rPr>
          <w:tab/>
        </w:r>
        <w:r>
          <w:rPr>
            <w:noProof/>
            <w:webHidden/>
          </w:rPr>
          <w:fldChar w:fldCharType="begin"/>
        </w:r>
        <w:r>
          <w:rPr>
            <w:noProof/>
            <w:webHidden/>
          </w:rPr>
          <w:instrText xml:space="preserve"> PAGEREF _Toc2767532 \h </w:instrText>
        </w:r>
        <w:r>
          <w:rPr>
            <w:noProof/>
            <w:webHidden/>
          </w:rPr>
        </w:r>
        <w:r>
          <w:rPr>
            <w:noProof/>
            <w:webHidden/>
          </w:rPr>
          <w:fldChar w:fldCharType="separate"/>
        </w:r>
        <w:r>
          <w:rPr>
            <w:noProof/>
            <w:webHidden/>
          </w:rPr>
          <w:t>13</w:t>
        </w:r>
        <w:r>
          <w:rPr>
            <w:noProof/>
            <w:webHidden/>
          </w:rPr>
          <w:fldChar w:fldCharType="end"/>
        </w:r>
      </w:hyperlink>
    </w:p>
    <w:p w14:paraId="59CC2DE4" w14:textId="57A93AC2" w:rsidR="008C12F8" w:rsidRDefault="008C12F8">
      <w:pPr>
        <w:pStyle w:val="TOC3"/>
        <w:tabs>
          <w:tab w:val="left" w:pos="960"/>
          <w:tab w:val="right" w:pos="8296"/>
        </w:tabs>
        <w:rPr>
          <w:noProof/>
          <w:sz w:val="24"/>
          <w:szCs w:val="24"/>
          <w:lang w:val="en-GB" w:eastAsia="en-US"/>
        </w:rPr>
      </w:pPr>
      <w:hyperlink w:anchor="_Toc2767533" w:history="1">
        <w:r w:rsidRPr="00FB6C6E">
          <w:rPr>
            <w:rStyle w:val="Hyperlink"/>
            <w:noProof/>
          </w:rPr>
          <w:t>2.3.8.</w:t>
        </w:r>
        <w:r>
          <w:rPr>
            <w:noProof/>
            <w:sz w:val="24"/>
            <w:szCs w:val="24"/>
            <w:lang w:val="en-GB" w:eastAsia="en-US"/>
          </w:rPr>
          <w:tab/>
        </w:r>
        <w:r w:rsidRPr="00FB6C6E">
          <w:rPr>
            <w:rStyle w:val="Hyperlink"/>
            <w:noProof/>
          </w:rPr>
          <w:t>Keeping the customer satisfied</w:t>
        </w:r>
        <w:r>
          <w:rPr>
            <w:noProof/>
            <w:webHidden/>
          </w:rPr>
          <w:tab/>
        </w:r>
        <w:r>
          <w:rPr>
            <w:noProof/>
            <w:webHidden/>
          </w:rPr>
          <w:fldChar w:fldCharType="begin"/>
        </w:r>
        <w:r>
          <w:rPr>
            <w:noProof/>
            <w:webHidden/>
          </w:rPr>
          <w:instrText xml:space="preserve"> PAGEREF _Toc2767533 \h </w:instrText>
        </w:r>
        <w:r>
          <w:rPr>
            <w:noProof/>
            <w:webHidden/>
          </w:rPr>
        </w:r>
        <w:r>
          <w:rPr>
            <w:noProof/>
            <w:webHidden/>
          </w:rPr>
          <w:fldChar w:fldCharType="separate"/>
        </w:r>
        <w:r>
          <w:rPr>
            <w:noProof/>
            <w:webHidden/>
          </w:rPr>
          <w:t>14</w:t>
        </w:r>
        <w:r>
          <w:rPr>
            <w:noProof/>
            <w:webHidden/>
          </w:rPr>
          <w:fldChar w:fldCharType="end"/>
        </w:r>
      </w:hyperlink>
    </w:p>
    <w:p w14:paraId="09096BFB" w14:textId="35B551F8" w:rsidR="008C12F8" w:rsidRDefault="008C12F8">
      <w:pPr>
        <w:pStyle w:val="TOC2"/>
        <w:tabs>
          <w:tab w:val="left" w:pos="720"/>
          <w:tab w:val="right" w:pos="8296"/>
        </w:tabs>
        <w:rPr>
          <w:b w:val="0"/>
          <w:bCs w:val="0"/>
          <w:noProof/>
          <w:sz w:val="24"/>
          <w:szCs w:val="24"/>
          <w:lang w:val="en-GB" w:eastAsia="en-US"/>
        </w:rPr>
      </w:pPr>
      <w:hyperlink w:anchor="_Toc2767534" w:history="1">
        <w:r w:rsidRPr="00FB6C6E">
          <w:rPr>
            <w:rStyle w:val="Hyperlink"/>
            <w:noProof/>
          </w:rPr>
          <w:t>2.4.</w:t>
        </w:r>
        <w:r>
          <w:rPr>
            <w:b w:val="0"/>
            <w:bCs w:val="0"/>
            <w:noProof/>
            <w:sz w:val="24"/>
            <w:szCs w:val="24"/>
            <w:lang w:val="en-GB" w:eastAsia="en-US"/>
          </w:rPr>
          <w:tab/>
        </w:r>
        <w:r w:rsidRPr="00FB6C6E">
          <w:rPr>
            <w:rStyle w:val="Hyperlink"/>
            <w:noProof/>
          </w:rPr>
          <w:t>How does the added value of internal audit change as the function matures?</w:t>
        </w:r>
        <w:r>
          <w:rPr>
            <w:noProof/>
            <w:webHidden/>
          </w:rPr>
          <w:tab/>
        </w:r>
        <w:r>
          <w:rPr>
            <w:noProof/>
            <w:webHidden/>
          </w:rPr>
          <w:fldChar w:fldCharType="begin"/>
        </w:r>
        <w:r>
          <w:rPr>
            <w:noProof/>
            <w:webHidden/>
          </w:rPr>
          <w:instrText xml:space="preserve"> PAGEREF _Toc2767534 \h </w:instrText>
        </w:r>
        <w:r>
          <w:rPr>
            <w:noProof/>
            <w:webHidden/>
          </w:rPr>
        </w:r>
        <w:r>
          <w:rPr>
            <w:noProof/>
            <w:webHidden/>
          </w:rPr>
          <w:fldChar w:fldCharType="separate"/>
        </w:r>
        <w:r>
          <w:rPr>
            <w:noProof/>
            <w:webHidden/>
          </w:rPr>
          <w:t>14</w:t>
        </w:r>
        <w:r>
          <w:rPr>
            <w:noProof/>
            <w:webHidden/>
          </w:rPr>
          <w:fldChar w:fldCharType="end"/>
        </w:r>
      </w:hyperlink>
    </w:p>
    <w:p w14:paraId="49804217" w14:textId="62AAE3A7" w:rsidR="008C12F8" w:rsidRDefault="008C12F8">
      <w:pPr>
        <w:pStyle w:val="TOC1"/>
        <w:tabs>
          <w:tab w:val="left" w:pos="480"/>
          <w:tab w:val="right" w:pos="8296"/>
        </w:tabs>
        <w:rPr>
          <w:rFonts w:cstheme="minorBidi"/>
          <w:b w:val="0"/>
          <w:bCs w:val="0"/>
          <w:caps w:val="0"/>
          <w:noProof/>
          <w:sz w:val="24"/>
          <w:szCs w:val="24"/>
          <w:lang w:val="en-GB" w:eastAsia="en-US"/>
        </w:rPr>
      </w:pPr>
      <w:hyperlink w:anchor="_Toc2767535" w:history="1">
        <w:r w:rsidRPr="00FB6C6E">
          <w:rPr>
            <w:rStyle w:val="Hyperlink"/>
            <w:noProof/>
          </w:rPr>
          <w:t>3.</w:t>
        </w:r>
        <w:r>
          <w:rPr>
            <w:rFonts w:cstheme="minorBidi"/>
            <w:b w:val="0"/>
            <w:bCs w:val="0"/>
            <w:caps w:val="0"/>
            <w:noProof/>
            <w:sz w:val="24"/>
            <w:szCs w:val="24"/>
            <w:lang w:val="en-GB" w:eastAsia="en-US"/>
          </w:rPr>
          <w:tab/>
        </w:r>
        <w:r w:rsidRPr="00FB6C6E">
          <w:rPr>
            <w:rStyle w:val="Hyperlink"/>
            <w:noProof/>
          </w:rPr>
          <w:t>MEASURING ADDED VALUE</w:t>
        </w:r>
        <w:r>
          <w:rPr>
            <w:noProof/>
            <w:webHidden/>
          </w:rPr>
          <w:tab/>
        </w:r>
        <w:r>
          <w:rPr>
            <w:noProof/>
            <w:webHidden/>
          </w:rPr>
          <w:fldChar w:fldCharType="begin"/>
        </w:r>
        <w:r>
          <w:rPr>
            <w:noProof/>
            <w:webHidden/>
          </w:rPr>
          <w:instrText xml:space="preserve"> PAGEREF _Toc2767535 \h </w:instrText>
        </w:r>
        <w:r>
          <w:rPr>
            <w:noProof/>
            <w:webHidden/>
          </w:rPr>
        </w:r>
        <w:r>
          <w:rPr>
            <w:noProof/>
            <w:webHidden/>
          </w:rPr>
          <w:fldChar w:fldCharType="separate"/>
        </w:r>
        <w:r>
          <w:rPr>
            <w:noProof/>
            <w:webHidden/>
          </w:rPr>
          <w:t>17</w:t>
        </w:r>
        <w:r>
          <w:rPr>
            <w:noProof/>
            <w:webHidden/>
          </w:rPr>
          <w:fldChar w:fldCharType="end"/>
        </w:r>
      </w:hyperlink>
    </w:p>
    <w:p w14:paraId="58745840" w14:textId="42A132B8" w:rsidR="008C12F8" w:rsidRDefault="008C12F8">
      <w:pPr>
        <w:pStyle w:val="TOC2"/>
        <w:tabs>
          <w:tab w:val="left" w:pos="720"/>
          <w:tab w:val="right" w:pos="8296"/>
        </w:tabs>
        <w:rPr>
          <w:b w:val="0"/>
          <w:bCs w:val="0"/>
          <w:noProof/>
          <w:sz w:val="24"/>
          <w:szCs w:val="24"/>
          <w:lang w:val="en-GB" w:eastAsia="en-US"/>
        </w:rPr>
      </w:pPr>
      <w:hyperlink w:anchor="_Toc2767536" w:history="1">
        <w:r w:rsidRPr="00FB6C6E">
          <w:rPr>
            <w:rStyle w:val="Hyperlink"/>
            <w:noProof/>
          </w:rPr>
          <w:t>3.1.</w:t>
        </w:r>
        <w:r>
          <w:rPr>
            <w:b w:val="0"/>
            <w:bCs w:val="0"/>
            <w:noProof/>
            <w:sz w:val="24"/>
            <w:szCs w:val="24"/>
            <w:lang w:val="en-GB" w:eastAsia="en-US"/>
          </w:rPr>
          <w:tab/>
        </w:r>
        <w:r w:rsidRPr="00FB6C6E">
          <w:rPr>
            <w:rStyle w:val="Hyperlink"/>
            <w:noProof/>
          </w:rPr>
          <w:t>A value for money framework</w:t>
        </w:r>
        <w:r>
          <w:rPr>
            <w:noProof/>
            <w:webHidden/>
          </w:rPr>
          <w:tab/>
        </w:r>
        <w:r>
          <w:rPr>
            <w:noProof/>
            <w:webHidden/>
          </w:rPr>
          <w:fldChar w:fldCharType="begin"/>
        </w:r>
        <w:r>
          <w:rPr>
            <w:noProof/>
            <w:webHidden/>
          </w:rPr>
          <w:instrText xml:space="preserve"> PAGEREF _Toc2767536 \h </w:instrText>
        </w:r>
        <w:r>
          <w:rPr>
            <w:noProof/>
            <w:webHidden/>
          </w:rPr>
        </w:r>
        <w:r>
          <w:rPr>
            <w:noProof/>
            <w:webHidden/>
          </w:rPr>
          <w:fldChar w:fldCharType="separate"/>
        </w:r>
        <w:r>
          <w:rPr>
            <w:noProof/>
            <w:webHidden/>
          </w:rPr>
          <w:t>17</w:t>
        </w:r>
        <w:r>
          <w:rPr>
            <w:noProof/>
            <w:webHidden/>
          </w:rPr>
          <w:fldChar w:fldCharType="end"/>
        </w:r>
      </w:hyperlink>
    </w:p>
    <w:p w14:paraId="026A7EAC" w14:textId="341BF1A9" w:rsidR="008C12F8" w:rsidRDefault="008C12F8">
      <w:pPr>
        <w:pStyle w:val="TOC2"/>
        <w:tabs>
          <w:tab w:val="left" w:pos="720"/>
          <w:tab w:val="right" w:pos="8296"/>
        </w:tabs>
        <w:rPr>
          <w:b w:val="0"/>
          <w:bCs w:val="0"/>
          <w:noProof/>
          <w:sz w:val="24"/>
          <w:szCs w:val="24"/>
          <w:lang w:val="en-GB" w:eastAsia="en-US"/>
        </w:rPr>
      </w:pPr>
      <w:hyperlink w:anchor="_Toc2767537" w:history="1">
        <w:r w:rsidRPr="00FB6C6E">
          <w:rPr>
            <w:rStyle w:val="Hyperlink"/>
            <w:noProof/>
          </w:rPr>
          <w:t>3.2.</w:t>
        </w:r>
        <w:r>
          <w:rPr>
            <w:b w:val="0"/>
            <w:bCs w:val="0"/>
            <w:noProof/>
            <w:sz w:val="24"/>
            <w:szCs w:val="24"/>
            <w:lang w:val="en-GB" w:eastAsia="en-US"/>
          </w:rPr>
          <w:tab/>
        </w:r>
        <w:r w:rsidRPr="00FB6C6E">
          <w:rPr>
            <w:rStyle w:val="Hyperlink"/>
            <w:noProof/>
          </w:rPr>
          <w:t>Examples of value for money measures for internal audit</w:t>
        </w:r>
        <w:r>
          <w:rPr>
            <w:noProof/>
            <w:webHidden/>
          </w:rPr>
          <w:tab/>
        </w:r>
        <w:r>
          <w:rPr>
            <w:noProof/>
            <w:webHidden/>
          </w:rPr>
          <w:fldChar w:fldCharType="begin"/>
        </w:r>
        <w:r>
          <w:rPr>
            <w:noProof/>
            <w:webHidden/>
          </w:rPr>
          <w:instrText xml:space="preserve"> PAGEREF _Toc2767537 \h </w:instrText>
        </w:r>
        <w:r>
          <w:rPr>
            <w:noProof/>
            <w:webHidden/>
          </w:rPr>
        </w:r>
        <w:r>
          <w:rPr>
            <w:noProof/>
            <w:webHidden/>
          </w:rPr>
          <w:fldChar w:fldCharType="separate"/>
        </w:r>
        <w:r>
          <w:rPr>
            <w:noProof/>
            <w:webHidden/>
          </w:rPr>
          <w:t>18</w:t>
        </w:r>
        <w:r>
          <w:rPr>
            <w:noProof/>
            <w:webHidden/>
          </w:rPr>
          <w:fldChar w:fldCharType="end"/>
        </w:r>
      </w:hyperlink>
    </w:p>
    <w:p w14:paraId="2F32FD8D" w14:textId="3E12FEF2" w:rsidR="00673546" w:rsidRDefault="00A72951">
      <w:pPr>
        <w:rPr>
          <w:b/>
          <w:bCs/>
          <w:caps/>
          <w:color w:val="FFFFFF" w:themeColor="background1"/>
          <w:spacing w:val="15"/>
          <w:sz w:val="22"/>
          <w:szCs w:val="22"/>
        </w:rPr>
      </w:pPr>
      <w:r>
        <w:fldChar w:fldCharType="end"/>
      </w:r>
    </w:p>
    <w:p w14:paraId="2764F242" w14:textId="11F9976D" w:rsidR="00C44E61" w:rsidRDefault="00C44E61" w:rsidP="00DA1358">
      <w:pPr>
        <w:pStyle w:val="Heading1"/>
        <w:numPr>
          <w:ilvl w:val="0"/>
          <w:numId w:val="50"/>
        </w:numPr>
      </w:pPr>
      <w:bookmarkStart w:id="8" w:name="_Toc2767515"/>
      <w:r>
        <w:lastRenderedPageBreak/>
        <w:t>INTRODUCTION</w:t>
      </w:r>
      <w:bookmarkEnd w:id="8"/>
    </w:p>
    <w:p w14:paraId="0F15561E" w14:textId="0067B22E" w:rsidR="00EB3183" w:rsidRDefault="00EB3183" w:rsidP="00533045">
      <w:pPr>
        <w:pStyle w:val="Heading2"/>
      </w:pPr>
      <w:bookmarkStart w:id="9" w:name="_Toc2767516"/>
      <w:r w:rsidRPr="00533045">
        <w:t>Background</w:t>
      </w:r>
      <w:r w:rsidR="000A1366">
        <w:t xml:space="preserve"> and Objectives</w:t>
      </w:r>
      <w:bookmarkEnd w:id="9"/>
    </w:p>
    <w:p w14:paraId="58E94299" w14:textId="6ECCA87A" w:rsidR="00F153C4" w:rsidRDefault="009E4E08" w:rsidP="00DA1358">
      <w:pPr>
        <w:pStyle w:val="numberedparas"/>
        <w:numPr>
          <w:ilvl w:val="0"/>
          <w:numId w:val="0"/>
        </w:numPr>
      </w:pPr>
      <w:r>
        <w:t xml:space="preserve">Internal </w:t>
      </w:r>
      <w:r w:rsidR="00746639">
        <w:t xml:space="preserve">auditors </w:t>
      </w:r>
      <w:r>
        <w:t xml:space="preserve">across the world need to demonstrate that their activities </w:t>
      </w:r>
      <w:r w:rsidR="00AB5549">
        <w:t>protect and enhanc</w:t>
      </w:r>
      <w:r w:rsidR="008A4B1F">
        <w:t>e</w:t>
      </w:r>
      <w:r w:rsidR="00AB5549">
        <w:t xml:space="preserve"> </w:t>
      </w:r>
      <w:r>
        <w:t xml:space="preserve">value </w:t>
      </w:r>
      <w:r w:rsidR="00AB5549">
        <w:t xml:space="preserve">and </w:t>
      </w:r>
      <w:r w:rsidR="005C35F8">
        <w:t>meet the needs of</w:t>
      </w:r>
      <w:r>
        <w:t xml:space="preserve"> their stakeholders</w:t>
      </w:r>
      <w:r w:rsidR="005C35F8">
        <w:t xml:space="preserve">. </w:t>
      </w:r>
      <w:r w:rsidR="00F153C4">
        <w:t xml:space="preserve">This </w:t>
      </w:r>
      <w:r w:rsidR="007A0D48">
        <w:t xml:space="preserve">can </w:t>
      </w:r>
      <w:r w:rsidR="00F153C4">
        <w:t>be more complex for countries</w:t>
      </w:r>
      <w:r w:rsidR="00083063">
        <w:t>, including</w:t>
      </w:r>
      <w:r w:rsidR="00F153C4">
        <w:t xml:space="preserve"> </w:t>
      </w:r>
      <w:r w:rsidR="00083063">
        <w:t>PEMPAL member</w:t>
      </w:r>
      <w:r w:rsidR="00321DE3">
        <w:t>s,</w:t>
      </w:r>
      <w:r w:rsidR="00083063" w:rsidDel="007A0D48">
        <w:t xml:space="preserve"> </w:t>
      </w:r>
      <w:r w:rsidR="00F153C4">
        <w:t xml:space="preserve">where </w:t>
      </w:r>
      <w:r w:rsidR="00E11D3A">
        <w:t xml:space="preserve">internal audit </w:t>
      </w:r>
      <w:r w:rsidR="00F153C4">
        <w:t xml:space="preserve">is a relatively new function that has yet to mature or be fully </w:t>
      </w:r>
      <w:r w:rsidR="003E12B4">
        <w:t>recognized</w:t>
      </w:r>
      <w:r w:rsidR="00F153C4">
        <w:t xml:space="preserve"> in the </w:t>
      </w:r>
      <w:r w:rsidR="00321DE3">
        <w:t>public sector</w:t>
      </w:r>
      <w:r w:rsidR="00F153C4">
        <w:t>.</w:t>
      </w:r>
      <w:r w:rsidR="007A0D48" w:rsidRPr="007A0D48">
        <w:t xml:space="preserve"> </w:t>
      </w:r>
    </w:p>
    <w:p w14:paraId="2A2225DA" w14:textId="11828298" w:rsidR="00892103" w:rsidRDefault="00FE0DF0" w:rsidP="00DA1358">
      <w:pPr>
        <w:pStyle w:val="ListBullet"/>
        <w:numPr>
          <w:ilvl w:val="0"/>
          <w:numId w:val="0"/>
        </w:numPr>
      </w:pPr>
      <w:r>
        <w:t xml:space="preserve">This </w:t>
      </w:r>
      <w:r w:rsidR="000A781D">
        <w:t>guidance paper</w:t>
      </w:r>
      <w:r>
        <w:t xml:space="preserve"> captures the knowledge generated during discussions on these </w:t>
      </w:r>
      <w:r w:rsidR="0074760A">
        <w:t xml:space="preserve">issues </w:t>
      </w:r>
      <w:r>
        <w:t>at</w:t>
      </w:r>
      <w:r w:rsidR="00C4649F">
        <w:t xml:space="preserve"> </w:t>
      </w:r>
      <w:r w:rsidR="00752C00">
        <w:t xml:space="preserve">PEMPAL IACOP </w:t>
      </w:r>
      <w:r>
        <w:t>meetings</w:t>
      </w:r>
      <w:r w:rsidR="00DE7EBD">
        <w:t>. It</w:t>
      </w:r>
      <w:r>
        <w:t xml:space="preserve"> </w:t>
      </w:r>
      <w:r w:rsidR="0074760A">
        <w:t>focus</w:t>
      </w:r>
      <w:r w:rsidR="00DE7EBD">
        <w:t>es</w:t>
      </w:r>
      <w:r w:rsidR="0074760A">
        <w:t xml:space="preserve"> on</w:t>
      </w:r>
      <w:r w:rsidR="00B15AF5">
        <w:t>:</w:t>
      </w:r>
    </w:p>
    <w:p w14:paraId="6542979B" w14:textId="0FB60034" w:rsidR="00892103" w:rsidRDefault="00892103" w:rsidP="00892103">
      <w:pPr>
        <w:pStyle w:val="ListBullet"/>
      </w:pPr>
      <w:r>
        <w:t>How to demonstrate the value added by internal audit in the public sector in the particular circumstances that exist in different PEMPAL member countries</w:t>
      </w:r>
      <w:r w:rsidR="00B15AF5">
        <w:t>; and</w:t>
      </w:r>
    </w:p>
    <w:p w14:paraId="4780730E" w14:textId="0BB3BBAE" w:rsidR="00B15AF5" w:rsidRPr="00F60AD5" w:rsidRDefault="00B15AF5" w:rsidP="00B15AF5">
      <w:pPr>
        <w:pStyle w:val="ListBullet"/>
      </w:pPr>
      <w:r>
        <w:t>How to measure the added value of internal audit work in the public sector in terms of “</w:t>
      </w:r>
      <w:r w:rsidR="00D75111">
        <w:t>value for mo</w:t>
      </w:r>
      <w:r>
        <w:t>ney” (economy, efficiency</w:t>
      </w:r>
      <w:r w:rsidR="00D75111">
        <w:t>,</w:t>
      </w:r>
      <w:r>
        <w:t xml:space="preserve"> and effectiveness). </w:t>
      </w:r>
    </w:p>
    <w:p w14:paraId="029BFDF2" w14:textId="4F2D19C9" w:rsidR="005C35F8" w:rsidRDefault="00AC6FCB" w:rsidP="00DA1358">
      <w:pPr>
        <w:pStyle w:val="numberedparas"/>
        <w:numPr>
          <w:ilvl w:val="0"/>
          <w:numId w:val="0"/>
        </w:numPr>
      </w:pPr>
      <w:r>
        <w:t xml:space="preserve"> </w:t>
      </w:r>
      <w:r w:rsidR="005C35F8">
        <w:t xml:space="preserve"> </w:t>
      </w:r>
    </w:p>
    <w:p w14:paraId="3FCE4701" w14:textId="77777777" w:rsidR="00F60AD5" w:rsidRPr="00F60AD5" w:rsidRDefault="00F60AD5" w:rsidP="00F60AD5">
      <w:pPr>
        <w:pStyle w:val="Heading2"/>
      </w:pPr>
      <w:bookmarkStart w:id="10" w:name="_Toc2764945"/>
      <w:bookmarkStart w:id="11" w:name="_Toc2767283"/>
      <w:bookmarkStart w:id="12" w:name="_Toc2767319"/>
      <w:bookmarkStart w:id="13" w:name="_Toc2767364"/>
      <w:bookmarkStart w:id="14" w:name="_Toc2767400"/>
      <w:bookmarkStart w:id="15" w:name="_Toc2767430"/>
      <w:bookmarkStart w:id="16" w:name="_Toc2767489"/>
      <w:bookmarkStart w:id="17" w:name="_Toc2767517"/>
      <w:bookmarkStart w:id="18" w:name="_Toc2764946"/>
      <w:bookmarkStart w:id="19" w:name="_Toc2767284"/>
      <w:bookmarkStart w:id="20" w:name="_Toc2767320"/>
      <w:bookmarkStart w:id="21" w:name="_Toc2767365"/>
      <w:bookmarkStart w:id="22" w:name="_Toc2767401"/>
      <w:bookmarkStart w:id="23" w:name="_Toc2767431"/>
      <w:bookmarkStart w:id="24" w:name="_Toc2767490"/>
      <w:bookmarkStart w:id="25" w:name="_Toc2767518"/>
      <w:bookmarkStart w:id="26" w:name="_Toc276751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Sources of Information</w:t>
      </w:r>
      <w:bookmarkEnd w:id="26"/>
    </w:p>
    <w:p w14:paraId="47E486A8" w14:textId="2F910255" w:rsidR="00F60AD5" w:rsidRPr="00120940" w:rsidRDefault="00FD7D08" w:rsidP="00DA1358">
      <w:pPr>
        <w:pStyle w:val="numberedparas"/>
        <w:numPr>
          <w:ilvl w:val="0"/>
          <w:numId w:val="0"/>
        </w:numPr>
      </w:pPr>
      <w:r>
        <w:t xml:space="preserve">This </w:t>
      </w:r>
      <w:r w:rsidR="006D7F90">
        <w:t xml:space="preserve">guidance paper </w:t>
      </w:r>
      <w:r w:rsidR="000A1366">
        <w:t xml:space="preserve">makes extensive use of </w:t>
      </w:r>
      <w:r w:rsidR="001868CC">
        <w:t xml:space="preserve">presentations </w:t>
      </w:r>
      <w:r w:rsidR="00192AA3">
        <w:t xml:space="preserve">to </w:t>
      </w:r>
      <w:r w:rsidR="001868CC">
        <w:t xml:space="preserve">and discussions </w:t>
      </w:r>
      <w:r w:rsidR="00192AA3">
        <w:t xml:space="preserve">among the </w:t>
      </w:r>
      <w:r w:rsidR="00FF3C46">
        <w:t xml:space="preserve">IACOP, including </w:t>
      </w:r>
      <w:r>
        <w:t xml:space="preserve">at the </w:t>
      </w:r>
      <w:r w:rsidR="004019D6">
        <w:t xml:space="preserve">2018 </w:t>
      </w:r>
      <w:r w:rsidR="0094768E">
        <w:t>IACOP</w:t>
      </w:r>
      <w:r w:rsidR="00F60AD5">
        <w:t xml:space="preserve"> p</w:t>
      </w:r>
      <w:r>
        <w:t xml:space="preserve">lenary meeting in </w:t>
      </w:r>
      <w:r w:rsidR="004B72D3">
        <w:t>Tbilisi</w:t>
      </w:r>
      <w:r w:rsidR="00192AA3">
        <w:t>,</w:t>
      </w:r>
      <w:r w:rsidR="005C35F8">
        <w:t xml:space="preserve"> Georgi</w:t>
      </w:r>
      <w:r w:rsidR="00E03B2C">
        <w:t xml:space="preserve">a, and </w:t>
      </w:r>
      <w:r w:rsidR="0094768E">
        <w:t xml:space="preserve">reflects </w:t>
      </w:r>
      <w:r w:rsidR="0094768E" w:rsidRPr="00120940">
        <w:t xml:space="preserve">input from IACOP </w:t>
      </w:r>
      <w:r w:rsidR="0094768E" w:rsidRPr="00692CC4">
        <w:t>members</w:t>
      </w:r>
      <w:r w:rsidR="00E03B2C" w:rsidRPr="00692CC4">
        <w:t>. R</w:t>
      </w:r>
      <w:r w:rsidR="000A1366" w:rsidRPr="00692CC4">
        <w:t>eference</w:t>
      </w:r>
      <w:r w:rsidR="00E03B2C" w:rsidRPr="00692CC4">
        <w:t xml:space="preserve"> material used include</w:t>
      </w:r>
      <w:r w:rsidR="000A1366" w:rsidRPr="00692CC4">
        <w:t xml:space="preserve">s </w:t>
      </w:r>
      <w:r w:rsidR="00F12F00">
        <w:t xml:space="preserve">concepts and </w:t>
      </w:r>
      <w:r w:rsidR="009929A2">
        <w:t xml:space="preserve">models of </w:t>
      </w:r>
      <w:r w:rsidR="008150C2">
        <w:t>the Institute of Internal Auditors (IIA)</w:t>
      </w:r>
      <w:r w:rsidR="00FA2E29">
        <w:rPr>
          <w:rStyle w:val="FootnoteReference"/>
        </w:rPr>
        <w:footnoteReference w:id="2"/>
      </w:r>
      <w:r w:rsidR="001012EA">
        <w:t xml:space="preserve"> and </w:t>
      </w:r>
      <w:r w:rsidR="004B72D3" w:rsidRPr="00692CC4">
        <w:t>reports produced under the Global Internal Audit Common Body of Knowledge (CBOK)</w:t>
      </w:r>
      <w:r w:rsidR="00F60AD5" w:rsidRPr="00692CC4">
        <w:t xml:space="preserve"> initiative</w:t>
      </w:r>
      <w:r w:rsidR="004B72D3" w:rsidRPr="00692CC4">
        <w:rPr>
          <w:rStyle w:val="FootnoteReference"/>
        </w:rPr>
        <w:footnoteReference w:id="3"/>
      </w:r>
      <w:r w:rsidR="004B72D3" w:rsidRPr="00692CC4">
        <w:rPr>
          <w:rStyle w:val="FootnoteReference"/>
        </w:rPr>
        <w:t xml:space="preserve"> </w:t>
      </w:r>
      <w:r w:rsidR="004B72D3" w:rsidRPr="00692CC4">
        <w:t>following the 2015 global practitioner surve</w:t>
      </w:r>
      <w:r w:rsidR="000A1366" w:rsidRPr="00692CC4">
        <w:t xml:space="preserve">y; </w:t>
      </w:r>
      <w:r w:rsidR="000A1366" w:rsidRPr="00F13491">
        <w:t>and</w:t>
      </w:r>
      <w:r w:rsidR="0094768E" w:rsidRPr="00692CC4">
        <w:t xml:space="preserve"> other </w:t>
      </w:r>
      <w:r w:rsidR="002B77AF" w:rsidRPr="00B55233">
        <w:t xml:space="preserve">IACOP </w:t>
      </w:r>
      <w:r w:rsidR="0094768E" w:rsidRPr="00692CC4">
        <w:t>knowledge products</w:t>
      </w:r>
      <w:r w:rsidR="002B77AF">
        <w:rPr>
          <w:rStyle w:val="FootnoteReference"/>
        </w:rPr>
        <w:footnoteReference w:id="4"/>
      </w:r>
      <w:r w:rsidR="00F60AD5" w:rsidRPr="00692CC4">
        <w:t>.</w:t>
      </w:r>
      <w:r w:rsidR="00F60AD5" w:rsidRPr="00120940">
        <w:t xml:space="preserve"> </w:t>
      </w:r>
    </w:p>
    <w:p w14:paraId="2C44ED67" w14:textId="77777777" w:rsidR="009876BD" w:rsidRDefault="009876BD">
      <w:pPr>
        <w:rPr>
          <w:rFonts w:eastAsia="Cambria" w:cs="Arial"/>
          <w:b/>
          <w:bCs/>
          <w:i/>
          <w:iCs/>
          <w:color w:val="000090"/>
          <w:sz w:val="28"/>
          <w:szCs w:val="28"/>
        </w:rPr>
      </w:pPr>
      <w:r>
        <w:br w:type="page"/>
      </w:r>
    </w:p>
    <w:p w14:paraId="40F8F68F" w14:textId="0647C6B9" w:rsidR="00C44E61" w:rsidRDefault="00330D20" w:rsidP="00C44E61">
      <w:pPr>
        <w:pStyle w:val="Heading1"/>
      </w:pPr>
      <w:bookmarkStart w:id="27" w:name="_Toc2767520"/>
      <w:r>
        <w:lastRenderedPageBreak/>
        <w:t xml:space="preserve">HOW INTERNAL AUDIT </w:t>
      </w:r>
      <w:r w:rsidR="00C44E61">
        <w:t>ADD</w:t>
      </w:r>
      <w:r>
        <w:t>S</w:t>
      </w:r>
      <w:r w:rsidR="00C44E61">
        <w:t xml:space="preserve"> VALUE</w:t>
      </w:r>
      <w:bookmarkEnd w:id="27"/>
    </w:p>
    <w:p w14:paraId="145FEE21" w14:textId="5490361B" w:rsidR="00330D20" w:rsidRDefault="00330D20" w:rsidP="00DA1358">
      <w:pPr>
        <w:pStyle w:val="numberedparas"/>
        <w:numPr>
          <w:ilvl w:val="0"/>
          <w:numId w:val="0"/>
        </w:numPr>
      </w:pPr>
      <w:r>
        <w:t>This section considers the following questions:</w:t>
      </w:r>
    </w:p>
    <w:p w14:paraId="0A9F4E06" w14:textId="4C942991" w:rsidR="00330D20" w:rsidRDefault="00330D20" w:rsidP="003E12B4">
      <w:pPr>
        <w:pStyle w:val="ListBullet"/>
      </w:pPr>
      <w:r>
        <w:t xml:space="preserve">How does </w:t>
      </w:r>
      <w:r w:rsidR="0025314C">
        <w:t>internal audit</w:t>
      </w:r>
      <w:r>
        <w:t xml:space="preserve"> in general add value through its activities and </w:t>
      </w:r>
      <w:r w:rsidR="00007F45">
        <w:t xml:space="preserve">is </w:t>
      </w:r>
      <w:r>
        <w:t xml:space="preserve">there a unique value proposition for </w:t>
      </w:r>
      <w:r w:rsidR="0025314C">
        <w:t>internal audit</w:t>
      </w:r>
      <w:r>
        <w:t xml:space="preserve"> in the public sector?</w:t>
      </w:r>
    </w:p>
    <w:p w14:paraId="6C07CCFB" w14:textId="005CED14" w:rsidR="00330D20" w:rsidRDefault="00330D20" w:rsidP="003E12B4">
      <w:pPr>
        <w:pStyle w:val="ListBullet"/>
      </w:pPr>
      <w:r>
        <w:t>W</w:t>
      </w:r>
      <w:r w:rsidR="00B56086">
        <w:t>hich</w:t>
      </w:r>
      <w:r>
        <w:t xml:space="preserve"> </w:t>
      </w:r>
      <w:r w:rsidR="0025314C">
        <w:t>internal audit</w:t>
      </w:r>
      <w:r>
        <w:t xml:space="preserve"> activities add the most value</w:t>
      </w:r>
      <w:r w:rsidR="0094768E">
        <w:t xml:space="preserve"> in the public sector</w:t>
      </w:r>
      <w:r>
        <w:t xml:space="preserve">? </w:t>
      </w:r>
    </w:p>
    <w:p w14:paraId="231715F7" w14:textId="108133A7" w:rsidR="00330D20" w:rsidRDefault="00330D20" w:rsidP="003E12B4">
      <w:pPr>
        <w:pStyle w:val="ListBullet"/>
      </w:pPr>
      <w:r>
        <w:t>What factors influence the level of added value created in undertaking these activities?</w:t>
      </w:r>
    </w:p>
    <w:p w14:paraId="47A73DFF" w14:textId="07FFCFB7" w:rsidR="00AB0BEE" w:rsidRPr="00330D20" w:rsidRDefault="00AB0BEE" w:rsidP="003E12B4">
      <w:pPr>
        <w:pStyle w:val="ListBullet"/>
      </w:pPr>
      <w:r>
        <w:t xml:space="preserve">How does the added value of </w:t>
      </w:r>
      <w:r w:rsidR="0025314C">
        <w:t>internal audit</w:t>
      </w:r>
      <w:r>
        <w:t xml:space="preserve"> change as the function matures?</w:t>
      </w:r>
    </w:p>
    <w:p w14:paraId="250EBEB0" w14:textId="7BD062D7" w:rsidR="00533045" w:rsidRPr="00533045" w:rsidRDefault="00330D20" w:rsidP="00533045">
      <w:pPr>
        <w:pStyle w:val="Heading2"/>
      </w:pPr>
      <w:bookmarkStart w:id="28" w:name="_Toc2767521"/>
      <w:r>
        <w:t xml:space="preserve">How does </w:t>
      </w:r>
      <w:r w:rsidR="0025314C">
        <w:t>internal audit</w:t>
      </w:r>
      <w:r>
        <w:t xml:space="preserve"> add value?</w:t>
      </w:r>
      <w:bookmarkEnd w:id="28"/>
    </w:p>
    <w:p w14:paraId="41B62FBE" w14:textId="41EF7C90" w:rsidR="00FD7D08" w:rsidRDefault="005E752C" w:rsidP="00DA1358">
      <w:pPr>
        <w:pStyle w:val="numberedparas"/>
        <w:numPr>
          <w:ilvl w:val="0"/>
          <w:numId w:val="0"/>
        </w:numPr>
      </w:pPr>
      <w:r>
        <w:t xml:space="preserve">It </w:t>
      </w:r>
      <w:r w:rsidR="00533045" w:rsidRPr="00533045">
        <w:t xml:space="preserve">is critical </w:t>
      </w:r>
      <w:r w:rsidR="0001420C">
        <w:t>that</w:t>
      </w:r>
      <w:r w:rsidR="0001420C" w:rsidRPr="00533045">
        <w:t xml:space="preserve"> </w:t>
      </w:r>
      <w:r w:rsidR="0025314C">
        <w:t>internal audit</w:t>
      </w:r>
      <w:r w:rsidR="00533045" w:rsidRPr="00533045">
        <w:t xml:space="preserve"> units have a </w:t>
      </w:r>
      <w:r>
        <w:t>general</w:t>
      </w:r>
      <w:r w:rsidR="00533045" w:rsidRPr="00533045">
        <w:t xml:space="preserve"> understanding of how they intend to add value to the organisation</w:t>
      </w:r>
      <w:r>
        <w:t>al entities they audit</w:t>
      </w:r>
      <w:r w:rsidR="00533045" w:rsidRPr="00533045">
        <w:t xml:space="preserve">. This is often referred to as a value proposition. </w:t>
      </w:r>
    </w:p>
    <w:p w14:paraId="734E5360" w14:textId="1B8A6985" w:rsidR="004621B2" w:rsidRPr="005B5EF6" w:rsidRDefault="005563FA">
      <w:pPr>
        <w:pStyle w:val="Heading3"/>
      </w:pPr>
      <w:bookmarkStart w:id="29" w:name="_Toc2767522"/>
      <w:r>
        <w:t>T</w:t>
      </w:r>
      <w:r w:rsidR="0094768E" w:rsidRPr="005B5EF6">
        <w:t xml:space="preserve">he </w:t>
      </w:r>
      <w:r w:rsidR="004621B2" w:rsidRPr="005B5EF6">
        <w:t>Institute of Internal Auditors Value Proposition</w:t>
      </w:r>
      <w:bookmarkEnd w:id="29"/>
    </w:p>
    <w:p w14:paraId="055262A5" w14:textId="75EA1934" w:rsidR="00533045" w:rsidRDefault="009876BD" w:rsidP="00DA1358">
      <w:pPr>
        <w:pStyle w:val="numberedparas"/>
        <w:numPr>
          <w:ilvl w:val="0"/>
          <w:numId w:val="0"/>
        </w:numPr>
      </w:pPr>
      <w:r>
        <w:t>A generic value proposition was produced by the</w:t>
      </w:r>
      <w:r w:rsidR="00F13491">
        <w:t xml:space="preserve"> </w:t>
      </w:r>
      <w:r>
        <w:t xml:space="preserve">IIA in </w:t>
      </w:r>
      <w:r w:rsidR="00533045" w:rsidRPr="00533045">
        <w:t>2010</w:t>
      </w:r>
      <w:r>
        <w:t xml:space="preserve">. </w:t>
      </w:r>
      <w:r w:rsidR="00533045" w:rsidRPr="00533045">
        <w:t xml:space="preserve"> </w:t>
      </w:r>
      <w:r>
        <w:t xml:space="preserve">This </w:t>
      </w:r>
      <w:r w:rsidRPr="00533045">
        <w:t>characterizes internal audit’s value as an amalgam of three elements: assurance, insight</w:t>
      </w:r>
      <w:r w:rsidR="00ED7887">
        <w:t>,</w:t>
      </w:r>
      <w:r w:rsidRPr="00533045">
        <w:t xml:space="preserve"> and objectivity</w:t>
      </w:r>
      <w:r>
        <w:t xml:space="preserve"> </w:t>
      </w:r>
      <w:r w:rsidR="005E752C">
        <w:t xml:space="preserve">- see </w:t>
      </w:r>
      <w:r>
        <w:t>Figure 1</w:t>
      </w:r>
      <w:r w:rsidR="005E752C">
        <w:t>.</w:t>
      </w:r>
      <w:r w:rsidR="00533045" w:rsidRPr="0053304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FD7D08" w14:paraId="23C9E719" w14:textId="77777777" w:rsidTr="004621B2">
        <w:tc>
          <w:tcPr>
            <w:tcW w:w="8630" w:type="dxa"/>
          </w:tcPr>
          <w:p w14:paraId="446EE972" w14:textId="2F04427E" w:rsidR="004621B2" w:rsidRPr="004621B2" w:rsidRDefault="004621B2" w:rsidP="004621B2">
            <w:pPr>
              <w:pStyle w:val="Caption"/>
              <w:keepNext/>
              <w:ind w:left="434"/>
              <w:rPr>
                <w:b w:val="0"/>
                <w:sz w:val="24"/>
                <w:szCs w:val="24"/>
              </w:rPr>
            </w:pPr>
            <w:r w:rsidRPr="004621B2">
              <w:rPr>
                <w:sz w:val="24"/>
                <w:szCs w:val="24"/>
              </w:rPr>
              <w:t xml:space="preserve">Figure </w:t>
            </w:r>
            <w:r w:rsidRPr="004621B2">
              <w:rPr>
                <w:b w:val="0"/>
                <w:sz w:val="24"/>
                <w:szCs w:val="24"/>
              </w:rPr>
              <w:fldChar w:fldCharType="begin"/>
            </w:r>
            <w:r w:rsidRPr="004621B2">
              <w:rPr>
                <w:sz w:val="24"/>
                <w:szCs w:val="24"/>
              </w:rPr>
              <w:instrText xml:space="preserve"> SEQ Figure \* ARABIC </w:instrText>
            </w:r>
            <w:r w:rsidRPr="004621B2">
              <w:rPr>
                <w:b w:val="0"/>
                <w:sz w:val="24"/>
                <w:szCs w:val="24"/>
              </w:rPr>
              <w:fldChar w:fldCharType="separate"/>
            </w:r>
            <w:r w:rsidR="00C977E7">
              <w:rPr>
                <w:noProof/>
                <w:sz w:val="24"/>
                <w:szCs w:val="24"/>
              </w:rPr>
              <w:t>1</w:t>
            </w:r>
            <w:r w:rsidRPr="004621B2">
              <w:rPr>
                <w:b w:val="0"/>
                <w:sz w:val="24"/>
                <w:szCs w:val="24"/>
              </w:rPr>
              <w:fldChar w:fldCharType="end"/>
            </w:r>
            <w:r w:rsidR="00ED7887">
              <w:rPr>
                <w:b w:val="0"/>
                <w:sz w:val="24"/>
                <w:szCs w:val="24"/>
              </w:rPr>
              <w:t>:</w:t>
            </w:r>
            <w:r w:rsidRPr="004621B2">
              <w:rPr>
                <w:sz w:val="24"/>
                <w:szCs w:val="24"/>
              </w:rPr>
              <w:t xml:space="preserve"> IIA Value Proposition 2010</w:t>
            </w:r>
          </w:p>
          <w:p w14:paraId="449F0685" w14:textId="318353F9" w:rsidR="00FD7D08" w:rsidRDefault="0012306F" w:rsidP="0012306F">
            <w:pPr>
              <w:pStyle w:val="Table"/>
              <w:tabs>
                <w:tab w:val="clear" w:pos="567"/>
                <w:tab w:val="left" w:pos="794"/>
              </w:tabs>
            </w:pPr>
            <w:r w:rsidRPr="0012306F">
              <w:rPr>
                <w:noProof/>
                <w:lang w:val="hr-HR" w:eastAsia="hr-HR"/>
              </w:rPr>
              <w:drawing>
                <wp:inline distT="0" distB="0" distL="0" distR="0" wp14:anchorId="09319B28" wp14:editId="4F19F2C5">
                  <wp:extent cx="5274310" cy="3651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651250"/>
                          </a:xfrm>
                          <a:prstGeom prst="rect">
                            <a:avLst/>
                          </a:prstGeom>
                        </pic:spPr>
                      </pic:pic>
                    </a:graphicData>
                  </a:graphic>
                </wp:inline>
              </w:drawing>
            </w:r>
            <w:r w:rsidRPr="0012306F">
              <w:rPr>
                <w:rStyle w:val="CommentReference"/>
                <w:noProof/>
                <w:sz w:val="22"/>
                <w:szCs w:val="22"/>
                <w:lang w:val="hr-HR" w:eastAsia="hr-HR"/>
              </w:rPr>
              <w:t xml:space="preserve"> </w:t>
            </w:r>
          </w:p>
        </w:tc>
      </w:tr>
    </w:tbl>
    <w:p w14:paraId="13B36833" w14:textId="77777777" w:rsidR="00FD7D08" w:rsidRPr="00533045" w:rsidRDefault="00FD7D08" w:rsidP="00450E14">
      <w:pPr>
        <w:pStyle w:val="Table"/>
      </w:pPr>
    </w:p>
    <w:p w14:paraId="7EE1CDEE" w14:textId="3936C490" w:rsidR="005E752C" w:rsidRDefault="00AA5C45" w:rsidP="007D3277">
      <w:pPr>
        <w:pStyle w:val="numberedparas"/>
        <w:numPr>
          <w:ilvl w:val="0"/>
          <w:numId w:val="0"/>
        </w:numPr>
      </w:pPr>
      <w:r>
        <w:t xml:space="preserve">For </w:t>
      </w:r>
      <w:r w:rsidR="00E82754">
        <w:t>PEMPAL</w:t>
      </w:r>
      <w:r>
        <w:t>,</w:t>
      </w:r>
      <w:r w:rsidR="00E82754">
        <w:t xml:space="preserve"> the</w:t>
      </w:r>
      <w:r w:rsidR="00682FA4">
        <w:t xml:space="preserve"> generic value proposition </w:t>
      </w:r>
      <w:r w:rsidR="005E752C">
        <w:t xml:space="preserve">above </w:t>
      </w:r>
      <w:r w:rsidR="00682FA4">
        <w:t>has much to commend it. It is a simple model that is easy to remember</w:t>
      </w:r>
      <w:r w:rsidR="00E82754">
        <w:t xml:space="preserve">. It also highlights the potential for growth as </w:t>
      </w:r>
      <w:r w:rsidR="0025314C">
        <w:t>internal audit</w:t>
      </w:r>
      <w:r w:rsidR="00BA0388">
        <w:t xml:space="preserve"> </w:t>
      </w:r>
      <w:r w:rsidR="0094768E">
        <w:t>function</w:t>
      </w:r>
      <w:r w:rsidR="003F2BEA">
        <w:t>s</w:t>
      </w:r>
      <w:r w:rsidR="0094768E">
        <w:t xml:space="preserve"> </w:t>
      </w:r>
      <w:r w:rsidR="00E82754">
        <w:t xml:space="preserve">evolve. </w:t>
      </w:r>
    </w:p>
    <w:p w14:paraId="60B9CF53" w14:textId="13D62CC8" w:rsidR="005E752C" w:rsidRDefault="005E752C" w:rsidP="003E12B4">
      <w:pPr>
        <w:pStyle w:val="ListBullet"/>
      </w:pPr>
      <w:r>
        <w:t xml:space="preserve">Providing </w:t>
      </w:r>
      <w:r w:rsidRPr="005E752C">
        <w:rPr>
          <w:b/>
          <w:i/>
        </w:rPr>
        <w:t>assurance</w:t>
      </w:r>
      <w:r>
        <w:t xml:space="preserve"> on internal control</w:t>
      </w:r>
      <w:r w:rsidR="0094768E">
        <w:t>, governance</w:t>
      </w:r>
      <w:r w:rsidR="002932BE">
        <w:t>,</w:t>
      </w:r>
      <w:r>
        <w:t xml:space="preserve"> and risk is a fundamental and well recogni</w:t>
      </w:r>
      <w:r w:rsidR="002932BE">
        <w:t>z</w:t>
      </w:r>
      <w:r>
        <w:t xml:space="preserve">ed element of </w:t>
      </w:r>
      <w:r w:rsidR="0025314C">
        <w:t>internal audit</w:t>
      </w:r>
      <w:r>
        <w:t xml:space="preserve"> work that </w:t>
      </w:r>
      <w:r w:rsidR="00A61B5A">
        <w:t>underlies</w:t>
      </w:r>
      <w:r>
        <w:t xml:space="preserve"> the </w:t>
      </w:r>
      <w:r w:rsidR="0025314C">
        <w:t>internal audit</w:t>
      </w:r>
      <w:r>
        <w:t xml:space="preserve"> </w:t>
      </w:r>
      <w:r>
        <w:lastRenderedPageBreak/>
        <w:t>function</w:t>
      </w:r>
      <w:r w:rsidR="00E82754">
        <w:t xml:space="preserve">. This element is likely to be the first that </w:t>
      </w:r>
      <w:r w:rsidR="0025314C">
        <w:t>internal audit</w:t>
      </w:r>
      <w:r w:rsidR="00E82754">
        <w:t xml:space="preserve"> units work on. </w:t>
      </w:r>
      <w:r w:rsidR="00BF5D92">
        <w:t>As the internal audit function becomes more embedded in the public sector it will also be able to p</w:t>
      </w:r>
      <w:r w:rsidR="00572F10">
        <w:t>rovid</w:t>
      </w:r>
      <w:r w:rsidR="00BF5D92">
        <w:t>e</w:t>
      </w:r>
      <w:r w:rsidR="00572F10">
        <w:t xml:space="preserve"> assurance on governance processes</w:t>
      </w:r>
      <w:r w:rsidR="0094768E">
        <w:t>.</w:t>
      </w:r>
    </w:p>
    <w:p w14:paraId="0A1758CD" w14:textId="4AC6E881" w:rsidR="00BA0388" w:rsidRDefault="00BA0388" w:rsidP="003E12B4">
      <w:pPr>
        <w:pStyle w:val="ListBullet"/>
      </w:pPr>
      <w:r>
        <w:t xml:space="preserve">Providing </w:t>
      </w:r>
      <w:r w:rsidRPr="00BA0388">
        <w:rPr>
          <w:b/>
          <w:i/>
        </w:rPr>
        <w:t>insight</w:t>
      </w:r>
      <w:r>
        <w:t xml:space="preserve"> through recommendations to improve the organi</w:t>
      </w:r>
      <w:r w:rsidR="00875418">
        <w:t>z</w:t>
      </w:r>
      <w:r>
        <w:t xml:space="preserve">ation’s effectiveness is a main feature of </w:t>
      </w:r>
      <w:r w:rsidR="00E82754">
        <w:t>experienced</w:t>
      </w:r>
      <w:r w:rsidR="00572F10">
        <w:t>,</w:t>
      </w:r>
      <w:r w:rsidR="00E82754">
        <w:t xml:space="preserve"> </w:t>
      </w:r>
      <w:r>
        <w:t>proactive</w:t>
      </w:r>
      <w:r w:rsidR="00A46347">
        <w:t>,</w:t>
      </w:r>
      <w:r>
        <w:t xml:space="preserve"> and forward-looking </w:t>
      </w:r>
      <w:r w:rsidR="0025314C">
        <w:t>internal audit</w:t>
      </w:r>
      <w:r>
        <w:t xml:space="preserve"> units. </w:t>
      </w:r>
      <w:r w:rsidR="00E82754">
        <w:t xml:space="preserve">This </w:t>
      </w:r>
      <w:r w:rsidR="00A46347">
        <w:t>value of this function will increase</w:t>
      </w:r>
      <w:r w:rsidR="00E82754">
        <w:t xml:space="preserve"> as </w:t>
      </w:r>
      <w:r w:rsidR="0025314C">
        <w:t>internal audit</w:t>
      </w:r>
      <w:r w:rsidR="00E82754">
        <w:t xml:space="preserve"> units mature and become more experienced. </w:t>
      </w:r>
    </w:p>
    <w:p w14:paraId="64B13641" w14:textId="18E02C1C" w:rsidR="00533045" w:rsidRPr="00533045" w:rsidRDefault="00BA0388" w:rsidP="003E12B4">
      <w:pPr>
        <w:pStyle w:val="ListBullet"/>
      </w:pPr>
      <w:r w:rsidRPr="00BA0388">
        <w:rPr>
          <w:b/>
          <w:i/>
        </w:rPr>
        <w:t>Objectivity</w:t>
      </w:r>
      <w:r>
        <w:t xml:space="preserve"> is a </w:t>
      </w:r>
      <w:r w:rsidR="00682FA4">
        <w:t xml:space="preserve">key characteristic </w:t>
      </w:r>
      <w:r>
        <w:t xml:space="preserve">of delivering </w:t>
      </w:r>
      <w:r w:rsidR="00572F10">
        <w:t xml:space="preserve">effective </w:t>
      </w:r>
      <w:r>
        <w:t xml:space="preserve">assurance and insight and </w:t>
      </w:r>
      <w:r w:rsidR="00B47ACC">
        <w:t xml:space="preserve">should be an area of focus for new internal audit units to demonstrate to managers that they are capable of carrying out audit work independently and with high standards of integrity. </w:t>
      </w:r>
      <w:r w:rsidR="00B701B5">
        <w:t xml:space="preserve">Objectivity is also </w:t>
      </w:r>
      <w:r>
        <w:t xml:space="preserve">a feature of the way </w:t>
      </w:r>
      <w:r w:rsidR="0025314C">
        <w:t>internal audit</w:t>
      </w:r>
      <w:r>
        <w:t xml:space="preserve"> works</w:t>
      </w:r>
      <w:r w:rsidR="00E35FED">
        <w:t>,</w:t>
      </w:r>
      <w:r>
        <w:t xml:space="preserve"> generat</w:t>
      </w:r>
      <w:r w:rsidR="00E35FED">
        <w:t>ing</w:t>
      </w:r>
      <w:r>
        <w:t xml:space="preserve"> additional “objective activities” such as independent advice to management and investigation of potential frauds. </w:t>
      </w:r>
    </w:p>
    <w:p w14:paraId="08ECEEB4" w14:textId="186F82D7" w:rsidR="00C44E61" w:rsidRPr="005B5EF6" w:rsidRDefault="00C44E61">
      <w:pPr>
        <w:pStyle w:val="Heading3"/>
      </w:pPr>
      <w:bookmarkStart w:id="30" w:name="_Toc2767523"/>
      <w:r w:rsidRPr="005B5EF6">
        <w:t xml:space="preserve">A Unique Value Proposition for Public Sector </w:t>
      </w:r>
      <w:r w:rsidR="0025314C" w:rsidRPr="005B5EF6">
        <w:t>internal audit</w:t>
      </w:r>
      <w:r w:rsidR="00BA0388" w:rsidRPr="005B5EF6">
        <w:t xml:space="preserve"> </w:t>
      </w:r>
      <w:r w:rsidR="00967A64" w:rsidRPr="005B5EF6">
        <w:t xml:space="preserve">in </w:t>
      </w:r>
      <w:r w:rsidR="005147BE" w:rsidRPr="005B5EF6">
        <w:t xml:space="preserve">PEMPAL </w:t>
      </w:r>
      <w:r w:rsidR="005563FA">
        <w:t>countries</w:t>
      </w:r>
      <w:bookmarkEnd w:id="30"/>
    </w:p>
    <w:p w14:paraId="23AC20F4" w14:textId="34C5E3E5" w:rsidR="00C44E61" w:rsidRPr="00CC41BD" w:rsidRDefault="00522D81" w:rsidP="007D3277">
      <w:pPr>
        <w:pStyle w:val="bulletsItalics"/>
        <w:numPr>
          <w:ilvl w:val="0"/>
          <w:numId w:val="0"/>
        </w:numPr>
        <w:rPr>
          <w:i w:val="0"/>
        </w:rPr>
      </w:pPr>
      <w:r>
        <w:rPr>
          <w:i w:val="0"/>
        </w:rPr>
        <w:t>PEMPAL suggest</w:t>
      </w:r>
      <w:r w:rsidR="004D4194">
        <w:rPr>
          <w:i w:val="0"/>
        </w:rPr>
        <w:t>s that</w:t>
      </w:r>
      <w:r>
        <w:rPr>
          <w:i w:val="0"/>
        </w:rPr>
        <w:t xml:space="preserve"> </w:t>
      </w:r>
      <w:r w:rsidR="00227BA7">
        <w:rPr>
          <w:i w:val="0"/>
        </w:rPr>
        <w:t xml:space="preserve">heads </w:t>
      </w:r>
      <w:r w:rsidR="00D36518">
        <w:rPr>
          <w:i w:val="0"/>
        </w:rPr>
        <w:t xml:space="preserve">of </w:t>
      </w:r>
      <w:r w:rsidR="00227BA7">
        <w:rPr>
          <w:i w:val="0"/>
        </w:rPr>
        <w:t xml:space="preserve">internal audit </w:t>
      </w:r>
      <w:r w:rsidR="00D36518">
        <w:rPr>
          <w:i w:val="0"/>
        </w:rPr>
        <w:t>functions (HIAs)</w:t>
      </w:r>
      <w:r w:rsidR="00D36518">
        <w:rPr>
          <w:rStyle w:val="FootnoteReference"/>
          <w:i w:val="0"/>
        </w:rPr>
        <w:footnoteReference w:id="5"/>
      </w:r>
      <w:r w:rsidR="00D36518">
        <w:rPr>
          <w:i w:val="0"/>
        </w:rPr>
        <w:t xml:space="preserve"> </w:t>
      </w:r>
      <w:r w:rsidR="009173D8">
        <w:rPr>
          <w:i w:val="0"/>
        </w:rPr>
        <w:t xml:space="preserve">supplement </w:t>
      </w:r>
      <w:r w:rsidR="00BA0388">
        <w:rPr>
          <w:i w:val="0"/>
        </w:rPr>
        <w:t xml:space="preserve">the generic </w:t>
      </w:r>
      <w:r w:rsidR="009173D8">
        <w:rPr>
          <w:i w:val="0"/>
        </w:rPr>
        <w:t xml:space="preserve">IIA </w:t>
      </w:r>
      <w:r w:rsidR="00BA0388">
        <w:rPr>
          <w:i w:val="0"/>
        </w:rPr>
        <w:t xml:space="preserve">value proposition </w:t>
      </w:r>
      <w:r w:rsidR="009173D8">
        <w:rPr>
          <w:i w:val="0"/>
        </w:rPr>
        <w:t>above</w:t>
      </w:r>
      <w:r w:rsidR="00227BA7">
        <w:rPr>
          <w:i w:val="0"/>
        </w:rPr>
        <w:t xml:space="preserve"> by</w:t>
      </w:r>
      <w:r w:rsidR="003F2BEA">
        <w:rPr>
          <w:i w:val="0"/>
        </w:rPr>
        <w:t xml:space="preserve"> </w:t>
      </w:r>
      <w:r w:rsidR="00C44E61" w:rsidRPr="00CC41BD">
        <w:rPr>
          <w:i w:val="0"/>
        </w:rPr>
        <w:t>develop</w:t>
      </w:r>
      <w:r w:rsidR="00227BA7">
        <w:rPr>
          <w:i w:val="0"/>
        </w:rPr>
        <w:t>ing</w:t>
      </w:r>
      <w:r w:rsidR="00C44E61" w:rsidRPr="00CC41BD">
        <w:rPr>
          <w:i w:val="0"/>
        </w:rPr>
        <w:t xml:space="preserve"> a unique value proposition </w:t>
      </w:r>
      <w:r w:rsidR="00E82754">
        <w:rPr>
          <w:i w:val="0"/>
        </w:rPr>
        <w:t xml:space="preserve">reflecting their </w:t>
      </w:r>
      <w:r w:rsidR="00056DB1">
        <w:rPr>
          <w:i w:val="0"/>
        </w:rPr>
        <w:t xml:space="preserve">unit’s </w:t>
      </w:r>
      <w:r w:rsidR="00E82754">
        <w:rPr>
          <w:i w:val="0"/>
        </w:rPr>
        <w:t xml:space="preserve">particular strengths. This could be used to remind </w:t>
      </w:r>
      <w:r w:rsidR="009173D8">
        <w:rPr>
          <w:i w:val="0"/>
        </w:rPr>
        <w:t xml:space="preserve">managers </w:t>
      </w:r>
      <w:r w:rsidR="00E82754">
        <w:rPr>
          <w:i w:val="0"/>
        </w:rPr>
        <w:t>of t</w:t>
      </w:r>
      <w:r w:rsidR="009173D8">
        <w:rPr>
          <w:i w:val="0"/>
        </w:rPr>
        <w:t xml:space="preserve">he specific advantages of using </w:t>
      </w:r>
      <w:r w:rsidR="0025314C">
        <w:rPr>
          <w:i w:val="0"/>
        </w:rPr>
        <w:t>internal audit</w:t>
      </w:r>
      <w:r w:rsidR="009876BD">
        <w:rPr>
          <w:i w:val="0"/>
        </w:rPr>
        <w:t xml:space="preserve"> to carry out work over other alternatives</w:t>
      </w:r>
      <w:r w:rsidR="009173D8">
        <w:rPr>
          <w:i w:val="0"/>
        </w:rPr>
        <w:t xml:space="preserve"> (</w:t>
      </w:r>
      <w:r w:rsidR="009876BD">
        <w:rPr>
          <w:i w:val="0"/>
        </w:rPr>
        <w:t>for example private sector consultants</w:t>
      </w:r>
      <w:r w:rsidR="009173D8">
        <w:rPr>
          <w:i w:val="0"/>
        </w:rPr>
        <w:t>)</w:t>
      </w:r>
      <w:r w:rsidR="009876BD">
        <w:rPr>
          <w:i w:val="0"/>
        </w:rPr>
        <w:t xml:space="preserve">.  </w:t>
      </w:r>
      <w:r w:rsidR="00C44E61">
        <w:rPr>
          <w:i w:val="0"/>
        </w:rPr>
        <w:t xml:space="preserve"> </w:t>
      </w:r>
      <w:r w:rsidR="009173D8">
        <w:rPr>
          <w:i w:val="0"/>
        </w:rPr>
        <w:t xml:space="preserve">PEMPAL </w:t>
      </w:r>
      <w:r w:rsidR="00A3636C">
        <w:rPr>
          <w:i w:val="0"/>
        </w:rPr>
        <w:t>examples</w:t>
      </w:r>
      <w:r w:rsidR="00E82754">
        <w:rPr>
          <w:i w:val="0"/>
        </w:rPr>
        <w:t xml:space="preserve"> and how these might </w:t>
      </w:r>
      <w:r w:rsidR="00572F10">
        <w:rPr>
          <w:i w:val="0"/>
        </w:rPr>
        <w:t>b</w:t>
      </w:r>
      <w:r w:rsidR="00E82754">
        <w:rPr>
          <w:i w:val="0"/>
        </w:rPr>
        <w:t xml:space="preserve">e presented </w:t>
      </w:r>
      <w:r w:rsidR="00A3636C">
        <w:rPr>
          <w:i w:val="0"/>
        </w:rPr>
        <w:t>include</w:t>
      </w:r>
      <w:r w:rsidR="00572F10">
        <w:rPr>
          <w:i w:val="0"/>
        </w:rPr>
        <w:t>:</w:t>
      </w:r>
    </w:p>
    <w:p w14:paraId="1D79072F" w14:textId="65C57E4B" w:rsidR="00C44E61" w:rsidRPr="00CC41BD" w:rsidRDefault="00C44E61" w:rsidP="003E12B4">
      <w:pPr>
        <w:pStyle w:val="ListBullet"/>
      </w:pPr>
      <w:r w:rsidRPr="007D2F6D">
        <w:rPr>
          <w:b/>
        </w:rPr>
        <w:t>Knowledge</w:t>
      </w:r>
      <w:r w:rsidR="007D2F6D" w:rsidRPr="007D2F6D">
        <w:rPr>
          <w:b/>
        </w:rPr>
        <w:t xml:space="preserve"> &amp; Focus</w:t>
      </w:r>
      <w:r w:rsidRPr="00CC41BD">
        <w:t xml:space="preserve"> – </w:t>
      </w:r>
      <w:r w:rsidR="00E82754" w:rsidRPr="00E82754">
        <w:t>“</w:t>
      </w:r>
      <w:r w:rsidRPr="00E82754">
        <w:t>I have knowledge of your business</w:t>
      </w:r>
      <w:r w:rsidR="007D2F6D" w:rsidRPr="00E82754">
        <w:t xml:space="preserve"> and my staff know how the public sector operates</w:t>
      </w:r>
      <w:r w:rsidR="00E82754" w:rsidRPr="00E82754">
        <w:t>”</w:t>
      </w:r>
    </w:p>
    <w:p w14:paraId="1B456343" w14:textId="3784E641" w:rsidR="00C44E61" w:rsidRPr="00E82754" w:rsidRDefault="00C44E61" w:rsidP="003E12B4">
      <w:pPr>
        <w:pStyle w:val="ListBullet"/>
      </w:pPr>
      <w:r w:rsidRPr="007D2F6D">
        <w:rPr>
          <w:b/>
        </w:rPr>
        <w:t>Capacity</w:t>
      </w:r>
      <w:r w:rsidR="007D2F6D" w:rsidRPr="007D2F6D">
        <w:rPr>
          <w:b/>
        </w:rPr>
        <w:t xml:space="preserve"> &amp; Professionalism</w:t>
      </w:r>
      <w:r w:rsidRPr="007D2F6D">
        <w:rPr>
          <w:b/>
        </w:rPr>
        <w:t xml:space="preserve"> </w:t>
      </w:r>
      <w:r w:rsidRPr="00CC41BD">
        <w:t xml:space="preserve">– </w:t>
      </w:r>
      <w:r w:rsidR="00E82754">
        <w:t>“</w:t>
      </w:r>
      <w:r w:rsidR="00572F10">
        <w:t>w</w:t>
      </w:r>
      <w:r w:rsidRPr="00E82754">
        <w:t xml:space="preserve">e are trained and </w:t>
      </w:r>
      <w:r w:rsidR="007D2F6D" w:rsidRPr="00E82754">
        <w:t>work to i</w:t>
      </w:r>
      <w:r w:rsidRPr="00E82754">
        <w:t xml:space="preserve">nternational </w:t>
      </w:r>
      <w:r w:rsidR="007D2F6D" w:rsidRPr="00E82754">
        <w:t xml:space="preserve">professional </w:t>
      </w:r>
      <w:r w:rsidRPr="00E82754">
        <w:t>standards</w:t>
      </w:r>
      <w:r w:rsidR="002D6056">
        <w:t xml:space="preserve"> and good practices relevant </w:t>
      </w:r>
      <w:r w:rsidR="009E1C5F">
        <w:t xml:space="preserve">to </w:t>
      </w:r>
      <w:r w:rsidR="002D6056">
        <w:t xml:space="preserve">public sector </w:t>
      </w:r>
      <w:r w:rsidR="0025314C">
        <w:t>internal audit</w:t>
      </w:r>
      <w:r w:rsidR="00E82754">
        <w:t>”</w:t>
      </w:r>
    </w:p>
    <w:p w14:paraId="549855E1" w14:textId="7E57496D" w:rsidR="00C44E61" w:rsidRPr="001A0C7C" w:rsidRDefault="00C44E61" w:rsidP="003E12B4">
      <w:pPr>
        <w:pStyle w:val="ListBullet"/>
      </w:pPr>
      <w:r w:rsidRPr="007D2F6D">
        <w:rPr>
          <w:b/>
        </w:rPr>
        <w:t xml:space="preserve">Speed </w:t>
      </w:r>
      <w:r w:rsidR="007D2F6D" w:rsidRPr="007D2F6D">
        <w:rPr>
          <w:b/>
        </w:rPr>
        <w:t xml:space="preserve">&amp; Cost </w:t>
      </w:r>
      <w:r w:rsidRPr="00CC41BD">
        <w:t xml:space="preserve">– </w:t>
      </w:r>
      <w:r w:rsidR="00E82754">
        <w:t>“</w:t>
      </w:r>
      <w:r w:rsidRPr="00E82754">
        <w:t>we can get going quickly</w:t>
      </w:r>
      <w:r w:rsidR="007D2F6D" w:rsidRPr="00E82754">
        <w:t xml:space="preserve"> (there is no need to issue contracts) and</w:t>
      </w:r>
      <w:r w:rsidRPr="00E82754">
        <w:t xml:space="preserve"> we are </w:t>
      </w:r>
      <w:r w:rsidR="003333F9">
        <w:t xml:space="preserve">a </w:t>
      </w:r>
      <w:r w:rsidRPr="00E82754">
        <w:t>cheap</w:t>
      </w:r>
      <w:r w:rsidR="007D2F6D" w:rsidRPr="00E82754">
        <w:t>er</w:t>
      </w:r>
      <w:r w:rsidRPr="00E82754">
        <w:t xml:space="preserve"> alternative to </w:t>
      </w:r>
      <w:r w:rsidR="007D2F6D" w:rsidRPr="00E82754">
        <w:t xml:space="preserve">most </w:t>
      </w:r>
      <w:r w:rsidRPr="00E82754">
        <w:t>external service providers</w:t>
      </w:r>
      <w:r w:rsidR="00E82754">
        <w:t>”</w:t>
      </w:r>
      <w:r w:rsidRPr="00E82754">
        <w:t xml:space="preserve">. </w:t>
      </w:r>
    </w:p>
    <w:p w14:paraId="75A8E450" w14:textId="6E997223" w:rsidR="002D6056" w:rsidRPr="001A0C7C" w:rsidRDefault="002D6056" w:rsidP="003E12B4">
      <w:pPr>
        <w:pStyle w:val="ListBullet"/>
      </w:pPr>
      <w:r>
        <w:rPr>
          <w:b/>
        </w:rPr>
        <w:t>Positioning – “</w:t>
      </w:r>
      <w:r w:rsidRPr="001A0C7C">
        <w:t xml:space="preserve">we </w:t>
      </w:r>
      <w:r w:rsidR="001A0C7C">
        <w:t xml:space="preserve">are </w:t>
      </w:r>
      <w:r w:rsidRPr="001A0C7C">
        <w:t>positioned inside the organization and closely engaged with the operational managers (1st line) and 2nd line of defense</w:t>
      </w:r>
      <w:r w:rsidR="002D0EEC">
        <w:rPr>
          <w:rStyle w:val="FootnoteReference"/>
        </w:rPr>
        <w:footnoteReference w:id="6"/>
      </w:r>
      <w:r w:rsidR="00046807">
        <w:t xml:space="preserve"> to </w:t>
      </w:r>
      <w:r w:rsidR="0040306D">
        <w:t>unders</w:t>
      </w:r>
      <w:r w:rsidR="003F2BEA">
        <w:t>t</w:t>
      </w:r>
      <w:r w:rsidR="0040306D">
        <w:t>and and help to improve risk management, governance, and controls.</w:t>
      </w:r>
      <w:r w:rsidRPr="001A0C7C">
        <w:t>”.</w:t>
      </w:r>
      <w:r>
        <w:rPr>
          <w:b/>
        </w:rPr>
        <w:t xml:space="preserve"> </w:t>
      </w:r>
    </w:p>
    <w:p w14:paraId="73780305" w14:textId="008214AC" w:rsidR="002D6056" w:rsidRDefault="002D6056" w:rsidP="003E12B4">
      <w:pPr>
        <w:pStyle w:val="ListBullet"/>
      </w:pPr>
      <w:r w:rsidRPr="001A0C7C">
        <w:rPr>
          <w:b/>
        </w:rPr>
        <w:t>Intent</w:t>
      </w:r>
      <w:r>
        <w:t xml:space="preserve"> – </w:t>
      </w:r>
      <w:r w:rsidRPr="001A0C7C">
        <w:t>“our key objective is to support the management and those charged with governance in protecti</w:t>
      </w:r>
      <w:r w:rsidR="00EF1F45">
        <w:t>ng</w:t>
      </w:r>
      <w:r w:rsidRPr="001A0C7C">
        <w:t xml:space="preserve"> and enhancing the value of the organization, and not seek </w:t>
      </w:r>
      <w:r>
        <w:t>(usually short term)</w:t>
      </w:r>
      <w:r w:rsidRPr="001A0C7C">
        <w:t xml:space="preserve"> wealth maximization from our engagement”</w:t>
      </w:r>
    </w:p>
    <w:p w14:paraId="34DEB0A4" w14:textId="0999F173" w:rsidR="00EB0282" w:rsidRDefault="009876BD" w:rsidP="007D3277">
      <w:pPr>
        <w:pStyle w:val="ListBullet"/>
      </w:pPr>
      <w:r w:rsidRPr="0010422E">
        <w:rPr>
          <w:b/>
        </w:rPr>
        <w:lastRenderedPageBreak/>
        <w:t xml:space="preserve">Independence </w:t>
      </w:r>
      <w:r w:rsidR="0010422E" w:rsidRPr="0010422E">
        <w:rPr>
          <w:b/>
        </w:rPr>
        <w:t>and integrity</w:t>
      </w:r>
      <w:r w:rsidR="0010422E">
        <w:t xml:space="preserve"> –</w:t>
      </w:r>
      <w:r>
        <w:t xml:space="preserve"> </w:t>
      </w:r>
      <w:r w:rsidR="00E82754">
        <w:t>“</w:t>
      </w:r>
      <w:r w:rsidR="00572F10">
        <w:t>w</w:t>
      </w:r>
      <w:r w:rsidR="0010422E" w:rsidRPr="00E82754">
        <w:t>e are independent of those we audit and have high standards of personal integrity: we will tell you what you need to know not what you want to hear.</w:t>
      </w:r>
      <w:r w:rsidR="00E82754">
        <w:t>”</w:t>
      </w:r>
      <w:r w:rsidR="0010422E">
        <w:t xml:space="preserve"> </w:t>
      </w:r>
    </w:p>
    <w:p w14:paraId="68C68613" w14:textId="71D074F2" w:rsidR="00FF511C" w:rsidRDefault="00FF511C" w:rsidP="00FF511C">
      <w:pPr>
        <w:pStyle w:val="Heading2"/>
      </w:pPr>
      <w:bookmarkStart w:id="31" w:name="_Toc2767524"/>
      <w:r>
        <w:t xml:space="preserve">What </w:t>
      </w:r>
      <w:r w:rsidR="0025314C">
        <w:t>internal audit</w:t>
      </w:r>
      <w:r w:rsidR="009173D8">
        <w:t xml:space="preserve"> </w:t>
      </w:r>
      <w:r>
        <w:t xml:space="preserve">activities </w:t>
      </w:r>
      <w:r w:rsidR="00330D20">
        <w:t xml:space="preserve">add the most </w:t>
      </w:r>
      <w:r>
        <w:t>value?</w:t>
      </w:r>
      <w:bookmarkEnd w:id="31"/>
    </w:p>
    <w:p w14:paraId="231265D7" w14:textId="36B537A9" w:rsidR="00FF511C" w:rsidRPr="00B22D1B" w:rsidRDefault="00FF511C" w:rsidP="007D3277">
      <w:pPr>
        <w:pStyle w:val="numberedparas"/>
        <w:numPr>
          <w:ilvl w:val="0"/>
          <w:numId w:val="0"/>
        </w:numPr>
      </w:pPr>
      <w:r w:rsidRPr="00B22D1B">
        <w:rPr>
          <w:rFonts w:cstheme="majorHAnsi"/>
        </w:rPr>
        <w:t xml:space="preserve">The </w:t>
      </w:r>
      <w:r w:rsidR="00B17EFB">
        <w:rPr>
          <w:rFonts w:cstheme="majorHAnsi"/>
        </w:rPr>
        <w:t xml:space="preserve">2015 </w:t>
      </w:r>
      <w:r>
        <w:rPr>
          <w:rFonts w:cstheme="majorHAnsi"/>
        </w:rPr>
        <w:t xml:space="preserve">CBOK </w:t>
      </w:r>
      <w:r w:rsidRPr="00B22D1B">
        <w:rPr>
          <w:rFonts w:cstheme="majorHAnsi"/>
        </w:rPr>
        <w:t xml:space="preserve">survey listed 14 internal audit activities and invited </w:t>
      </w:r>
      <w:r w:rsidR="001A0C7C">
        <w:rPr>
          <w:rFonts w:cstheme="majorHAnsi"/>
        </w:rPr>
        <w:t>HIA</w:t>
      </w:r>
      <w:r w:rsidRPr="00B22D1B">
        <w:rPr>
          <w:rFonts w:cstheme="majorHAnsi"/>
        </w:rPr>
        <w:t>s to select up to five that they believe bring the most value to their organizations</w:t>
      </w:r>
      <w:r w:rsidR="00FA1A48">
        <w:rPr>
          <w:rStyle w:val="FootnoteReference"/>
          <w:rFonts w:cstheme="majorHAnsi"/>
        </w:rPr>
        <w:footnoteReference w:id="7"/>
      </w:r>
      <w:r w:rsidRPr="00B22D1B">
        <w:rPr>
          <w:rFonts w:cstheme="majorHAnsi"/>
        </w:rPr>
        <w:t xml:space="preserve">. </w:t>
      </w:r>
      <w:r w:rsidRPr="00B22D1B">
        <w:t>The top nine responses using these five choices were</w:t>
      </w:r>
      <w:r w:rsidR="007D36E9">
        <w:t>:</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656"/>
      </w:tblGrid>
      <w:tr w:rsidR="00FF511C" w:rsidRPr="00A0136C" w14:paraId="65FCDD19" w14:textId="77777777" w:rsidTr="000D19E0">
        <w:tc>
          <w:tcPr>
            <w:tcW w:w="6750" w:type="dxa"/>
          </w:tcPr>
          <w:p w14:paraId="13D9A1E7" w14:textId="77777777" w:rsidR="00FF511C" w:rsidRPr="00A0136C" w:rsidRDefault="00FF511C" w:rsidP="00A0136C">
            <w:pPr>
              <w:pStyle w:val="Table"/>
              <w:rPr>
                <w:rFonts w:ascii="Times New Roman" w:hAnsi="Times New Roman"/>
              </w:rPr>
            </w:pPr>
            <w:r w:rsidRPr="00A0136C">
              <w:t>1.</w:t>
            </w:r>
            <w:r>
              <w:t xml:space="preserve"> Assuring the adequacy and effectiveness </w:t>
            </w:r>
            <w:r w:rsidRPr="00A0136C">
              <w:t xml:space="preserve">of the internal control system </w:t>
            </w:r>
          </w:p>
        </w:tc>
        <w:tc>
          <w:tcPr>
            <w:tcW w:w="656" w:type="dxa"/>
          </w:tcPr>
          <w:p w14:paraId="1F24E89F" w14:textId="77777777" w:rsidR="00FF511C" w:rsidRPr="00A0136C" w:rsidRDefault="00FF511C" w:rsidP="00895C2B">
            <w:pPr>
              <w:pStyle w:val="Table"/>
            </w:pPr>
            <w:r>
              <w:t>86%</w:t>
            </w:r>
          </w:p>
        </w:tc>
      </w:tr>
      <w:tr w:rsidR="00FF511C" w:rsidRPr="00A0136C" w14:paraId="6371E54D" w14:textId="77777777" w:rsidTr="000D19E0">
        <w:tc>
          <w:tcPr>
            <w:tcW w:w="6750" w:type="dxa"/>
          </w:tcPr>
          <w:p w14:paraId="30BAF0E8" w14:textId="77777777" w:rsidR="00FF511C" w:rsidRDefault="00FF511C" w:rsidP="00895C2B">
            <w:pPr>
              <w:pStyle w:val="Table"/>
            </w:pPr>
            <w:r>
              <w:t xml:space="preserve">2. </w:t>
            </w:r>
            <w:r w:rsidRPr="00A0136C">
              <w:t>Recommending business improvement</w:t>
            </w:r>
          </w:p>
        </w:tc>
        <w:tc>
          <w:tcPr>
            <w:tcW w:w="656" w:type="dxa"/>
          </w:tcPr>
          <w:p w14:paraId="0EB8D28B" w14:textId="77777777" w:rsidR="00FF511C" w:rsidRPr="00A0136C" w:rsidRDefault="00FF511C" w:rsidP="00895C2B">
            <w:pPr>
              <w:pStyle w:val="Table"/>
            </w:pPr>
            <w:r>
              <w:t>55%</w:t>
            </w:r>
          </w:p>
        </w:tc>
      </w:tr>
      <w:tr w:rsidR="00FF511C" w:rsidRPr="00A0136C" w14:paraId="4294B1C7" w14:textId="77777777" w:rsidTr="000D19E0">
        <w:tc>
          <w:tcPr>
            <w:tcW w:w="6750" w:type="dxa"/>
          </w:tcPr>
          <w:p w14:paraId="2376ADC4" w14:textId="77777777" w:rsidR="00FF511C" w:rsidRPr="00A0136C" w:rsidRDefault="00FF511C" w:rsidP="00895C2B">
            <w:pPr>
              <w:pStyle w:val="Table"/>
            </w:pPr>
            <w:r>
              <w:t xml:space="preserve">3. </w:t>
            </w:r>
            <w:r w:rsidRPr="00A0136C">
              <w:t xml:space="preserve">Assuring the organization's risk management processes </w:t>
            </w:r>
          </w:p>
        </w:tc>
        <w:tc>
          <w:tcPr>
            <w:tcW w:w="656" w:type="dxa"/>
          </w:tcPr>
          <w:p w14:paraId="1AF4F62C" w14:textId="77777777" w:rsidR="00FF511C" w:rsidRPr="00A0136C" w:rsidRDefault="00FF511C" w:rsidP="00895C2B">
            <w:pPr>
              <w:pStyle w:val="Table"/>
            </w:pPr>
            <w:r>
              <w:t>53%</w:t>
            </w:r>
          </w:p>
        </w:tc>
      </w:tr>
      <w:tr w:rsidR="00FF511C" w:rsidRPr="00A0136C" w14:paraId="69D18169" w14:textId="77777777" w:rsidTr="000D19E0">
        <w:tc>
          <w:tcPr>
            <w:tcW w:w="6750" w:type="dxa"/>
          </w:tcPr>
          <w:p w14:paraId="5D74F72F" w14:textId="77777777" w:rsidR="00FF511C" w:rsidRPr="00A0136C" w:rsidRDefault="00FF511C" w:rsidP="00895C2B">
            <w:pPr>
              <w:pStyle w:val="Table"/>
            </w:pPr>
            <w:r>
              <w:t xml:space="preserve">4. </w:t>
            </w:r>
            <w:r w:rsidRPr="00A0136C">
              <w:t xml:space="preserve">Assuring regulatory compliance </w:t>
            </w:r>
          </w:p>
        </w:tc>
        <w:tc>
          <w:tcPr>
            <w:tcW w:w="656" w:type="dxa"/>
          </w:tcPr>
          <w:p w14:paraId="6B3BA262" w14:textId="77777777" w:rsidR="00FF511C" w:rsidRPr="00A0136C" w:rsidRDefault="00FF511C" w:rsidP="00895C2B">
            <w:pPr>
              <w:pStyle w:val="Table"/>
            </w:pPr>
            <w:r>
              <w:t>50%</w:t>
            </w:r>
          </w:p>
        </w:tc>
      </w:tr>
      <w:tr w:rsidR="00FF511C" w:rsidRPr="00A0136C" w14:paraId="549B2FCE" w14:textId="77777777" w:rsidTr="000D19E0">
        <w:tc>
          <w:tcPr>
            <w:tcW w:w="6750" w:type="dxa"/>
          </w:tcPr>
          <w:p w14:paraId="255E8412" w14:textId="77777777" w:rsidR="00FF511C" w:rsidRPr="00A0136C" w:rsidRDefault="00FF511C" w:rsidP="00895C2B">
            <w:pPr>
              <w:pStyle w:val="Table"/>
            </w:pPr>
            <w:r>
              <w:t xml:space="preserve">5. </w:t>
            </w:r>
            <w:r w:rsidRPr="00A0136C">
              <w:t xml:space="preserve">Informing and advising management </w:t>
            </w:r>
          </w:p>
        </w:tc>
        <w:tc>
          <w:tcPr>
            <w:tcW w:w="656" w:type="dxa"/>
          </w:tcPr>
          <w:p w14:paraId="35FD61BC" w14:textId="77777777" w:rsidR="00FF511C" w:rsidRPr="00A0136C" w:rsidRDefault="00FF511C" w:rsidP="00895C2B">
            <w:pPr>
              <w:pStyle w:val="Table"/>
            </w:pPr>
            <w:r>
              <w:t>40%</w:t>
            </w:r>
          </w:p>
        </w:tc>
      </w:tr>
      <w:tr w:rsidR="00FF511C" w:rsidRPr="00A0136C" w14:paraId="70990EF8" w14:textId="77777777" w:rsidTr="000D19E0">
        <w:tc>
          <w:tcPr>
            <w:tcW w:w="6750" w:type="dxa"/>
          </w:tcPr>
          <w:p w14:paraId="6085C8C0" w14:textId="77777777" w:rsidR="00FF511C" w:rsidRPr="00A0136C" w:rsidRDefault="00FF511C" w:rsidP="00895C2B">
            <w:pPr>
              <w:pStyle w:val="Table"/>
            </w:pPr>
            <w:r>
              <w:t xml:space="preserve">6. </w:t>
            </w:r>
            <w:r w:rsidRPr="00A0136C">
              <w:t xml:space="preserve">Identifying emerging risks </w:t>
            </w:r>
          </w:p>
        </w:tc>
        <w:tc>
          <w:tcPr>
            <w:tcW w:w="656" w:type="dxa"/>
          </w:tcPr>
          <w:p w14:paraId="07736291" w14:textId="77777777" w:rsidR="00FF511C" w:rsidRPr="00A0136C" w:rsidRDefault="00FF511C" w:rsidP="00895C2B">
            <w:pPr>
              <w:pStyle w:val="Table"/>
            </w:pPr>
            <w:r>
              <w:t>37%</w:t>
            </w:r>
          </w:p>
        </w:tc>
      </w:tr>
      <w:tr w:rsidR="00FF511C" w:rsidRPr="00A0136C" w14:paraId="4FD13EAF" w14:textId="77777777" w:rsidTr="000D19E0">
        <w:tc>
          <w:tcPr>
            <w:tcW w:w="6750" w:type="dxa"/>
          </w:tcPr>
          <w:p w14:paraId="3AE02612" w14:textId="77777777" w:rsidR="00FF511C" w:rsidRPr="00A0136C" w:rsidRDefault="00FF511C" w:rsidP="00895C2B">
            <w:pPr>
              <w:pStyle w:val="Table"/>
            </w:pPr>
            <w:r>
              <w:t xml:space="preserve">7. </w:t>
            </w:r>
            <w:r w:rsidRPr="00A0136C">
              <w:t xml:space="preserve">Assuring the organization's governance processes </w:t>
            </w:r>
          </w:p>
        </w:tc>
        <w:tc>
          <w:tcPr>
            <w:tcW w:w="656" w:type="dxa"/>
          </w:tcPr>
          <w:p w14:paraId="4421629F" w14:textId="77777777" w:rsidR="00FF511C" w:rsidRPr="00A0136C" w:rsidRDefault="00FF511C" w:rsidP="00895C2B">
            <w:pPr>
              <w:pStyle w:val="Table"/>
            </w:pPr>
            <w:r>
              <w:t>37%</w:t>
            </w:r>
          </w:p>
        </w:tc>
      </w:tr>
      <w:tr w:rsidR="00FF511C" w:rsidRPr="00A0136C" w14:paraId="18A8A97B" w14:textId="77777777" w:rsidTr="000D19E0">
        <w:tc>
          <w:tcPr>
            <w:tcW w:w="6750" w:type="dxa"/>
          </w:tcPr>
          <w:p w14:paraId="295EA002" w14:textId="77777777" w:rsidR="00FF511C" w:rsidRPr="00A0136C" w:rsidRDefault="00FF511C" w:rsidP="00895C2B">
            <w:pPr>
              <w:pStyle w:val="Table"/>
            </w:pPr>
            <w:r>
              <w:t xml:space="preserve">8. </w:t>
            </w:r>
            <w:r w:rsidRPr="00A0136C">
              <w:t xml:space="preserve">Investigating or deterring fraud </w:t>
            </w:r>
          </w:p>
        </w:tc>
        <w:tc>
          <w:tcPr>
            <w:tcW w:w="656" w:type="dxa"/>
          </w:tcPr>
          <w:p w14:paraId="2E2D3DCD" w14:textId="77777777" w:rsidR="00FF511C" w:rsidRPr="00A0136C" w:rsidRDefault="00FF511C" w:rsidP="00895C2B">
            <w:pPr>
              <w:pStyle w:val="Table"/>
            </w:pPr>
            <w:r>
              <w:t>29%</w:t>
            </w:r>
          </w:p>
        </w:tc>
      </w:tr>
      <w:tr w:rsidR="00FF511C" w:rsidRPr="00A0136C" w14:paraId="35CCD3E8" w14:textId="77777777" w:rsidTr="000D19E0">
        <w:tc>
          <w:tcPr>
            <w:tcW w:w="6750" w:type="dxa"/>
          </w:tcPr>
          <w:p w14:paraId="197A9C84" w14:textId="77777777" w:rsidR="00FF511C" w:rsidRPr="00A0136C" w:rsidRDefault="00FF511C" w:rsidP="00895C2B">
            <w:pPr>
              <w:pStyle w:val="Table"/>
            </w:pPr>
            <w:r>
              <w:t xml:space="preserve">9. </w:t>
            </w:r>
            <w:r w:rsidRPr="00A0136C">
              <w:t>Informing and advising the audit committee</w:t>
            </w:r>
          </w:p>
        </w:tc>
        <w:tc>
          <w:tcPr>
            <w:tcW w:w="656" w:type="dxa"/>
          </w:tcPr>
          <w:p w14:paraId="0FD33CB6" w14:textId="77777777" w:rsidR="00FF511C" w:rsidRPr="00A0136C" w:rsidRDefault="00FF511C" w:rsidP="00895C2B">
            <w:pPr>
              <w:pStyle w:val="Table"/>
            </w:pPr>
            <w:r>
              <w:t>28%</w:t>
            </w:r>
          </w:p>
        </w:tc>
      </w:tr>
    </w:tbl>
    <w:p w14:paraId="57F1CF20" w14:textId="599CF3B8" w:rsidR="00B17EFB" w:rsidRDefault="000D19E0" w:rsidP="007D3277">
      <w:pPr>
        <w:pStyle w:val="numberedparas"/>
        <w:numPr>
          <w:ilvl w:val="0"/>
          <w:numId w:val="0"/>
        </w:numPr>
      </w:pPr>
      <w:r>
        <w:t>PEMPAL</w:t>
      </w:r>
      <w:r w:rsidDel="000D19E0">
        <w:t xml:space="preserve"> </w:t>
      </w:r>
      <w:r w:rsidR="00B17EFB">
        <w:t xml:space="preserve">discussions </w:t>
      </w:r>
      <w:r w:rsidR="00EC1C4D">
        <w:t xml:space="preserve">confirmed </w:t>
      </w:r>
      <w:r w:rsidR="009B0EF0">
        <w:t xml:space="preserve">the </w:t>
      </w:r>
      <w:r w:rsidR="007108FA">
        <w:t>potential</w:t>
      </w:r>
      <w:r>
        <w:t xml:space="preserve"> of </w:t>
      </w:r>
      <w:r w:rsidR="009B0EF0">
        <w:t xml:space="preserve">all </w:t>
      </w:r>
      <w:r>
        <w:t xml:space="preserve">these activities </w:t>
      </w:r>
      <w:r w:rsidR="001C2DFE">
        <w:t>to</w:t>
      </w:r>
      <w:r w:rsidR="007108FA">
        <w:t xml:space="preserve"> </w:t>
      </w:r>
      <w:r w:rsidR="00B17EFB">
        <w:t>add value</w:t>
      </w:r>
      <w:r w:rsidR="0093767C">
        <w:t xml:space="preserve"> </w:t>
      </w:r>
      <w:r w:rsidR="00CC4A10">
        <w:t xml:space="preserve">although some (for example identifying emerging risks and assuring </w:t>
      </w:r>
      <w:r w:rsidR="00CC4A10" w:rsidRPr="00B17EFB">
        <w:t>the organization's governance processes</w:t>
      </w:r>
      <w:r w:rsidR="00CC4A10">
        <w:t xml:space="preserve">) </w:t>
      </w:r>
      <w:r w:rsidR="00E84DF0">
        <w:t>became more relevant</w:t>
      </w:r>
      <w:r w:rsidR="00CC4A10">
        <w:t xml:space="preserve"> </w:t>
      </w:r>
      <w:r w:rsidR="00141059">
        <w:t xml:space="preserve">only </w:t>
      </w:r>
      <w:r w:rsidR="00CC4A10">
        <w:t xml:space="preserve">as internal audit units </w:t>
      </w:r>
      <w:r w:rsidR="00BD1565">
        <w:t>gained</w:t>
      </w:r>
      <w:r w:rsidR="00CC4A10">
        <w:t xml:space="preserve"> experienced and matured</w:t>
      </w:r>
      <w:r w:rsidR="001C2DFE">
        <w:t>. PEMPAL</w:t>
      </w:r>
      <w:r w:rsidR="00E84DF0">
        <w:t xml:space="preserve"> </w:t>
      </w:r>
      <w:r w:rsidR="00570CAF">
        <w:t xml:space="preserve">additionally </w:t>
      </w:r>
      <w:r w:rsidR="008C233F">
        <w:t>point</w:t>
      </w:r>
      <w:r w:rsidR="00766B87">
        <w:t>s</w:t>
      </w:r>
      <w:r w:rsidR="008C233F">
        <w:t xml:space="preserve"> to the potential for internal audit</w:t>
      </w:r>
      <w:r w:rsidR="0093767C">
        <w:t xml:space="preserve"> </w:t>
      </w:r>
      <w:r w:rsidR="008C233F">
        <w:t xml:space="preserve">to </w:t>
      </w:r>
      <w:r w:rsidR="00570CAF" w:rsidRPr="00570CAF">
        <w:t>act as a training ground for future managers, help</w:t>
      </w:r>
      <w:r w:rsidR="00CC4A10">
        <w:t>ing</w:t>
      </w:r>
      <w:r w:rsidR="00570CAF" w:rsidRPr="00570CAF">
        <w:t xml:space="preserve"> create a culture for continuous improvements and act as an agent for change.</w:t>
      </w:r>
      <w:r w:rsidR="00A047A3">
        <w:t xml:space="preserve"> </w:t>
      </w:r>
    </w:p>
    <w:p w14:paraId="1DE43F51" w14:textId="5863933E" w:rsidR="009173D8" w:rsidRPr="00772F74" w:rsidRDefault="00330D20" w:rsidP="009173D8">
      <w:pPr>
        <w:pStyle w:val="Heading2"/>
      </w:pPr>
      <w:bookmarkStart w:id="32" w:name="_Toc2767525"/>
      <w:r w:rsidRPr="00330D20">
        <w:t xml:space="preserve">What </w:t>
      </w:r>
      <w:r w:rsidR="005E054C">
        <w:t xml:space="preserve">critical success </w:t>
      </w:r>
      <w:r w:rsidRPr="00330D20">
        <w:t xml:space="preserve">factors influence </w:t>
      </w:r>
      <w:r w:rsidR="00DF3319">
        <w:t>delivery</w:t>
      </w:r>
      <w:r w:rsidRPr="00330D20">
        <w:t xml:space="preserve"> of added value</w:t>
      </w:r>
      <w:r>
        <w:t>?</w:t>
      </w:r>
      <w:bookmarkEnd w:id="32"/>
      <w:r w:rsidR="009173D8" w:rsidRPr="00772F74">
        <w:t xml:space="preserve"> </w:t>
      </w:r>
    </w:p>
    <w:p w14:paraId="14E2095B" w14:textId="37126A48" w:rsidR="00831BB3" w:rsidRDefault="005B7A08" w:rsidP="007D3277">
      <w:pPr>
        <w:pStyle w:val="numberedparas"/>
        <w:numPr>
          <w:ilvl w:val="0"/>
          <w:numId w:val="0"/>
        </w:numPr>
      </w:pPr>
      <w:r>
        <w:t xml:space="preserve">PEMPAL </w:t>
      </w:r>
      <w:r w:rsidR="00B17EFB">
        <w:t>identif</w:t>
      </w:r>
      <w:r w:rsidR="00766B87">
        <w:t>ies</w:t>
      </w:r>
      <w:r w:rsidR="00B17EFB">
        <w:t xml:space="preserve"> </w:t>
      </w:r>
      <w:r w:rsidR="005E054C" w:rsidRPr="005E054C">
        <w:rPr>
          <w:b/>
        </w:rPr>
        <w:t>eight</w:t>
      </w:r>
      <w:r w:rsidR="00163FC0" w:rsidRPr="005E054C">
        <w:rPr>
          <w:b/>
        </w:rPr>
        <w:t xml:space="preserve"> </w:t>
      </w:r>
      <w:r w:rsidR="005E054C" w:rsidRPr="005E054C">
        <w:rPr>
          <w:b/>
        </w:rPr>
        <w:t xml:space="preserve">critical success </w:t>
      </w:r>
      <w:r w:rsidR="00163FC0" w:rsidRPr="005E054C">
        <w:rPr>
          <w:b/>
        </w:rPr>
        <w:t>factors</w:t>
      </w:r>
      <w:r w:rsidR="00163FC0">
        <w:t xml:space="preserve"> that influence the </w:t>
      </w:r>
      <w:r w:rsidR="003333F9" w:rsidRPr="003333F9">
        <w:t>effectiveness</w:t>
      </w:r>
      <w:r w:rsidR="00163FC0">
        <w:t xml:space="preserve"> of activities </w:t>
      </w:r>
      <w:r w:rsidR="00B17EFB">
        <w:t>undertaken</w:t>
      </w:r>
      <w:r w:rsidR="00163FC0">
        <w:t xml:space="preserve"> </w:t>
      </w:r>
      <w:r w:rsidR="00483D9A">
        <w:t xml:space="preserve">by internal audit </w:t>
      </w:r>
      <w:r w:rsidR="00163FC0">
        <w:t xml:space="preserve">in PEMPAL countries </w:t>
      </w:r>
      <w:r w:rsidR="003756D6">
        <w:t xml:space="preserve">and thus their ability </w:t>
      </w:r>
      <w:r w:rsidR="00831BB3">
        <w:t xml:space="preserve">to </w:t>
      </w:r>
      <w:r w:rsidR="00163FC0">
        <w:t xml:space="preserve">actually </w:t>
      </w:r>
      <w:r w:rsidR="00E82754">
        <w:t>deliver</w:t>
      </w:r>
      <w:r w:rsidR="00831BB3">
        <w:t xml:space="preserve"> added value</w:t>
      </w:r>
      <w:r w:rsidR="00163FC0">
        <w:t xml:space="preserve">. These </w:t>
      </w:r>
      <w:r w:rsidR="00131021">
        <w:t>are</w:t>
      </w:r>
      <w:r w:rsidR="00163FC0">
        <w:t>:</w:t>
      </w:r>
    </w:p>
    <w:p w14:paraId="21027759" w14:textId="09405989" w:rsidR="00FF511C" w:rsidRDefault="00831BB3" w:rsidP="00E270CC">
      <w:pPr>
        <w:pStyle w:val="ListBullet"/>
        <w:numPr>
          <w:ilvl w:val="0"/>
          <w:numId w:val="49"/>
        </w:numPr>
        <w:ind w:left="990"/>
      </w:pPr>
      <w:r>
        <w:t xml:space="preserve">The positioning of </w:t>
      </w:r>
      <w:r w:rsidR="0025314C">
        <w:t>internal audit</w:t>
      </w:r>
      <w:r>
        <w:t xml:space="preserve"> units in terms of </w:t>
      </w:r>
      <w:r w:rsidR="00D97AA5">
        <w:t xml:space="preserve">financial and structural </w:t>
      </w:r>
      <w:r w:rsidR="007D7388">
        <w:t>independence</w:t>
      </w:r>
      <w:r w:rsidR="003333F9">
        <w:t xml:space="preserve"> and </w:t>
      </w:r>
      <w:r w:rsidR="007D7388">
        <w:t>reporting lines</w:t>
      </w:r>
      <w:r w:rsidR="003333F9">
        <w:t>.</w:t>
      </w:r>
    </w:p>
    <w:p w14:paraId="5B3F853C" w14:textId="1A110352" w:rsidR="00831BB3" w:rsidRDefault="00831BB3" w:rsidP="00E270CC">
      <w:pPr>
        <w:pStyle w:val="ListBullet"/>
        <w:numPr>
          <w:ilvl w:val="0"/>
          <w:numId w:val="49"/>
        </w:numPr>
        <w:ind w:left="990"/>
      </w:pPr>
      <w:r>
        <w:t xml:space="preserve">The extent and quality of </w:t>
      </w:r>
      <w:r w:rsidR="000C7E3F">
        <w:t xml:space="preserve">internal audit </w:t>
      </w:r>
      <w:r w:rsidR="00B05680">
        <w:t xml:space="preserve">oversight and support by </w:t>
      </w:r>
      <w:r w:rsidR="000C7E3F">
        <w:t xml:space="preserve">audit committees </w:t>
      </w:r>
      <w:r w:rsidR="00B05680">
        <w:t xml:space="preserve">and a </w:t>
      </w:r>
      <w:r w:rsidR="000C7E3F">
        <w:t>central harmonization unit</w:t>
      </w:r>
      <w:r w:rsidR="007D3277">
        <w:t xml:space="preserve"> (where they exist)</w:t>
      </w:r>
      <w:r>
        <w:t xml:space="preserve">. </w:t>
      </w:r>
    </w:p>
    <w:p w14:paraId="439B2703" w14:textId="210EE99F" w:rsidR="00831BB3" w:rsidRDefault="00F0143B" w:rsidP="00E270CC">
      <w:pPr>
        <w:pStyle w:val="ListBullet"/>
        <w:numPr>
          <w:ilvl w:val="0"/>
          <w:numId w:val="49"/>
        </w:numPr>
        <w:ind w:left="990"/>
      </w:pPr>
      <w:r>
        <w:t>M</w:t>
      </w:r>
      <w:r w:rsidR="00075EA1">
        <w:t xml:space="preserve">anagers’ </w:t>
      </w:r>
      <w:r>
        <w:t xml:space="preserve">understanding </w:t>
      </w:r>
      <w:r w:rsidR="00831BB3">
        <w:t xml:space="preserve">of the role of </w:t>
      </w:r>
      <w:r w:rsidR="0025314C">
        <w:t>internal audit</w:t>
      </w:r>
      <w:r w:rsidR="00831BB3">
        <w:t xml:space="preserve"> and </w:t>
      </w:r>
      <w:r>
        <w:t xml:space="preserve">its potential </w:t>
      </w:r>
      <w:r w:rsidR="00831BB3">
        <w:t xml:space="preserve">benefits </w:t>
      </w:r>
      <w:r>
        <w:t>to</w:t>
      </w:r>
      <w:r w:rsidR="000B6ACB">
        <w:t xml:space="preserve"> them</w:t>
      </w:r>
      <w:r w:rsidR="00831BB3">
        <w:t xml:space="preserve">. </w:t>
      </w:r>
    </w:p>
    <w:p w14:paraId="218018D9" w14:textId="4715475B" w:rsidR="00831BB3" w:rsidRDefault="00831BB3" w:rsidP="00E270CC">
      <w:pPr>
        <w:pStyle w:val="ListBullet"/>
        <w:numPr>
          <w:ilvl w:val="0"/>
          <w:numId w:val="49"/>
        </w:numPr>
        <w:ind w:left="990"/>
      </w:pPr>
      <w:r>
        <w:t xml:space="preserve">The </w:t>
      </w:r>
      <w:r w:rsidR="007D7388">
        <w:t xml:space="preserve">extent to which </w:t>
      </w:r>
      <w:r w:rsidR="000B6ACB">
        <w:t xml:space="preserve">internal auditors </w:t>
      </w:r>
      <w:r w:rsidR="007D7388">
        <w:t xml:space="preserve">fully understand </w:t>
      </w:r>
      <w:r>
        <w:t>the business they are auditing</w:t>
      </w:r>
      <w:r w:rsidR="00B1539E">
        <w:t>.</w:t>
      </w:r>
    </w:p>
    <w:p w14:paraId="5D7B8645" w14:textId="74FAE5B1" w:rsidR="007D7388" w:rsidRDefault="00831BB3" w:rsidP="00E270CC">
      <w:pPr>
        <w:pStyle w:val="ListBullet"/>
        <w:numPr>
          <w:ilvl w:val="0"/>
          <w:numId w:val="49"/>
        </w:numPr>
        <w:ind w:left="990"/>
      </w:pPr>
      <w:r>
        <w:t xml:space="preserve">The competence of </w:t>
      </w:r>
      <w:r w:rsidR="00163FC0">
        <w:t>audit s</w:t>
      </w:r>
      <w:r>
        <w:t>taff undertaking audit work</w:t>
      </w:r>
      <w:r w:rsidR="00B1539E">
        <w:t>.</w:t>
      </w:r>
    </w:p>
    <w:p w14:paraId="7C574E1F" w14:textId="16E96581" w:rsidR="007D7388" w:rsidRDefault="007D7388" w:rsidP="00E270CC">
      <w:pPr>
        <w:pStyle w:val="ListBullet"/>
        <w:numPr>
          <w:ilvl w:val="0"/>
          <w:numId w:val="49"/>
        </w:numPr>
        <w:ind w:left="990"/>
      </w:pPr>
      <w:r>
        <w:lastRenderedPageBreak/>
        <w:t>The quality of the audit work undertaken</w:t>
      </w:r>
      <w:r w:rsidR="00B1539E">
        <w:t>.</w:t>
      </w:r>
    </w:p>
    <w:p w14:paraId="0E70BCDD" w14:textId="54253EBE" w:rsidR="00831BB3" w:rsidRDefault="007D7388" w:rsidP="00E270CC">
      <w:pPr>
        <w:pStyle w:val="ListBullet"/>
        <w:numPr>
          <w:ilvl w:val="0"/>
          <w:numId w:val="49"/>
        </w:numPr>
        <w:ind w:left="990"/>
      </w:pPr>
      <w:r>
        <w:t xml:space="preserve">How well </w:t>
      </w:r>
      <w:r w:rsidR="0025314C">
        <w:t>internal audit</w:t>
      </w:r>
      <w:r>
        <w:t xml:space="preserve"> communicates the audit</w:t>
      </w:r>
      <w:r w:rsidR="00E82754">
        <w:t xml:space="preserve"> findings </w:t>
      </w:r>
      <w:r>
        <w:t xml:space="preserve">and recommendations for action. </w:t>
      </w:r>
    </w:p>
    <w:p w14:paraId="3B094DC8" w14:textId="19B91551" w:rsidR="00670646" w:rsidRDefault="00670646" w:rsidP="00E270CC">
      <w:pPr>
        <w:pStyle w:val="ListBullet"/>
        <w:numPr>
          <w:ilvl w:val="0"/>
          <w:numId w:val="49"/>
        </w:numPr>
        <w:ind w:left="990"/>
      </w:pPr>
      <w:r>
        <w:t>The level of customer satisfaction</w:t>
      </w:r>
      <w:r w:rsidR="009173D8">
        <w:t xml:space="preserve"> with </w:t>
      </w:r>
      <w:r w:rsidR="0025314C">
        <w:t>internal audit</w:t>
      </w:r>
      <w:r w:rsidR="009173D8">
        <w:t xml:space="preserve"> services</w:t>
      </w:r>
      <w:r w:rsidR="00B1539E">
        <w:t>.</w:t>
      </w:r>
    </w:p>
    <w:p w14:paraId="3A5E979F" w14:textId="45EA8209" w:rsidR="00B05680" w:rsidRDefault="00B05680" w:rsidP="007D3277">
      <w:pPr>
        <w:pStyle w:val="numberedparas"/>
        <w:numPr>
          <w:ilvl w:val="0"/>
          <w:numId w:val="0"/>
        </w:numPr>
        <w:ind w:left="567" w:hanging="567"/>
      </w:pPr>
      <w:r>
        <w:t xml:space="preserve">Each of these </w:t>
      </w:r>
      <w:r w:rsidR="00131021">
        <w:t xml:space="preserve">critical success </w:t>
      </w:r>
      <w:r>
        <w:t>factors are considered further below.</w:t>
      </w:r>
    </w:p>
    <w:p w14:paraId="0B5C7D74" w14:textId="5235D29A" w:rsidR="00FF511C" w:rsidRPr="00670646" w:rsidRDefault="00670646" w:rsidP="00FF511C">
      <w:pPr>
        <w:pStyle w:val="Heading3"/>
      </w:pPr>
      <w:bookmarkStart w:id="33" w:name="_Toc2767526"/>
      <w:r w:rsidRPr="00670646">
        <w:t>The p</w:t>
      </w:r>
      <w:r w:rsidR="00FF511C" w:rsidRPr="00670646">
        <w:t>osition</w:t>
      </w:r>
      <w:r w:rsidRPr="00670646">
        <w:t xml:space="preserve">ing </w:t>
      </w:r>
      <w:r w:rsidR="00FF511C" w:rsidRPr="00670646">
        <w:t>of internal audit</w:t>
      </w:r>
      <w:bookmarkEnd w:id="33"/>
      <w:r w:rsidR="00FF511C" w:rsidRPr="00670646">
        <w:t xml:space="preserve"> </w:t>
      </w:r>
    </w:p>
    <w:p w14:paraId="7ED45489" w14:textId="7EFE111D" w:rsidR="0042789A" w:rsidRDefault="00B17EFB" w:rsidP="007D3277">
      <w:pPr>
        <w:pStyle w:val="numberedparas"/>
        <w:numPr>
          <w:ilvl w:val="0"/>
          <w:numId w:val="0"/>
        </w:numPr>
      </w:pPr>
      <w:r>
        <w:t xml:space="preserve">The </w:t>
      </w:r>
      <w:r w:rsidRPr="00B17EFB">
        <w:rPr>
          <w:b/>
        </w:rPr>
        <w:t>positioning</w:t>
      </w:r>
      <w:r>
        <w:t xml:space="preserve"> of </w:t>
      </w:r>
      <w:r w:rsidR="0025314C">
        <w:t>internal audit</w:t>
      </w:r>
      <w:r>
        <w:t xml:space="preserve"> in the </w:t>
      </w:r>
      <w:r w:rsidR="00994FFB">
        <w:t xml:space="preserve">public sector </w:t>
      </w:r>
      <w:r>
        <w:t>has a fundamental impact on its ability to deliver added value. There is a need for the role, functions</w:t>
      </w:r>
      <w:r w:rsidR="00B1539E">
        <w:t>,</w:t>
      </w:r>
      <w:r>
        <w:t xml:space="preserve"> and independence of </w:t>
      </w:r>
      <w:r w:rsidR="0025314C">
        <w:t>internal audit</w:t>
      </w:r>
      <w:r>
        <w:t xml:space="preserve"> to be guaranteed by relevant legislation and supporting regulations.</w:t>
      </w:r>
      <w:r w:rsidRPr="00B17EFB">
        <w:t xml:space="preserve"> </w:t>
      </w:r>
      <w:r>
        <w:t xml:space="preserve">The role of </w:t>
      </w:r>
      <w:r w:rsidR="0025314C">
        <w:t>internal audit</w:t>
      </w:r>
      <w:r>
        <w:t xml:space="preserve"> also needs to be clarified with regard to other audit and control bodies such as the </w:t>
      </w:r>
      <w:r w:rsidR="007A073E">
        <w:t xml:space="preserve">supreme audit institution </w:t>
      </w:r>
      <w:r>
        <w:t>(SAI)</w:t>
      </w:r>
      <w:r w:rsidR="00B1539E">
        <w:t>, financial controllers,</w:t>
      </w:r>
      <w:r>
        <w:t xml:space="preserve"> and </w:t>
      </w:r>
      <w:r w:rsidR="007A073E">
        <w:t xml:space="preserve">financial inspection </w:t>
      </w:r>
      <w:r>
        <w:t>service.</w:t>
      </w:r>
      <w:r>
        <w:rPr>
          <w:rStyle w:val="FootnoteReference"/>
        </w:rPr>
        <w:footnoteReference w:id="8"/>
      </w:r>
      <w:r w:rsidRPr="004B552C">
        <w:t> </w:t>
      </w:r>
      <w:r w:rsidR="007A073E">
        <w:t xml:space="preserve">Internal </w:t>
      </w:r>
      <w:r w:rsidR="0025314C">
        <w:t>audit</w:t>
      </w:r>
      <w:r>
        <w:t xml:space="preserve"> must have the organizational space to operate effectively and should ideally report directly to</w:t>
      </w:r>
      <w:r w:rsidR="007D3277">
        <w:t xml:space="preserve"> a single desig</w:t>
      </w:r>
      <w:r w:rsidR="00442475">
        <w:t xml:space="preserve">nated senior manager </w:t>
      </w:r>
      <w:r>
        <w:t>in the Ministry or Agency.</w:t>
      </w:r>
      <w:r>
        <w:rPr>
          <w:rStyle w:val="FootnoteReference"/>
        </w:rPr>
        <w:footnoteReference w:id="9"/>
      </w:r>
      <w:r>
        <w:t xml:space="preserve"> </w:t>
      </w:r>
      <w:r w:rsidR="00AE4C57">
        <w:t xml:space="preserve">Internal </w:t>
      </w:r>
      <w:r w:rsidR="0025314C">
        <w:t>audit</w:t>
      </w:r>
      <w:r>
        <w:t xml:space="preserve"> also needs to have sufficient funds to carry out its work </w:t>
      </w:r>
      <w:r>
        <w:t xml:space="preserve">and the </w:t>
      </w:r>
      <w:r w:rsidR="001A0C7C">
        <w:t>HIA</w:t>
      </w:r>
      <w:r>
        <w:t xml:space="preserve"> should ideally have full control over the budget. </w:t>
      </w:r>
    </w:p>
    <w:p w14:paraId="7EEA32A5" w14:textId="31834887" w:rsidR="00B17EFB" w:rsidRPr="00244D29" w:rsidRDefault="0042789A" w:rsidP="007D3277">
      <w:pPr>
        <w:pStyle w:val="numberedparas"/>
        <w:numPr>
          <w:ilvl w:val="0"/>
          <w:numId w:val="0"/>
        </w:numPr>
        <w:rPr>
          <w:u w:val="single"/>
        </w:rPr>
      </w:pPr>
      <w:r>
        <w:t xml:space="preserve">In many countries the </w:t>
      </w:r>
      <w:r w:rsidRPr="0042789A">
        <w:rPr>
          <w:b/>
        </w:rPr>
        <w:t xml:space="preserve">demand for </w:t>
      </w:r>
      <w:r w:rsidR="0025314C">
        <w:rPr>
          <w:b/>
        </w:rPr>
        <w:t>internal audit</w:t>
      </w:r>
      <w:r w:rsidRPr="0042789A">
        <w:rPr>
          <w:b/>
        </w:rPr>
        <w:t xml:space="preserve"> services</w:t>
      </w:r>
      <w:r>
        <w:t xml:space="preserve"> is driven by the decentralization of </w:t>
      </w:r>
      <w:r w:rsidR="00244D29">
        <w:t xml:space="preserve">budgets and related </w:t>
      </w:r>
      <w:r>
        <w:t xml:space="preserve">internal control responsibilities to individual ministries. </w:t>
      </w:r>
      <w:r w:rsidR="00244D29">
        <w:t>In this situation the minister is accountable for the effectiveness of internal control in safeguarding the funds provided to the Ministry. Consequently</w:t>
      </w:r>
      <w:r>
        <w:t xml:space="preserve">, senior </w:t>
      </w:r>
      <w:r w:rsidR="00442475">
        <w:t xml:space="preserve">management </w:t>
      </w:r>
      <w:r w:rsidR="00367DF7">
        <w:t>rely on</w:t>
      </w:r>
      <w:r>
        <w:t xml:space="preserve"> </w:t>
      </w:r>
      <w:r w:rsidR="0025314C">
        <w:t>internal audit</w:t>
      </w:r>
      <w:r>
        <w:t xml:space="preserve"> to help ensure that internal controls are working effectively.  This is the reason why </w:t>
      </w:r>
      <w:r w:rsidR="0025314C">
        <w:t>internal audit</w:t>
      </w:r>
      <w:r>
        <w:t xml:space="preserve"> reform is so often linked to the </w:t>
      </w:r>
      <w:r w:rsidR="00D0059C">
        <w:t xml:space="preserve">wider </w:t>
      </w:r>
      <w:r>
        <w:t xml:space="preserve">reform of </w:t>
      </w:r>
      <w:r w:rsidR="00054C75">
        <w:t>public financial management</w:t>
      </w:r>
      <w:r w:rsidR="00B1539E">
        <w:t xml:space="preserve"> or public administration</w:t>
      </w:r>
      <w:r>
        <w:t>.</w:t>
      </w:r>
      <w:r w:rsidR="00244D29">
        <w:t xml:space="preserve"> </w:t>
      </w:r>
    </w:p>
    <w:p w14:paraId="2ECE7725" w14:textId="627B3043" w:rsidR="0042789A" w:rsidRPr="0042789A" w:rsidRDefault="0042789A" w:rsidP="007D3277">
      <w:pPr>
        <w:pStyle w:val="numberedparas"/>
        <w:numPr>
          <w:ilvl w:val="0"/>
          <w:numId w:val="0"/>
        </w:numPr>
      </w:pPr>
      <w:r>
        <w:rPr>
          <w:b/>
        </w:rPr>
        <w:t xml:space="preserve">Centralizing </w:t>
      </w:r>
      <w:r w:rsidR="0025314C">
        <w:rPr>
          <w:b/>
        </w:rPr>
        <w:t>internal audit</w:t>
      </w:r>
      <w:r w:rsidR="00D0059C">
        <w:rPr>
          <w:b/>
        </w:rPr>
        <w:t xml:space="preserve"> work</w:t>
      </w:r>
      <w:r>
        <w:rPr>
          <w:b/>
        </w:rPr>
        <w:t xml:space="preserve">. </w:t>
      </w:r>
      <w:r>
        <w:t xml:space="preserve">There are two </w:t>
      </w:r>
      <w:r w:rsidR="00D0059C">
        <w:t xml:space="preserve">recent </w:t>
      </w:r>
      <w:r>
        <w:t>examples</w:t>
      </w:r>
      <w:r w:rsidR="00054C75">
        <w:t>,</w:t>
      </w:r>
      <w:r>
        <w:t xml:space="preserve"> in the Netherlands and the United Kingdom</w:t>
      </w:r>
      <w:r w:rsidR="00054C75">
        <w:t>,</w:t>
      </w:r>
      <w:r>
        <w:t xml:space="preserve"> where once separate </w:t>
      </w:r>
      <w:r w:rsidR="0025314C">
        <w:t>internal audit</w:t>
      </w:r>
      <w:r>
        <w:t xml:space="preserve"> units have been grouped into one centralized entity providing </w:t>
      </w:r>
      <w:r w:rsidR="00B1539E">
        <w:t xml:space="preserve">shared </w:t>
      </w:r>
      <w:r w:rsidR="0025314C">
        <w:t>internal audit</w:t>
      </w:r>
      <w:r>
        <w:t xml:space="preserve"> services for the whole of Government. This has been done to improve the effectiveness and efficiency of </w:t>
      </w:r>
      <w:r w:rsidR="0025314C">
        <w:t>internal audit</w:t>
      </w:r>
      <w:r>
        <w:t xml:space="preserve"> in those countries and to ensure that all </w:t>
      </w:r>
      <w:r w:rsidR="0025314C">
        <w:t>internal audit</w:t>
      </w:r>
      <w:r>
        <w:t xml:space="preserve"> units are operating to the same high professional standards. PEMPAL </w:t>
      </w:r>
      <w:r w:rsidR="005F438B">
        <w:t xml:space="preserve">discussions caution </w:t>
      </w:r>
      <w:r>
        <w:t xml:space="preserve">that such centralization would only be relevant in countries where </w:t>
      </w:r>
      <w:r w:rsidR="0025314C">
        <w:t>internal audit</w:t>
      </w:r>
      <w:r>
        <w:t xml:space="preserve"> was already well established </w:t>
      </w:r>
      <w:r w:rsidR="00D0059C">
        <w:t xml:space="preserve">in individual ministries and agencies </w:t>
      </w:r>
      <w:r>
        <w:t xml:space="preserve">and its role </w:t>
      </w:r>
      <w:r w:rsidR="00D0059C">
        <w:t xml:space="preserve">was </w:t>
      </w:r>
      <w:r>
        <w:t xml:space="preserve">fully understood. </w:t>
      </w:r>
      <w:r w:rsidR="00D0059C">
        <w:t>The</w:t>
      </w:r>
      <w:r>
        <w:t xml:space="preserve"> risk </w:t>
      </w:r>
      <w:r w:rsidR="00D0059C">
        <w:t xml:space="preserve">of centralizing </w:t>
      </w:r>
      <w:r w:rsidR="0025314C">
        <w:t>internal audit</w:t>
      </w:r>
      <w:r w:rsidR="00D0059C">
        <w:t xml:space="preserve"> too early in its development is that</w:t>
      </w:r>
      <w:r>
        <w:t xml:space="preserve"> the function would </w:t>
      </w:r>
      <w:r w:rsidR="00D0059C">
        <w:t>never fully evolve and would instead be seen a</w:t>
      </w:r>
      <w:r>
        <w:t xml:space="preserve">s </w:t>
      </w:r>
      <w:r w:rsidR="00D0059C">
        <w:t>another form of central</w:t>
      </w:r>
      <w:r>
        <w:t xml:space="preserve"> oversight </w:t>
      </w:r>
      <w:r w:rsidR="00B1539E">
        <w:t xml:space="preserve">or supervision </w:t>
      </w:r>
      <w:r>
        <w:t xml:space="preserve">by the </w:t>
      </w:r>
      <w:r w:rsidR="00E925E4">
        <w:t xml:space="preserve">Ministry </w:t>
      </w:r>
      <w:r>
        <w:t xml:space="preserve">of </w:t>
      </w:r>
      <w:r w:rsidR="00E925E4">
        <w:t>Finance/Government</w:t>
      </w:r>
      <w:r w:rsidR="00D0059C">
        <w:t>.</w:t>
      </w:r>
    </w:p>
    <w:p w14:paraId="752989EC" w14:textId="2AF7711A" w:rsidR="0042789A" w:rsidRDefault="0042789A" w:rsidP="0042789A">
      <w:pPr>
        <w:pStyle w:val="Heading3"/>
      </w:pPr>
      <w:bookmarkStart w:id="34" w:name="_Toc2767527"/>
      <w:r>
        <w:t xml:space="preserve">Oversight and </w:t>
      </w:r>
      <w:r w:rsidR="002172AA">
        <w:t>s</w:t>
      </w:r>
      <w:r>
        <w:t xml:space="preserve">upport of </w:t>
      </w:r>
      <w:r w:rsidR="0025314C">
        <w:t>internal audit</w:t>
      </w:r>
      <w:r>
        <w:t xml:space="preserve"> </w:t>
      </w:r>
      <w:r w:rsidR="00D97AA5">
        <w:t>function</w:t>
      </w:r>
      <w:bookmarkEnd w:id="34"/>
    </w:p>
    <w:p w14:paraId="6FF5A32C" w14:textId="7D144638" w:rsidR="0042789A" w:rsidRDefault="00B17EFB" w:rsidP="00442475">
      <w:pPr>
        <w:pStyle w:val="numberedparas"/>
        <w:numPr>
          <w:ilvl w:val="0"/>
          <w:numId w:val="0"/>
        </w:numPr>
      </w:pPr>
      <w:r>
        <w:t xml:space="preserve">The </w:t>
      </w:r>
      <w:r w:rsidRPr="0042789A">
        <w:t xml:space="preserve">oversight and support </w:t>
      </w:r>
      <w:r>
        <w:t xml:space="preserve">of </w:t>
      </w:r>
      <w:r w:rsidR="0025314C">
        <w:t>internal audit</w:t>
      </w:r>
      <w:r>
        <w:t xml:space="preserve"> is considered a key factor in helping </w:t>
      </w:r>
      <w:r w:rsidR="0025314C">
        <w:t>internal audit</w:t>
      </w:r>
      <w:r>
        <w:t xml:space="preserve"> add value. The creation of an </w:t>
      </w:r>
      <w:r w:rsidR="00C92185" w:rsidRPr="0042789A">
        <w:rPr>
          <w:b/>
        </w:rPr>
        <w:t>audit committee</w:t>
      </w:r>
      <w:r w:rsidR="00C92185">
        <w:t xml:space="preserve"> </w:t>
      </w:r>
      <w:r>
        <w:t xml:space="preserve">is the main way of providing this support. </w:t>
      </w:r>
      <w:r w:rsidR="00C92185" w:rsidRPr="00C92185">
        <w:t>Audit committee</w:t>
      </w:r>
      <w:r w:rsidR="00C92185">
        <w:t>s</w:t>
      </w:r>
      <w:r>
        <w:t>, among other things</w:t>
      </w:r>
      <w:r w:rsidR="00C92185">
        <w:t>,</w:t>
      </w:r>
      <w:r>
        <w:t xml:space="preserve"> provide a means of bringing auditors and management together to ensure that audit work is properly planned</w:t>
      </w:r>
      <w:r w:rsidR="000A466D">
        <w:t>, resourced,</w:t>
      </w:r>
      <w:r>
        <w:t xml:space="preserve"> and that recommendations for improvement are acted upon. </w:t>
      </w:r>
    </w:p>
    <w:p w14:paraId="342F87FA" w14:textId="068EF46E" w:rsidR="0042789A" w:rsidRDefault="00E925E4" w:rsidP="00442475">
      <w:pPr>
        <w:pStyle w:val="numberedparas"/>
        <w:numPr>
          <w:ilvl w:val="0"/>
          <w:numId w:val="0"/>
        </w:numPr>
      </w:pPr>
      <w:r>
        <w:lastRenderedPageBreak/>
        <w:t xml:space="preserve">Internal </w:t>
      </w:r>
      <w:r w:rsidR="0025314C">
        <w:t>audit</w:t>
      </w:r>
      <w:r w:rsidR="00B17EFB">
        <w:t xml:space="preserve"> can also receive support and oversight from an effective </w:t>
      </w:r>
      <w:r w:rsidR="00C3603E" w:rsidRPr="0042789A">
        <w:rPr>
          <w:b/>
        </w:rPr>
        <w:t>central harmoni</w:t>
      </w:r>
      <w:r w:rsidR="00C3603E">
        <w:rPr>
          <w:b/>
        </w:rPr>
        <w:t>z</w:t>
      </w:r>
      <w:r w:rsidR="00C3603E" w:rsidRPr="0042789A">
        <w:rPr>
          <w:b/>
        </w:rPr>
        <w:t>ation unit</w:t>
      </w:r>
      <w:r w:rsidR="00B17EFB">
        <w:t xml:space="preserve">. </w:t>
      </w:r>
      <w:r w:rsidR="0042789A">
        <w:t xml:space="preserve">One of the </w:t>
      </w:r>
      <w:r w:rsidR="00BA2C58">
        <w:t xml:space="preserve">its </w:t>
      </w:r>
      <w:r w:rsidR="0042789A">
        <w:t xml:space="preserve">primary roles is to promote the </w:t>
      </w:r>
      <w:r w:rsidR="00970BE8">
        <w:t>internal audit</w:t>
      </w:r>
      <w:r w:rsidR="0042789A">
        <w:t xml:space="preserve"> function and to put in place the laws, regulations</w:t>
      </w:r>
      <w:r w:rsidR="00D13C30">
        <w:t>,</w:t>
      </w:r>
      <w:r w:rsidR="0042789A">
        <w:t xml:space="preserve"> and guidance and training to ensure that </w:t>
      </w:r>
      <w:r w:rsidR="00970BE8">
        <w:t>internal audit</w:t>
      </w:r>
      <w:r w:rsidR="0042789A">
        <w:t xml:space="preserve"> units are properly positioned in the public sector. </w:t>
      </w:r>
      <w:r w:rsidR="00B17EFB">
        <w:t xml:space="preserve">Many </w:t>
      </w:r>
      <w:r w:rsidR="00D13C30" w:rsidRPr="00D13C30">
        <w:t>central harmonization unit</w:t>
      </w:r>
      <w:r w:rsidR="00D13C30">
        <w:t>s</w:t>
      </w:r>
      <w:r w:rsidR="00D13C30" w:rsidRPr="00D13C30">
        <w:t xml:space="preserve"> </w:t>
      </w:r>
      <w:r w:rsidR="00B17EFB">
        <w:t xml:space="preserve">provide annual reports on the evolution of the </w:t>
      </w:r>
      <w:r w:rsidR="00970BE8">
        <w:t>internal audit</w:t>
      </w:r>
      <w:r w:rsidR="00B17EFB">
        <w:t xml:space="preserve"> function and also promote success stories. </w:t>
      </w:r>
      <w:r w:rsidR="0042789A">
        <w:t xml:space="preserve">These annual reports on </w:t>
      </w:r>
      <w:r w:rsidR="00970BE8">
        <w:t>internal audit</w:t>
      </w:r>
      <w:r w:rsidR="0042789A">
        <w:t xml:space="preserve"> development and outputs may also be considered by the Government and</w:t>
      </w:r>
      <w:r w:rsidR="00D0059C">
        <w:t>/or</w:t>
      </w:r>
      <w:r w:rsidR="0042789A">
        <w:t xml:space="preserve"> Parliament. </w:t>
      </w:r>
    </w:p>
    <w:p w14:paraId="6BDC4F96" w14:textId="42AE4EE4" w:rsidR="00B17EFB" w:rsidRPr="004B552C" w:rsidRDefault="00BD76F1" w:rsidP="00442475">
      <w:pPr>
        <w:pStyle w:val="numberedparas"/>
        <w:numPr>
          <w:ilvl w:val="0"/>
          <w:numId w:val="0"/>
        </w:numPr>
      </w:pPr>
      <w:r>
        <w:t xml:space="preserve">Internal </w:t>
      </w:r>
      <w:r w:rsidR="00970BE8">
        <w:t>audit</w:t>
      </w:r>
      <w:r w:rsidR="00B17EFB">
        <w:t xml:space="preserve"> units can also benefit from support from the SAI</w:t>
      </w:r>
      <w:r w:rsidR="00D0059C">
        <w:t>,</w:t>
      </w:r>
      <w:r w:rsidR="00B17EFB">
        <w:t xml:space="preserve"> particularly where reliance on the work of </w:t>
      </w:r>
      <w:r w:rsidR="00970BE8">
        <w:t>internal audit</w:t>
      </w:r>
      <w:r w:rsidR="00B17EFB">
        <w:t xml:space="preserve"> </w:t>
      </w:r>
      <w:r w:rsidR="007D7957">
        <w:t>i</w:t>
      </w:r>
      <w:r w:rsidR="00B17EFB">
        <w:t xml:space="preserve">s </w:t>
      </w:r>
      <w:r w:rsidR="007D7957">
        <w:t xml:space="preserve">part of </w:t>
      </w:r>
      <w:r w:rsidR="00A318EA">
        <w:t>the SAI</w:t>
      </w:r>
      <w:r w:rsidR="007D7957">
        <w:t>’s</w:t>
      </w:r>
      <w:r w:rsidR="00A318EA">
        <w:t xml:space="preserve"> </w:t>
      </w:r>
      <w:r w:rsidR="00787CD6">
        <w:t>a</w:t>
      </w:r>
      <w:r w:rsidR="00B17EFB">
        <w:t xml:space="preserve">udit of </w:t>
      </w:r>
      <w:r w:rsidR="00787CD6">
        <w:t>g</w:t>
      </w:r>
      <w:r w:rsidR="00B17EFB">
        <w:t xml:space="preserve">overnment. </w:t>
      </w:r>
    </w:p>
    <w:p w14:paraId="687C2BF7" w14:textId="34155C2B" w:rsidR="00FF511C" w:rsidRDefault="00670646" w:rsidP="00FF511C">
      <w:pPr>
        <w:pStyle w:val="Heading3"/>
      </w:pPr>
      <w:bookmarkStart w:id="35" w:name="_Toc2767528"/>
      <w:r>
        <w:t>The level of a</w:t>
      </w:r>
      <w:r w:rsidR="00FF511C">
        <w:t xml:space="preserve">wareness of </w:t>
      </w:r>
      <w:r w:rsidR="00970BE8">
        <w:t>internal audit</w:t>
      </w:r>
      <w:r w:rsidR="00FF511C">
        <w:t xml:space="preserve"> </w:t>
      </w:r>
      <w:r>
        <w:t>role</w:t>
      </w:r>
      <w:bookmarkEnd w:id="35"/>
    </w:p>
    <w:p w14:paraId="522EAB10" w14:textId="38A034BD" w:rsidR="00B05680" w:rsidRDefault="002E6420" w:rsidP="00442475">
      <w:pPr>
        <w:pStyle w:val="numberedparas"/>
        <w:numPr>
          <w:ilvl w:val="0"/>
          <w:numId w:val="0"/>
        </w:numPr>
      </w:pPr>
      <w:r>
        <w:t xml:space="preserve">Internal </w:t>
      </w:r>
      <w:r w:rsidR="00970BE8">
        <w:t>audit</w:t>
      </w:r>
      <w:r w:rsidR="00376B73">
        <w:t xml:space="preserve"> can</w:t>
      </w:r>
      <w:r w:rsidR="00B05680">
        <w:t xml:space="preserve">not add value if there is no demand for the service it provides. </w:t>
      </w:r>
      <w:r w:rsidR="00787CD6">
        <w:t xml:space="preserve">In addition, </w:t>
      </w:r>
      <w:r w:rsidR="00B05680">
        <w:t xml:space="preserve">managers will not </w:t>
      </w:r>
      <w:r w:rsidR="00777DC8">
        <w:t>engage</w:t>
      </w:r>
      <w:r w:rsidR="00B05680">
        <w:t xml:space="preserve"> </w:t>
      </w:r>
      <w:r w:rsidR="00970BE8">
        <w:t>internal audit</w:t>
      </w:r>
      <w:r w:rsidR="00B05680">
        <w:t xml:space="preserve"> if they are not aware of what </w:t>
      </w:r>
      <w:r w:rsidR="00760762">
        <w:t>it</w:t>
      </w:r>
      <w:r w:rsidR="00B05680">
        <w:t xml:space="preserve"> is and what it can do for them. In most PEMPAL countries </w:t>
      </w:r>
      <w:r w:rsidR="00D0059C">
        <w:t>p</w:t>
      </w:r>
      <w:r w:rsidR="00B05680">
        <w:t xml:space="preserve">ublic </w:t>
      </w:r>
      <w:r w:rsidR="00D0059C">
        <w:t>s</w:t>
      </w:r>
      <w:r w:rsidR="00B05680">
        <w:t xml:space="preserve">ector </w:t>
      </w:r>
      <w:r w:rsidR="00970BE8">
        <w:t>internal audit</w:t>
      </w:r>
      <w:r w:rsidR="00B05680">
        <w:t xml:space="preserve"> is a new function that has been introduced in response to pressure from donors and/or the European Union. Rarely has </w:t>
      </w:r>
      <w:r w:rsidR="00970BE8">
        <w:t>internal audit</w:t>
      </w:r>
      <w:r w:rsidR="00B05680">
        <w:t xml:space="preserve"> been introduced at the request of public sector managers. All this means that a key task </w:t>
      </w:r>
      <w:r w:rsidR="00D0059C">
        <w:t xml:space="preserve">of both </w:t>
      </w:r>
      <w:r w:rsidR="00AA029F" w:rsidRPr="00D13C30">
        <w:t>central harmonization unit</w:t>
      </w:r>
      <w:r w:rsidR="00D0059C">
        <w:t xml:space="preserve">s and </w:t>
      </w:r>
      <w:r w:rsidR="001A0C7C">
        <w:t>HIA</w:t>
      </w:r>
      <w:r w:rsidR="00D0059C">
        <w:t xml:space="preserve">s </w:t>
      </w:r>
      <w:r w:rsidR="00B05680">
        <w:t>is to increase the awareness of managers of the role, functions</w:t>
      </w:r>
      <w:r w:rsidR="00DB780E">
        <w:t>,</w:t>
      </w:r>
      <w:r w:rsidR="00B05680">
        <w:t xml:space="preserve"> and utility of </w:t>
      </w:r>
      <w:r w:rsidR="00970BE8">
        <w:t>internal audit</w:t>
      </w:r>
      <w:r w:rsidR="00B05680">
        <w:t xml:space="preserve">. </w:t>
      </w:r>
    </w:p>
    <w:p w14:paraId="77D62F1C" w14:textId="0484A43E" w:rsidR="00B05680" w:rsidRPr="00B05680" w:rsidRDefault="00B05680" w:rsidP="00442475">
      <w:pPr>
        <w:pStyle w:val="numberedparas"/>
        <w:numPr>
          <w:ilvl w:val="0"/>
          <w:numId w:val="0"/>
        </w:numPr>
        <w:ind w:left="567" w:hanging="567"/>
      </w:pPr>
      <w:r>
        <w:t xml:space="preserve">PEMPAL </w:t>
      </w:r>
      <w:r w:rsidR="00787CD6">
        <w:t xml:space="preserve">ideas </w:t>
      </w:r>
      <w:r w:rsidR="00D0059C">
        <w:t xml:space="preserve">to </w:t>
      </w:r>
      <w:r w:rsidR="00EE43B8">
        <w:t xml:space="preserve">build </w:t>
      </w:r>
      <w:r w:rsidR="00D0059C">
        <w:t xml:space="preserve">awareness of </w:t>
      </w:r>
      <w:r w:rsidR="00970BE8">
        <w:t>internal audit</w:t>
      </w:r>
      <w:r w:rsidR="00D0059C">
        <w:t xml:space="preserve"> </w:t>
      </w:r>
      <w:r w:rsidR="00EE43B8">
        <w:t>include</w:t>
      </w:r>
      <w:r>
        <w:t>:</w:t>
      </w:r>
    </w:p>
    <w:p w14:paraId="3821637F" w14:textId="56EF90C6" w:rsidR="00B05680" w:rsidRPr="003E12B4" w:rsidRDefault="00EE5532" w:rsidP="003E12B4">
      <w:pPr>
        <w:pStyle w:val="ListBullet"/>
      </w:pPr>
      <w:r>
        <w:t>The c</w:t>
      </w:r>
      <w:r w:rsidR="00AA029F" w:rsidRPr="00D13C30">
        <w:t xml:space="preserve">entral harmonization unit </w:t>
      </w:r>
      <w:r>
        <w:t>should initiate</w:t>
      </w:r>
      <w:r w:rsidR="00787CD6" w:rsidRPr="003E12B4">
        <w:t xml:space="preserve"> </w:t>
      </w:r>
      <w:r w:rsidR="00B05680" w:rsidRPr="003E12B4">
        <w:t xml:space="preserve">regular meetings with senior managers to explain what </w:t>
      </w:r>
      <w:r w:rsidR="00970BE8">
        <w:t>internal audit</w:t>
      </w:r>
      <w:r w:rsidR="00B05680" w:rsidRPr="003E12B4">
        <w:t xml:space="preserve"> is and what it does. </w:t>
      </w:r>
    </w:p>
    <w:p w14:paraId="7EAF82DC" w14:textId="01BCDE74" w:rsidR="00FF511C" w:rsidRPr="003E12B4" w:rsidRDefault="00B05680" w:rsidP="003E12B4">
      <w:pPr>
        <w:pStyle w:val="ListBullet"/>
      </w:pPr>
      <w:r w:rsidRPr="003E12B4">
        <w:t xml:space="preserve">Collect </w:t>
      </w:r>
      <w:r w:rsidR="00E0343A">
        <w:t>examples of internal audit</w:t>
      </w:r>
      <w:r w:rsidR="00E0343A" w:rsidRPr="003E12B4">
        <w:t xml:space="preserve"> </w:t>
      </w:r>
      <w:r w:rsidR="00FF511C" w:rsidRPr="003E12B4">
        <w:t xml:space="preserve">good practice and </w:t>
      </w:r>
      <w:r w:rsidRPr="003E12B4">
        <w:t>disseminat</w:t>
      </w:r>
      <w:r w:rsidR="00E0343A">
        <w:t>e</w:t>
      </w:r>
      <w:r w:rsidRPr="003E12B4">
        <w:t xml:space="preserve"> to </w:t>
      </w:r>
      <w:r w:rsidR="00FF511C" w:rsidRPr="003E12B4">
        <w:t>relevant managers</w:t>
      </w:r>
      <w:r w:rsidRPr="003E12B4">
        <w:t xml:space="preserve"> and the public</w:t>
      </w:r>
      <w:r w:rsidR="00787CD6" w:rsidRPr="003E12B4">
        <w:t xml:space="preserve"> sector</w:t>
      </w:r>
      <w:r w:rsidRPr="003E12B4">
        <w:t xml:space="preserve"> at large. </w:t>
      </w:r>
    </w:p>
    <w:p w14:paraId="4E1B0DF8" w14:textId="11061C97" w:rsidR="00B05680" w:rsidRPr="003E12B4" w:rsidRDefault="00B05680" w:rsidP="003E12B4">
      <w:pPr>
        <w:pStyle w:val="ListBullet"/>
      </w:pPr>
      <w:r w:rsidRPr="003E12B4">
        <w:t>Includ</w:t>
      </w:r>
      <w:r w:rsidR="00606935">
        <w:t>e</w:t>
      </w:r>
      <w:r w:rsidRPr="003E12B4">
        <w:t xml:space="preserve"> </w:t>
      </w:r>
      <w:r w:rsidR="00490224">
        <w:t>internal audit</w:t>
      </w:r>
      <w:r w:rsidR="00490224" w:rsidRPr="003E12B4">
        <w:t xml:space="preserve"> </w:t>
      </w:r>
      <w:r w:rsidR="00490224">
        <w:t xml:space="preserve">as a </w:t>
      </w:r>
      <w:r w:rsidR="00787CD6" w:rsidRPr="003E12B4">
        <w:t xml:space="preserve">specific topic </w:t>
      </w:r>
      <w:r w:rsidRPr="003E12B4">
        <w:t>in any general t</w:t>
      </w:r>
      <w:r w:rsidR="00FF511C" w:rsidRPr="003E12B4">
        <w:t xml:space="preserve">raining of </w:t>
      </w:r>
      <w:r w:rsidRPr="003E12B4">
        <w:t>civil</w:t>
      </w:r>
      <w:r w:rsidR="00D0059C" w:rsidRPr="003E12B4">
        <w:t xml:space="preserve"> ser</w:t>
      </w:r>
      <w:r w:rsidRPr="003E12B4">
        <w:t xml:space="preserve">vants and </w:t>
      </w:r>
      <w:r w:rsidR="00FF511C" w:rsidRPr="003E12B4">
        <w:t xml:space="preserve">management </w:t>
      </w:r>
      <w:r w:rsidRPr="003E12B4">
        <w:t>– for example</w:t>
      </w:r>
      <w:r w:rsidR="00D0059C" w:rsidRPr="003E12B4">
        <w:t xml:space="preserve">, </w:t>
      </w:r>
      <w:r w:rsidRPr="003E12B4">
        <w:t>a one</w:t>
      </w:r>
      <w:r w:rsidR="00D0059C" w:rsidRPr="003E12B4">
        <w:t>-</w:t>
      </w:r>
      <w:r w:rsidRPr="003E12B4">
        <w:t xml:space="preserve">hour session on </w:t>
      </w:r>
      <w:r w:rsidR="00970BE8">
        <w:t>internal audit</w:t>
      </w:r>
      <w:r w:rsidR="00D0059C" w:rsidRPr="003E12B4">
        <w:t xml:space="preserve"> </w:t>
      </w:r>
      <w:r w:rsidR="00CF3AC8">
        <w:t>with</w:t>
      </w:r>
      <w:r w:rsidR="00D0059C" w:rsidRPr="003E12B4">
        <w:t>in a one</w:t>
      </w:r>
      <w:r w:rsidR="005B31E0">
        <w:t>-</w:t>
      </w:r>
      <w:r w:rsidR="00D0059C" w:rsidRPr="003E12B4">
        <w:t xml:space="preserve">day training course on internal control. </w:t>
      </w:r>
    </w:p>
    <w:p w14:paraId="2E3C33D9" w14:textId="32837D8F" w:rsidR="00FF511C" w:rsidRPr="003E12B4" w:rsidRDefault="00394A13" w:rsidP="003E12B4">
      <w:pPr>
        <w:pStyle w:val="ListBullet"/>
      </w:pPr>
      <w:r>
        <w:t xml:space="preserve">Organize </w:t>
      </w:r>
      <w:r w:rsidR="003E577E">
        <w:t>a</w:t>
      </w:r>
      <w:r w:rsidR="00B05680" w:rsidRPr="003E12B4">
        <w:t xml:space="preserve">n </w:t>
      </w:r>
      <w:r w:rsidR="00FF511C" w:rsidRPr="003E12B4">
        <w:t xml:space="preserve">awareness </w:t>
      </w:r>
      <w:r>
        <w:t xml:space="preserve">raising </w:t>
      </w:r>
      <w:r w:rsidR="00FF511C" w:rsidRPr="003E12B4">
        <w:t>campaign for head</w:t>
      </w:r>
      <w:r w:rsidR="00B05680" w:rsidRPr="003E12B4">
        <w:t>s</w:t>
      </w:r>
      <w:r w:rsidR="00FF511C" w:rsidRPr="003E12B4">
        <w:t xml:space="preserve"> of </w:t>
      </w:r>
      <w:r w:rsidR="00B05680" w:rsidRPr="003E12B4">
        <w:t>ministries and agencies.</w:t>
      </w:r>
    </w:p>
    <w:p w14:paraId="0252CB3B" w14:textId="0B568429" w:rsidR="00FF511C" w:rsidRPr="003E12B4" w:rsidRDefault="00394A13" w:rsidP="003E12B4">
      <w:pPr>
        <w:pStyle w:val="ListBullet"/>
      </w:pPr>
      <w:r>
        <w:t xml:space="preserve">Initiate </w:t>
      </w:r>
      <w:r w:rsidR="00B05680" w:rsidRPr="003E12B4">
        <w:t xml:space="preserve">awareness </w:t>
      </w:r>
      <w:r w:rsidR="00FF511C" w:rsidRPr="003E12B4">
        <w:t xml:space="preserve">raising </w:t>
      </w:r>
      <w:r>
        <w:t>activities together</w:t>
      </w:r>
      <w:r w:rsidR="00FF511C" w:rsidRPr="003E12B4">
        <w:t xml:space="preserve"> with </w:t>
      </w:r>
      <w:r w:rsidR="00B05680" w:rsidRPr="003E12B4">
        <w:t xml:space="preserve">the </w:t>
      </w:r>
      <w:r w:rsidR="00FF511C" w:rsidRPr="003E12B4">
        <w:t>SAI</w:t>
      </w:r>
      <w:r w:rsidR="00D0059C" w:rsidRPr="003E12B4">
        <w:t>.</w:t>
      </w:r>
    </w:p>
    <w:p w14:paraId="3D507D45" w14:textId="7ABF5E84" w:rsidR="00B714E5" w:rsidRPr="003E12B4" w:rsidRDefault="00194EE8" w:rsidP="003E12B4">
      <w:pPr>
        <w:pStyle w:val="ListBullet"/>
      </w:pPr>
      <w:r>
        <w:t>Introduce</w:t>
      </w:r>
      <w:r w:rsidR="00BC3077">
        <w:t xml:space="preserve"> a</w:t>
      </w:r>
      <w:r w:rsidR="00D0059C" w:rsidRPr="003E12B4">
        <w:t xml:space="preserve"> s</w:t>
      </w:r>
      <w:r w:rsidR="00FF511C" w:rsidRPr="003E12B4">
        <w:t xml:space="preserve">ession in the </w:t>
      </w:r>
      <w:r w:rsidR="00D0059C" w:rsidRPr="003E12B4">
        <w:t xml:space="preserve">Parliament or </w:t>
      </w:r>
      <w:r w:rsidR="00FF511C" w:rsidRPr="003E12B4">
        <w:t>Government</w:t>
      </w:r>
      <w:r w:rsidR="00D0059C" w:rsidRPr="003E12B4">
        <w:t xml:space="preserve"> </w:t>
      </w:r>
      <w:r w:rsidR="00FF511C" w:rsidRPr="003E12B4">
        <w:t xml:space="preserve">dedicated to </w:t>
      </w:r>
      <w:r w:rsidR="00D0059C" w:rsidRPr="003E12B4">
        <w:t xml:space="preserve">the </w:t>
      </w:r>
      <w:r w:rsidR="00FF511C" w:rsidRPr="003E12B4">
        <w:t xml:space="preserve">annual results of </w:t>
      </w:r>
      <w:r w:rsidR="00BC3077" w:rsidRPr="003E12B4">
        <w:t>internal audit</w:t>
      </w:r>
      <w:r w:rsidR="00D0059C" w:rsidRPr="003E12B4">
        <w:t>.</w:t>
      </w:r>
      <w:r w:rsidR="00FF511C" w:rsidRPr="003E12B4">
        <w:t> </w:t>
      </w:r>
    </w:p>
    <w:p w14:paraId="0AB014B9" w14:textId="37A07220" w:rsidR="00FF511C" w:rsidRPr="003E12B4" w:rsidRDefault="00B714E5" w:rsidP="003E12B4">
      <w:pPr>
        <w:pStyle w:val="ListBullet"/>
      </w:pPr>
      <w:r w:rsidRPr="003E12B4">
        <w:t>Encourag</w:t>
      </w:r>
      <w:r w:rsidR="00BC3077">
        <w:t>e</w:t>
      </w:r>
      <w:r w:rsidRPr="003E12B4">
        <w:t xml:space="preserve"> </w:t>
      </w:r>
      <w:r w:rsidR="00787CD6" w:rsidRPr="003E12B4">
        <w:t xml:space="preserve">and support </w:t>
      </w:r>
      <w:r w:rsidRPr="003E12B4">
        <w:t xml:space="preserve">universities to develop curricula for </w:t>
      </w:r>
      <w:r w:rsidR="00970BE8">
        <w:t>internal audit</w:t>
      </w:r>
      <w:r w:rsidRPr="003E12B4">
        <w:t xml:space="preserve">. </w:t>
      </w:r>
    </w:p>
    <w:p w14:paraId="3A74607B" w14:textId="3284671D" w:rsidR="00FF511C" w:rsidRDefault="00DF3319" w:rsidP="00FF511C">
      <w:pPr>
        <w:pStyle w:val="Heading3"/>
      </w:pPr>
      <w:bookmarkStart w:id="36" w:name="_Toc2767529"/>
      <w:r>
        <w:t>I</w:t>
      </w:r>
      <w:r w:rsidR="00970BE8">
        <w:t>nternal audit</w:t>
      </w:r>
      <w:r w:rsidR="00670646">
        <w:t xml:space="preserve"> u</w:t>
      </w:r>
      <w:r w:rsidR="00FF511C">
        <w:t>nderstand</w:t>
      </w:r>
      <w:r w:rsidR="007E6749">
        <w:t>ing of</w:t>
      </w:r>
      <w:r w:rsidR="00FF511C">
        <w:t xml:space="preserve"> the </w:t>
      </w:r>
      <w:r w:rsidR="001C6198">
        <w:t>organization</w:t>
      </w:r>
      <w:bookmarkEnd w:id="36"/>
    </w:p>
    <w:p w14:paraId="11C6E479" w14:textId="62EB1ACA" w:rsidR="00F02AB7" w:rsidRPr="00F02AB7" w:rsidRDefault="00B05680" w:rsidP="00442475">
      <w:pPr>
        <w:pStyle w:val="numberedparas"/>
        <w:numPr>
          <w:ilvl w:val="0"/>
          <w:numId w:val="0"/>
        </w:numPr>
      </w:pPr>
      <w:r>
        <w:t xml:space="preserve">To add value </w:t>
      </w:r>
      <w:r w:rsidR="00970BE8">
        <w:t>internal audit</w:t>
      </w:r>
      <w:r>
        <w:t xml:space="preserve"> must be doing the right </w:t>
      </w:r>
      <w:r w:rsidR="003E12B4">
        <w:t>engagements/audits</w:t>
      </w:r>
      <w:r w:rsidR="00F95EB8">
        <w:t xml:space="preserve">. </w:t>
      </w:r>
      <w:r>
        <w:t xml:space="preserve"> </w:t>
      </w:r>
      <w:r w:rsidR="00942698">
        <w:t>It can</w:t>
      </w:r>
      <w:r>
        <w:t xml:space="preserve"> </w:t>
      </w:r>
      <w:r w:rsidR="00F95EB8">
        <w:t>only select the audits that add</w:t>
      </w:r>
      <w:r>
        <w:t xml:space="preserve"> value if it fully understands the organization it </w:t>
      </w:r>
      <w:r w:rsidRPr="00F95EB8">
        <w:t>audits</w:t>
      </w:r>
      <w:r w:rsidR="00F95EB8">
        <w:t xml:space="preserve">. </w:t>
      </w:r>
      <w:r w:rsidR="00942698">
        <w:t xml:space="preserve">Internal </w:t>
      </w:r>
      <w:r w:rsidR="00970BE8">
        <w:t>audit</w:t>
      </w:r>
      <w:r w:rsidR="00F95EB8">
        <w:t xml:space="preserve"> must have relevant knowledge of business strategy, risks, goals, plans, processes</w:t>
      </w:r>
      <w:r w:rsidR="00BE535B">
        <w:t>,</w:t>
      </w:r>
      <w:r w:rsidR="00F95EB8">
        <w:t xml:space="preserve"> and controls</w:t>
      </w:r>
      <w:r w:rsidR="00A41757">
        <w:t>, as well as disruptive technologies</w:t>
      </w:r>
      <w:r w:rsidR="00BE535B">
        <w:t>,</w:t>
      </w:r>
      <w:r w:rsidR="00F95EB8">
        <w:t xml:space="preserve"> so that they can develop a full understanding of the audit universe</w:t>
      </w:r>
      <w:r w:rsidR="00F02AB7">
        <w:t xml:space="preserve">. This knowledge is critical in preparing an audit strategy and annual plan of work that is aligned with management’s perception of risk. </w:t>
      </w:r>
      <w:r w:rsidR="00F95EB8">
        <w:t xml:space="preserve"> </w:t>
      </w:r>
    </w:p>
    <w:p w14:paraId="02CF9EC3" w14:textId="3B6DEF42" w:rsidR="00442475" w:rsidRDefault="00F95EB8" w:rsidP="00442475">
      <w:pPr>
        <w:pStyle w:val="numberedparas"/>
        <w:numPr>
          <w:ilvl w:val="0"/>
          <w:numId w:val="0"/>
        </w:numPr>
      </w:pPr>
      <w:r>
        <w:lastRenderedPageBreak/>
        <w:t xml:space="preserve">PEMPAL </w:t>
      </w:r>
      <w:r w:rsidR="00F02AB7">
        <w:t>guidance on</w:t>
      </w:r>
      <w:r w:rsidRPr="00F02AB7">
        <w:t xml:space="preserve"> </w:t>
      </w:r>
      <w:r w:rsidR="00F02AB7">
        <w:t>r</w:t>
      </w:r>
      <w:r w:rsidRPr="00F02AB7">
        <w:t xml:space="preserve">isk </w:t>
      </w:r>
      <w:r w:rsidR="00F02AB7">
        <w:t>a</w:t>
      </w:r>
      <w:r w:rsidRPr="00F02AB7">
        <w:t xml:space="preserve">ssessment in </w:t>
      </w:r>
      <w:r w:rsidR="00F02AB7">
        <w:t>a</w:t>
      </w:r>
      <w:r w:rsidRPr="00F02AB7">
        <w:t xml:space="preserve">udit </w:t>
      </w:r>
      <w:r w:rsidR="00F02AB7">
        <w:t>p</w:t>
      </w:r>
      <w:r w:rsidRPr="00F02AB7">
        <w:t>lanning</w:t>
      </w:r>
      <w:r w:rsidR="00F02AB7">
        <w:rPr>
          <w:rStyle w:val="FootnoteReference"/>
        </w:rPr>
        <w:footnoteReference w:id="10"/>
      </w:r>
      <w:r w:rsidR="00F02AB7" w:rsidRPr="00F02AB7">
        <w:t xml:space="preserve"> </w:t>
      </w:r>
      <w:r w:rsidRPr="00F02AB7">
        <w:t>emphasize</w:t>
      </w:r>
      <w:r w:rsidR="00BE535B">
        <w:t>s</w:t>
      </w:r>
      <w:r w:rsidRPr="00F02AB7">
        <w:t xml:space="preserve"> the importance of an effective risk</w:t>
      </w:r>
      <w:r w:rsidR="00F02AB7" w:rsidRPr="00F02AB7">
        <w:t>-b</w:t>
      </w:r>
      <w:r w:rsidRPr="00F02AB7">
        <w:t>ased audit strategy and audit plan for the achievement of the goals, objectives</w:t>
      </w:r>
      <w:r w:rsidR="0039260E">
        <w:t>,</w:t>
      </w:r>
      <w:r w:rsidRPr="00F02AB7">
        <w:t xml:space="preserve"> and the mission of the internal audit unit.</w:t>
      </w:r>
    </w:p>
    <w:p w14:paraId="0C8E4C0D" w14:textId="35C77B01" w:rsidR="00FF511C" w:rsidRDefault="00670646" w:rsidP="00FF511C">
      <w:pPr>
        <w:pStyle w:val="Heading3"/>
      </w:pPr>
      <w:bookmarkStart w:id="37" w:name="_Toc2767530"/>
      <w:r>
        <w:t>The q</w:t>
      </w:r>
      <w:r w:rsidR="00FF511C" w:rsidRPr="00772F74">
        <w:t xml:space="preserve">uality of </w:t>
      </w:r>
      <w:r w:rsidR="00970BE8">
        <w:t>internal audit</w:t>
      </w:r>
      <w:r w:rsidR="00FF511C">
        <w:t xml:space="preserve"> </w:t>
      </w:r>
      <w:r w:rsidR="00F02AB7">
        <w:t>w</w:t>
      </w:r>
      <w:r w:rsidR="00FF511C">
        <w:t>ork</w:t>
      </w:r>
      <w:bookmarkEnd w:id="37"/>
    </w:p>
    <w:p w14:paraId="5D14B738" w14:textId="5E190E38" w:rsidR="00F95EB8" w:rsidRPr="00F95EB8" w:rsidRDefault="0039260E" w:rsidP="00442475">
      <w:pPr>
        <w:pStyle w:val="numberedparas"/>
        <w:numPr>
          <w:ilvl w:val="0"/>
          <w:numId w:val="0"/>
        </w:numPr>
      </w:pPr>
      <w:r>
        <w:t xml:space="preserve">Internal </w:t>
      </w:r>
      <w:r w:rsidR="00970BE8">
        <w:t>audit</w:t>
      </w:r>
      <w:r w:rsidR="00B05680">
        <w:t xml:space="preserve"> may select </w:t>
      </w:r>
      <w:r w:rsidR="00A41757">
        <w:t xml:space="preserve">engagement </w:t>
      </w:r>
      <w:r w:rsidR="00B05680">
        <w:t xml:space="preserve">topics that are important to </w:t>
      </w:r>
      <w:r w:rsidR="003E12B4">
        <w:t>managers and those charge</w:t>
      </w:r>
      <w:r w:rsidR="00AF408C">
        <w:t>d</w:t>
      </w:r>
      <w:r w:rsidR="003E12B4">
        <w:t xml:space="preserve"> with governance</w:t>
      </w:r>
      <w:r w:rsidR="00B05680">
        <w:t xml:space="preserve"> but could still fail to deliver added value if the audit work is poorly planned,</w:t>
      </w:r>
      <w:r w:rsidR="00A41757">
        <w:t xml:space="preserve"> resourced,</w:t>
      </w:r>
      <w:r w:rsidR="00B05680">
        <w:t xml:space="preserve"> executed</w:t>
      </w:r>
      <w:r w:rsidR="000A79EF">
        <w:t>,</w:t>
      </w:r>
      <w:r w:rsidR="00F95EB8">
        <w:t xml:space="preserve"> </w:t>
      </w:r>
      <w:r w:rsidR="00B05680">
        <w:t xml:space="preserve">and reported on. </w:t>
      </w:r>
      <w:r w:rsidR="000A79EF">
        <w:t xml:space="preserve">Ensuring high </w:t>
      </w:r>
      <w:r w:rsidR="00B05680">
        <w:t xml:space="preserve">quality </w:t>
      </w:r>
      <w:r w:rsidR="00970BE8">
        <w:t>internal audit</w:t>
      </w:r>
      <w:r w:rsidR="00B05680">
        <w:t xml:space="preserve"> work is therefore an essential feature in generating added value. PEMPAL has </w:t>
      </w:r>
      <w:r w:rsidR="00070800">
        <w:t xml:space="preserve">developed </w:t>
      </w:r>
      <w:r w:rsidR="00B05680">
        <w:t xml:space="preserve">a separate </w:t>
      </w:r>
      <w:r w:rsidR="00F95EB8">
        <w:t xml:space="preserve">toolkit for quality </w:t>
      </w:r>
      <w:r w:rsidR="00A41757">
        <w:t>assessment</w:t>
      </w:r>
      <w:r w:rsidR="00F95EB8">
        <w:rPr>
          <w:rStyle w:val="FootnoteReference"/>
        </w:rPr>
        <w:footnoteReference w:id="11"/>
      </w:r>
      <w:r w:rsidR="00F95EB8">
        <w:t xml:space="preserve"> which contains a range of </w:t>
      </w:r>
      <w:r w:rsidR="00A41757">
        <w:t xml:space="preserve">elements to consider </w:t>
      </w:r>
      <w:r w:rsidR="00F95EB8">
        <w:t xml:space="preserve">for improving the quality of audit work. </w:t>
      </w:r>
      <w:r w:rsidR="00B05680">
        <w:t xml:space="preserve"> </w:t>
      </w:r>
    </w:p>
    <w:p w14:paraId="09096701" w14:textId="4F0C9103" w:rsidR="00B05680" w:rsidRPr="00B05680" w:rsidRDefault="003E0007" w:rsidP="00442475">
      <w:pPr>
        <w:pStyle w:val="numberedparas"/>
        <w:numPr>
          <w:ilvl w:val="0"/>
          <w:numId w:val="0"/>
        </w:numPr>
      </w:pPr>
      <w:r>
        <w:t xml:space="preserve">Additional </w:t>
      </w:r>
      <w:r w:rsidR="00A41757">
        <w:t xml:space="preserve">IACOP </w:t>
      </w:r>
      <w:r w:rsidR="00F02AB7">
        <w:t>suggest</w:t>
      </w:r>
      <w:r>
        <w:t>ion</w:t>
      </w:r>
      <w:r w:rsidR="00F02AB7">
        <w:t>s for maintaining and/or improving quality includ</w:t>
      </w:r>
      <w:r>
        <w:t>e</w:t>
      </w:r>
      <w:r w:rsidR="00F02AB7">
        <w:t>:</w:t>
      </w:r>
    </w:p>
    <w:p w14:paraId="3B8CBCEE" w14:textId="5E568035" w:rsidR="00FF511C" w:rsidRPr="00B80FA4" w:rsidRDefault="00F02AB7" w:rsidP="003E12B4">
      <w:pPr>
        <w:pStyle w:val="ListBullet"/>
      </w:pPr>
      <w:r w:rsidRPr="00F02AB7">
        <w:t xml:space="preserve">The use of </w:t>
      </w:r>
      <w:r w:rsidR="00F6182C">
        <w:t xml:space="preserve">audited entity </w:t>
      </w:r>
      <w:r w:rsidR="00FF511C" w:rsidRPr="00F02AB7">
        <w:t xml:space="preserve">satisfaction </w:t>
      </w:r>
      <w:r w:rsidR="00F6182C">
        <w:t>s</w:t>
      </w:r>
      <w:r w:rsidR="00FF511C" w:rsidRPr="00B80FA4">
        <w:t xml:space="preserve">urveys </w:t>
      </w:r>
      <w:r>
        <w:t>for each engagement and/or annually</w:t>
      </w:r>
      <w:r w:rsidR="00DF430C">
        <w:t>.</w:t>
      </w:r>
    </w:p>
    <w:p w14:paraId="2138CFA1" w14:textId="37815057" w:rsidR="00FF511C" w:rsidRPr="00F02AB7" w:rsidRDefault="00F02AB7" w:rsidP="003E12B4">
      <w:pPr>
        <w:pStyle w:val="ListBullet"/>
      </w:pPr>
      <w:r w:rsidRPr="00F02AB7">
        <w:t xml:space="preserve">Peer </w:t>
      </w:r>
      <w:r w:rsidR="00FF511C" w:rsidRPr="00F02AB7">
        <w:t xml:space="preserve">reviewing </w:t>
      </w:r>
      <w:r w:rsidRPr="00F02AB7">
        <w:t xml:space="preserve">the quality of </w:t>
      </w:r>
      <w:r w:rsidR="00FF511C" w:rsidRPr="00F02AB7">
        <w:t>audit reports</w:t>
      </w:r>
      <w:r w:rsidR="00DF430C">
        <w:t>.</w:t>
      </w:r>
    </w:p>
    <w:p w14:paraId="67323950" w14:textId="6EEA8BB3" w:rsidR="00FF511C" w:rsidRPr="00B80FA4" w:rsidRDefault="00866E2A" w:rsidP="003E12B4">
      <w:pPr>
        <w:pStyle w:val="ListBullet"/>
      </w:pPr>
      <w:r>
        <w:t>Establishing</w:t>
      </w:r>
      <w:r w:rsidR="00F02AB7" w:rsidRPr="00F02AB7">
        <w:t xml:space="preserve"> an</w:t>
      </w:r>
      <w:r w:rsidR="00F02AB7">
        <w:t xml:space="preserve"> </w:t>
      </w:r>
      <w:r w:rsidR="00F02AB7" w:rsidRPr="00F02AB7">
        <w:t>a</w:t>
      </w:r>
      <w:r w:rsidR="00FF511C" w:rsidRPr="00F02AB7">
        <w:t xml:space="preserve">utomated </w:t>
      </w:r>
      <w:r w:rsidR="00F02AB7">
        <w:t xml:space="preserve">IT </w:t>
      </w:r>
      <w:r w:rsidR="00FF511C" w:rsidRPr="00F02AB7">
        <w:t>audit process</w:t>
      </w:r>
      <w:r w:rsidR="00F02AB7">
        <w:t xml:space="preserve"> </w:t>
      </w:r>
      <w:r>
        <w:t xml:space="preserve">to </w:t>
      </w:r>
      <w:r w:rsidR="00F02AB7">
        <w:t xml:space="preserve">help ensure that common standards </w:t>
      </w:r>
      <w:r w:rsidR="00A41757">
        <w:t xml:space="preserve">and processes </w:t>
      </w:r>
      <w:r w:rsidR="00F02AB7">
        <w:t xml:space="preserve">are </w:t>
      </w:r>
      <w:r w:rsidR="00A41757">
        <w:t>followed</w:t>
      </w:r>
      <w:r w:rsidR="00F02AB9">
        <w:t>.</w:t>
      </w:r>
      <w:r w:rsidR="00FF511C" w:rsidRPr="00B80FA4">
        <w:t xml:space="preserve"> </w:t>
      </w:r>
    </w:p>
    <w:p w14:paraId="7D3B9019" w14:textId="36FE40EC" w:rsidR="00FF511C" w:rsidRDefault="00670646" w:rsidP="00FF511C">
      <w:pPr>
        <w:pStyle w:val="Heading3"/>
      </w:pPr>
      <w:bookmarkStart w:id="38" w:name="_Toc2767531"/>
      <w:r>
        <w:t>The c</w:t>
      </w:r>
      <w:r w:rsidR="00FF511C">
        <w:t xml:space="preserve">ompetence of </w:t>
      </w:r>
      <w:r w:rsidR="00970BE8">
        <w:t>internal audit</w:t>
      </w:r>
      <w:r w:rsidR="00FF511C">
        <w:t xml:space="preserve"> staff and training</w:t>
      </w:r>
      <w:bookmarkEnd w:id="38"/>
    </w:p>
    <w:p w14:paraId="3F103EE9" w14:textId="72DFE0C0" w:rsidR="00F02AB7" w:rsidRPr="00F02AB7" w:rsidRDefault="00F02AB7" w:rsidP="00442475">
      <w:pPr>
        <w:pStyle w:val="numberedparas"/>
        <w:numPr>
          <w:ilvl w:val="0"/>
          <w:numId w:val="0"/>
        </w:numPr>
      </w:pPr>
      <w:r>
        <w:t>PEMPAL emphasize</w:t>
      </w:r>
      <w:r w:rsidR="00F132C0">
        <w:t>s</w:t>
      </w:r>
      <w:r>
        <w:t xml:space="preserve"> the importance of competent and well-trained staff who know how to undertake high quality audit work. There are many factors that contribute to competence including the ability to attract, retain</w:t>
      </w:r>
      <w:r w:rsidR="00F17A41">
        <w:t>,</w:t>
      </w:r>
      <w:r>
        <w:t xml:space="preserve"> and motivate audit staff. </w:t>
      </w:r>
      <w:r w:rsidR="004771B1">
        <w:t xml:space="preserve">Suggestions to </w:t>
      </w:r>
      <w:r>
        <w:t>help</w:t>
      </w:r>
      <w:r w:rsidR="001D4F18">
        <w:t xml:space="preserve"> train,</w:t>
      </w:r>
      <w:r>
        <w:t xml:space="preserve"> motivate</w:t>
      </w:r>
      <w:r w:rsidR="001D4F18">
        <w:t>,</w:t>
      </w:r>
      <w:r>
        <w:t xml:space="preserve"> and retain staff </w:t>
      </w:r>
      <w:r w:rsidR="004771B1">
        <w:t>include</w:t>
      </w:r>
      <w:r>
        <w:t>:</w:t>
      </w:r>
    </w:p>
    <w:p w14:paraId="71140F82" w14:textId="4774A195" w:rsidR="00FF511C" w:rsidRDefault="006E3188" w:rsidP="003E12B4">
      <w:pPr>
        <w:pStyle w:val="ListBullet"/>
      </w:pPr>
      <w:r>
        <w:t xml:space="preserve">Individual staff </w:t>
      </w:r>
      <w:r w:rsidR="00F02AB7">
        <w:t>training and development plans</w:t>
      </w:r>
      <w:r w:rsidR="00DF430C">
        <w:t>.</w:t>
      </w:r>
    </w:p>
    <w:p w14:paraId="79ACA92F" w14:textId="751708FD" w:rsidR="00F02AB7" w:rsidRPr="00B80FA4" w:rsidRDefault="00F02AB7" w:rsidP="003E12B4">
      <w:pPr>
        <w:pStyle w:val="ListBullet"/>
      </w:pPr>
      <w:r>
        <w:t>Access to training courses</w:t>
      </w:r>
      <w:r w:rsidR="00A41757">
        <w:t xml:space="preserve"> (including online)</w:t>
      </w:r>
      <w:r w:rsidR="00DF430C">
        <w:t>.</w:t>
      </w:r>
    </w:p>
    <w:p w14:paraId="339C1D81" w14:textId="0FC0CF91" w:rsidR="00F02AB7" w:rsidRDefault="00F02AB7" w:rsidP="003E12B4">
      <w:pPr>
        <w:pStyle w:val="ListBullet"/>
      </w:pPr>
      <w:r>
        <w:t xml:space="preserve">Certification of </w:t>
      </w:r>
      <w:r w:rsidR="006E3188">
        <w:t xml:space="preserve">auditors </w:t>
      </w:r>
      <w:r>
        <w:t>who reach defined standards</w:t>
      </w:r>
      <w:r w:rsidR="00DF430C">
        <w:t>.</w:t>
      </w:r>
      <w:r>
        <w:t xml:space="preserve"> </w:t>
      </w:r>
    </w:p>
    <w:p w14:paraId="450195AF" w14:textId="72E7B8AD" w:rsidR="00F02AB7" w:rsidRPr="00B80FA4" w:rsidRDefault="00F02AB7" w:rsidP="003E12B4">
      <w:pPr>
        <w:pStyle w:val="ListBullet"/>
      </w:pPr>
      <w:r>
        <w:t>Regular discussion and feedback on performance and career potential</w:t>
      </w:r>
      <w:r w:rsidR="00DF430C">
        <w:t>.</w:t>
      </w:r>
    </w:p>
    <w:p w14:paraId="29A3D4F4" w14:textId="3EA4BE3B" w:rsidR="00FF511C" w:rsidRPr="00B80FA4" w:rsidRDefault="00FF511C" w:rsidP="003E12B4">
      <w:pPr>
        <w:pStyle w:val="ListBullet"/>
      </w:pPr>
      <w:r w:rsidRPr="00B80FA4">
        <w:t xml:space="preserve">Attending international events like </w:t>
      </w:r>
      <w:r w:rsidR="00F02AB7">
        <w:t>PEMPAL</w:t>
      </w:r>
      <w:r w:rsidRPr="00B80FA4">
        <w:t xml:space="preserve"> </w:t>
      </w:r>
      <w:r w:rsidR="0094768E">
        <w:t>IACOP</w:t>
      </w:r>
      <w:r w:rsidR="00DF430C">
        <w:t>.</w:t>
      </w:r>
    </w:p>
    <w:p w14:paraId="0D2D6FAF" w14:textId="5122C12A" w:rsidR="00FF511C" w:rsidRPr="00B80FA4" w:rsidRDefault="00FF511C" w:rsidP="003E12B4">
      <w:pPr>
        <w:pStyle w:val="ListBullet"/>
      </w:pPr>
      <w:r w:rsidRPr="004B570B">
        <w:t>Creat</w:t>
      </w:r>
      <w:r w:rsidR="00F02AB7">
        <w:t>ing</w:t>
      </w:r>
      <w:r w:rsidRPr="004B570B">
        <w:t xml:space="preserve"> </w:t>
      </w:r>
      <w:r w:rsidR="00F02AB7">
        <w:t xml:space="preserve">in-country </w:t>
      </w:r>
      <w:r w:rsidRPr="004B570B">
        <w:t>network</w:t>
      </w:r>
      <w:r w:rsidR="00F02AB7">
        <w:t>s</w:t>
      </w:r>
      <w:r w:rsidRPr="004B570B">
        <w:t xml:space="preserve"> </w:t>
      </w:r>
      <w:r w:rsidR="00F02AB7">
        <w:t>or k</w:t>
      </w:r>
      <w:r w:rsidR="00F02AB7" w:rsidRPr="00B80FA4">
        <w:t>nowledge sharing mechanism</w:t>
      </w:r>
      <w:r w:rsidR="00F02AB7">
        <w:t>s</w:t>
      </w:r>
      <w:r w:rsidR="00F02AB7" w:rsidRPr="00B80FA4">
        <w:t xml:space="preserve"> </w:t>
      </w:r>
      <w:r w:rsidRPr="004B570B">
        <w:t>for internal auditors (mini</w:t>
      </w:r>
      <w:r w:rsidR="00F02AB7">
        <w:t>-PEMPAL</w:t>
      </w:r>
      <w:r w:rsidRPr="004B570B">
        <w:t xml:space="preserve">, </w:t>
      </w:r>
      <w:r w:rsidR="00F02AB7" w:rsidRPr="004B570B">
        <w:t>SharePoint</w:t>
      </w:r>
      <w:r w:rsidR="00F02AB7">
        <w:t xml:space="preserve"> workspaces</w:t>
      </w:r>
      <w:r w:rsidRPr="004B570B">
        <w:t xml:space="preserve">, regular </w:t>
      </w:r>
      <w:r w:rsidR="00F02AB7">
        <w:t xml:space="preserve">networking </w:t>
      </w:r>
      <w:r w:rsidRPr="004B570B">
        <w:t>meetings</w:t>
      </w:r>
      <w:r w:rsidR="00A41757">
        <w:t>, e</w:t>
      </w:r>
      <w:r w:rsidR="00F02AB7">
        <w:t>tc</w:t>
      </w:r>
      <w:r w:rsidR="00D0059C">
        <w:t>.</w:t>
      </w:r>
      <w:r w:rsidRPr="004B570B">
        <w:t>)</w:t>
      </w:r>
      <w:r w:rsidR="00DF430C">
        <w:t>.</w:t>
      </w:r>
    </w:p>
    <w:p w14:paraId="1E867F40" w14:textId="46BBA5E8" w:rsidR="00FF511C" w:rsidRDefault="00FF511C" w:rsidP="003E12B4">
      <w:pPr>
        <w:pStyle w:val="ListBullet"/>
      </w:pPr>
      <w:r w:rsidRPr="00B80FA4">
        <w:t>Joint training of external and internal auditors</w:t>
      </w:r>
      <w:r w:rsidR="00A41757">
        <w:t>.</w:t>
      </w:r>
    </w:p>
    <w:p w14:paraId="7CACD8AB" w14:textId="6067B8E7" w:rsidR="004B570B" w:rsidRDefault="00670646" w:rsidP="004B570B">
      <w:pPr>
        <w:pStyle w:val="Heading3"/>
      </w:pPr>
      <w:bookmarkStart w:id="39" w:name="_Toc2767532"/>
      <w:r>
        <w:t>Effecti</w:t>
      </w:r>
      <w:r w:rsidR="00CA1BB2">
        <w:t>v</w:t>
      </w:r>
      <w:r>
        <w:t>e c</w:t>
      </w:r>
      <w:r w:rsidR="004B570B">
        <w:t xml:space="preserve">ommunication and reporting </w:t>
      </w:r>
      <w:r>
        <w:t xml:space="preserve">of </w:t>
      </w:r>
      <w:r w:rsidR="00970BE8">
        <w:t>internal audit</w:t>
      </w:r>
      <w:r w:rsidR="004B570B">
        <w:t xml:space="preserve"> findings</w:t>
      </w:r>
      <w:bookmarkEnd w:id="39"/>
    </w:p>
    <w:p w14:paraId="0338C1D7" w14:textId="05BFF933" w:rsidR="00F23BE1" w:rsidRDefault="00F23BE1" w:rsidP="00442475">
      <w:pPr>
        <w:pStyle w:val="numberedparas"/>
        <w:numPr>
          <w:ilvl w:val="0"/>
          <w:numId w:val="0"/>
        </w:numPr>
      </w:pPr>
      <w:r>
        <w:t>To add value</w:t>
      </w:r>
      <w:r w:rsidR="00D0059C">
        <w:t>,</w:t>
      </w:r>
      <w:r>
        <w:t xml:space="preserve"> </w:t>
      </w:r>
      <w:r w:rsidR="00970BE8">
        <w:t>internal audit</w:t>
      </w:r>
      <w:r>
        <w:t xml:space="preserve"> need</w:t>
      </w:r>
      <w:r w:rsidR="00F132C0">
        <w:t>s</w:t>
      </w:r>
      <w:r>
        <w:t xml:space="preserve"> to persuade managers to take action on their findings. This requires good communication throughout the audit and a high-quality report</w:t>
      </w:r>
      <w:r w:rsidR="00D52DA1">
        <w:t>ing</w:t>
      </w:r>
      <w:r>
        <w:t xml:space="preserve">. </w:t>
      </w:r>
    </w:p>
    <w:p w14:paraId="788F4FC3" w14:textId="30C7D732" w:rsidR="00F23BE1" w:rsidRDefault="00F23BE1" w:rsidP="00442475">
      <w:pPr>
        <w:pStyle w:val="numberedparas"/>
        <w:numPr>
          <w:ilvl w:val="0"/>
          <w:numId w:val="0"/>
        </w:numPr>
        <w:ind w:left="567" w:hanging="567"/>
      </w:pPr>
      <w:r>
        <w:t xml:space="preserve">PEMPAL advice on communication </w:t>
      </w:r>
      <w:r w:rsidR="003E12B4">
        <w:t xml:space="preserve">with auditees </w:t>
      </w:r>
      <w:r>
        <w:t>is that auditors</w:t>
      </w:r>
      <w:r w:rsidR="009D3FCB" w:rsidRPr="009D3FCB">
        <w:t xml:space="preserve"> </w:t>
      </w:r>
      <w:r w:rsidR="009D3FCB">
        <w:t>should</w:t>
      </w:r>
      <w:r>
        <w:t>:</w:t>
      </w:r>
    </w:p>
    <w:p w14:paraId="1292865E" w14:textId="7D975F72" w:rsidR="00F23BE1" w:rsidRDefault="009D3FCB" w:rsidP="003E12B4">
      <w:pPr>
        <w:pStyle w:val="ListBullet"/>
      </w:pPr>
      <w:r>
        <w:lastRenderedPageBreak/>
        <w:t xml:space="preserve">Maintain </w:t>
      </w:r>
      <w:r w:rsidR="00F23BE1">
        <w:t xml:space="preserve">a constant two-way dialogue with the </w:t>
      </w:r>
      <w:r w:rsidR="00F23BE1" w:rsidRPr="004B552C">
        <w:t xml:space="preserve">auditee to </w:t>
      </w:r>
      <w:r w:rsidR="00F23BE1">
        <w:t>ensure that they understand the purpose and objectives of the audit and are aware of the main audit findings as these arise</w:t>
      </w:r>
      <w:r w:rsidR="00DF430C">
        <w:t>.</w:t>
      </w:r>
    </w:p>
    <w:p w14:paraId="758A61DC" w14:textId="333580CA" w:rsidR="009D3FCB" w:rsidRPr="004B552C" w:rsidRDefault="009D3FCB" w:rsidP="009D3FCB">
      <w:pPr>
        <w:pStyle w:val="ListBullet"/>
      </w:pPr>
      <w:r>
        <w:t>Adopt a “no surprises” approach to the audit report (draft and final) where the client is fully aware of the findings arising during the audit</w:t>
      </w:r>
      <w:r w:rsidR="00DF430C">
        <w:t>.</w:t>
      </w:r>
    </w:p>
    <w:p w14:paraId="5D3F4A4D" w14:textId="15035D92" w:rsidR="00F23BE1" w:rsidRPr="004B552C" w:rsidRDefault="009D3FCB" w:rsidP="003E12B4">
      <w:pPr>
        <w:pStyle w:val="ListBullet"/>
      </w:pPr>
      <w:r>
        <w:t xml:space="preserve">Avoid </w:t>
      </w:r>
      <w:r w:rsidR="00F23BE1">
        <w:t>situations where negative findings are held b</w:t>
      </w:r>
      <w:r w:rsidR="00F23BE1">
        <w:t>ack t</w:t>
      </w:r>
      <w:r w:rsidR="00F23BE1">
        <w:t>o one “</w:t>
      </w:r>
      <w:r w:rsidR="001B6793">
        <w:t>big bang</w:t>
      </w:r>
      <w:r w:rsidR="00F23BE1">
        <w:t>” meeting</w:t>
      </w:r>
      <w:r w:rsidR="00DF430C">
        <w:t>.</w:t>
      </w:r>
    </w:p>
    <w:p w14:paraId="601259DA" w14:textId="0263B2E6" w:rsidR="00F23BE1" w:rsidRDefault="005C1357" w:rsidP="003E12B4">
      <w:pPr>
        <w:pStyle w:val="ListBullet"/>
      </w:pPr>
      <w:r>
        <w:t xml:space="preserve">Develop </w:t>
      </w:r>
      <w:r w:rsidR="009D3FCB">
        <w:t>the</w:t>
      </w:r>
      <w:r>
        <w:t>ir</w:t>
      </w:r>
      <w:r w:rsidR="009D3FCB">
        <w:t xml:space="preserve"> </w:t>
      </w:r>
      <w:r w:rsidR="009D3FCB" w:rsidRPr="004B552C">
        <w:t>soft skills</w:t>
      </w:r>
      <w:r>
        <w:t>, they</w:t>
      </w:r>
      <w:r w:rsidR="009D3FCB">
        <w:t xml:space="preserve"> </w:t>
      </w:r>
      <w:r>
        <w:t xml:space="preserve">need </w:t>
      </w:r>
      <w:r w:rsidR="00F23BE1">
        <w:t xml:space="preserve">to be both </w:t>
      </w:r>
      <w:r w:rsidR="00D0059C">
        <w:t xml:space="preserve">a </w:t>
      </w:r>
      <w:r w:rsidR="00F23BE1">
        <w:t>d</w:t>
      </w:r>
      <w:r w:rsidR="00F23BE1" w:rsidRPr="004B552C">
        <w:t xml:space="preserve">iplomat and </w:t>
      </w:r>
      <w:r w:rsidR="00F23BE1">
        <w:t>c</w:t>
      </w:r>
      <w:r w:rsidR="00F23BE1" w:rsidRPr="004B552C">
        <w:t>ommunicator</w:t>
      </w:r>
      <w:r>
        <w:t>.</w:t>
      </w:r>
      <w:r w:rsidR="00D0059C">
        <w:t xml:space="preserve"> </w:t>
      </w:r>
    </w:p>
    <w:p w14:paraId="435271BC" w14:textId="45D2E0B8" w:rsidR="00F23BE1" w:rsidRDefault="00F23BE1" w:rsidP="00442475">
      <w:pPr>
        <w:pStyle w:val="numberedparas"/>
        <w:numPr>
          <w:ilvl w:val="0"/>
          <w:numId w:val="0"/>
        </w:numPr>
        <w:ind w:left="567" w:hanging="567"/>
      </w:pPr>
      <w:r>
        <w:t xml:space="preserve">PEMPAL advice on audit reports is that these should: </w:t>
      </w:r>
    </w:p>
    <w:p w14:paraId="07C85B62" w14:textId="4603D168" w:rsidR="00F23BE1" w:rsidRDefault="00F23BE1" w:rsidP="003E12B4">
      <w:pPr>
        <w:pStyle w:val="ListBullet"/>
      </w:pPr>
      <w:r>
        <w:t xml:space="preserve">Be short and </w:t>
      </w:r>
      <w:r w:rsidRPr="00B80FA4">
        <w:t>to the point</w:t>
      </w:r>
      <w:r>
        <w:t xml:space="preserve"> - no more than 20 pages</w:t>
      </w:r>
      <w:r w:rsidR="00DF430C">
        <w:t>.</w:t>
      </w:r>
    </w:p>
    <w:p w14:paraId="63DBCE93" w14:textId="1B85561B" w:rsidR="00F23BE1" w:rsidRPr="00F23BE1" w:rsidRDefault="00F23BE1" w:rsidP="003E12B4">
      <w:pPr>
        <w:pStyle w:val="ListBullet"/>
      </w:pPr>
      <w:r>
        <w:t>Have a one-page executive summary</w:t>
      </w:r>
      <w:r w:rsidR="00DF430C">
        <w:t>.</w:t>
      </w:r>
    </w:p>
    <w:p w14:paraId="59A8EAE0" w14:textId="6544FCAF" w:rsidR="00F23BE1" w:rsidRDefault="00F23BE1" w:rsidP="003E12B4">
      <w:pPr>
        <w:pStyle w:val="ListBullet"/>
      </w:pPr>
      <w:r>
        <w:t>Present findings visually wherever possible using graphs and figures to illustrate the importance of findings</w:t>
      </w:r>
      <w:r w:rsidR="00DF430C">
        <w:t>.</w:t>
      </w:r>
    </w:p>
    <w:p w14:paraId="11A18A39" w14:textId="3C420111" w:rsidR="00F23BE1" w:rsidRPr="00F23BE1" w:rsidRDefault="00F23BE1" w:rsidP="003E12B4">
      <w:pPr>
        <w:pStyle w:val="ListBullet"/>
      </w:pPr>
      <w:r>
        <w:t xml:space="preserve">Pass the </w:t>
      </w:r>
      <w:r w:rsidR="00F6182C">
        <w:t>so</w:t>
      </w:r>
      <w:r w:rsidR="00C4081D">
        <w:t>-</w:t>
      </w:r>
      <w:r w:rsidR="00F6182C" w:rsidRPr="00F6182C">
        <w:t xml:space="preserve">called </w:t>
      </w:r>
      <w:r w:rsidR="00D0059C" w:rsidRPr="00F6182C">
        <w:t>“</w:t>
      </w:r>
      <w:r w:rsidRPr="00F6182C">
        <w:t>grand</w:t>
      </w:r>
      <w:r w:rsidR="00F6182C" w:rsidRPr="00F6182C">
        <w:t>mother</w:t>
      </w:r>
      <w:r w:rsidRPr="00F6182C">
        <w:t xml:space="preserve"> test</w:t>
      </w:r>
      <w:r w:rsidR="00D0059C" w:rsidRPr="00F6182C">
        <w:t>”</w:t>
      </w:r>
      <w:r w:rsidR="00D0059C">
        <w:t xml:space="preserve"> </w:t>
      </w:r>
      <w:r>
        <w:t>in terms of being easy to read and understand</w:t>
      </w:r>
      <w:r w:rsidR="00DF430C">
        <w:t>.</w:t>
      </w:r>
    </w:p>
    <w:p w14:paraId="20B7B827" w14:textId="6E2C0CF1" w:rsidR="00367AAF" w:rsidRPr="00F23BE1" w:rsidRDefault="00F23BE1" w:rsidP="003E12B4">
      <w:pPr>
        <w:pStyle w:val="ListBullet"/>
      </w:pPr>
      <w:r w:rsidRPr="00F23BE1">
        <w:t>Be p</w:t>
      </w:r>
      <w:r w:rsidR="00367AAF" w:rsidRPr="00F23BE1">
        <w:t>ro-active, preventative, and future lookin</w:t>
      </w:r>
      <w:r w:rsidRPr="00F23BE1">
        <w:t xml:space="preserve">g </w:t>
      </w:r>
      <w:r w:rsidR="00D52DA1">
        <w:t xml:space="preserve">(e.g. disruptive technology and external environment) </w:t>
      </w:r>
      <w:r w:rsidRPr="00F23BE1">
        <w:t xml:space="preserve">and </w:t>
      </w:r>
      <w:r w:rsidR="00367AAF" w:rsidRPr="00F23BE1">
        <w:t xml:space="preserve">not </w:t>
      </w:r>
      <w:r w:rsidRPr="00F23BE1">
        <w:t>just contain</w:t>
      </w:r>
      <w:r w:rsidR="00367AAF" w:rsidRPr="00F23BE1">
        <w:t xml:space="preserve"> historical information</w:t>
      </w:r>
      <w:r w:rsidR="00B44828">
        <w:t>.</w:t>
      </w:r>
    </w:p>
    <w:p w14:paraId="10B65135" w14:textId="01A6311C" w:rsidR="00FF511C" w:rsidRPr="004B570B" w:rsidRDefault="00670646" w:rsidP="00FF511C">
      <w:pPr>
        <w:pStyle w:val="Heading3"/>
      </w:pPr>
      <w:bookmarkStart w:id="40" w:name="_Toc2767533"/>
      <w:r>
        <w:t>Keepin</w:t>
      </w:r>
      <w:r w:rsidR="00895C2B">
        <w:t>g</w:t>
      </w:r>
      <w:r>
        <w:t xml:space="preserve"> the c</w:t>
      </w:r>
      <w:r w:rsidR="00FF511C">
        <w:t xml:space="preserve">ustomer </w:t>
      </w:r>
      <w:r>
        <w:t>satisfied</w:t>
      </w:r>
      <w:bookmarkEnd w:id="40"/>
      <w:r w:rsidR="00FF511C">
        <w:t xml:space="preserve"> </w:t>
      </w:r>
    </w:p>
    <w:p w14:paraId="5407AFE1" w14:textId="090AE47A" w:rsidR="00F95EB8" w:rsidRDefault="00F95EB8" w:rsidP="00442475">
      <w:pPr>
        <w:pStyle w:val="numberedparas"/>
        <w:numPr>
          <w:ilvl w:val="0"/>
          <w:numId w:val="0"/>
        </w:numPr>
      </w:pPr>
      <w:r>
        <w:t xml:space="preserve">The mantra of all businesses is that you need to provide what your customer wants and/or needs. </w:t>
      </w:r>
      <w:r w:rsidR="003A4E26">
        <w:t xml:space="preserve">Internal </w:t>
      </w:r>
      <w:r w:rsidR="00970BE8">
        <w:t>audit</w:t>
      </w:r>
      <w:r w:rsidR="00F02AB7">
        <w:t xml:space="preserve"> is no different. PEMPAL highlight</w:t>
      </w:r>
      <w:r w:rsidR="005A7B4C">
        <w:t>s</w:t>
      </w:r>
      <w:r w:rsidR="00F02AB7">
        <w:t xml:space="preserve"> the importance of seeking regular feedback from the key stakeholders of </w:t>
      </w:r>
      <w:r w:rsidR="00970BE8">
        <w:t>internal audit</w:t>
      </w:r>
      <w:r w:rsidR="00F02AB7">
        <w:t xml:space="preserve"> work – senior managers</w:t>
      </w:r>
      <w:r w:rsidR="003E12B4">
        <w:t xml:space="preserve"> and staff of </w:t>
      </w:r>
      <w:r w:rsidR="00D52DA1">
        <w:t>auditees,</w:t>
      </w:r>
      <w:r w:rsidR="00F02AB7">
        <w:t xml:space="preserve"> the Audit Committee (where it exists), and </w:t>
      </w:r>
      <w:r w:rsidR="00970BE8">
        <w:t>internal audit</w:t>
      </w:r>
      <w:r w:rsidR="00D52DA1">
        <w:t xml:space="preserve"> </w:t>
      </w:r>
      <w:r w:rsidR="00F02AB7">
        <w:t xml:space="preserve">staff. </w:t>
      </w:r>
    </w:p>
    <w:p w14:paraId="2BB3706F" w14:textId="79744FCE" w:rsidR="00FF511C" w:rsidRDefault="00F92A55" w:rsidP="00442475">
      <w:pPr>
        <w:pStyle w:val="numberedparas"/>
        <w:numPr>
          <w:ilvl w:val="0"/>
          <w:numId w:val="0"/>
        </w:numPr>
      </w:pPr>
      <w:r>
        <w:t>Auditors need to prove</w:t>
      </w:r>
      <w:r w:rsidR="00FF511C" w:rsidRPr="00B80FA4">
        <w:t xml:space="preserve"> to the</w:t>
      </w:r>
      <w:r w:rsidR="00F02AB7">
        <w:t>ir</w:t>
      </w:r>
      <w:r w:rsidR="00FF511C" w:rsidRPr="00B80FA4">
        <w:t xml:space="preserve"> stakeholder</w:t>
      </w:r>
      <w:r w:rsidR="00F02AB7">
        <w:t>s</w:t>
      </w:r>
      <w:r w:rsidR="00FF511C" w:rsidRPr="00B80FA4">
        <w:t xml:space="preserve"> that </w:t>
      </w:r>
      <w:r>
        <w:t>they</w:t>
      </w:r>
      <w:r w:rsidR="00FF511C" w:rsidRPr="00B80FA4">
        <w:t xml:space="preserve"> are useful</w:t>
      </w:r>
      <w:r w:rsidR="00D0059C">
        <w:t>. T</w:t>
      </w:r>
      <w:r w:rsidR="00F02AB7">
        <w:t xml:space="preserve">hey can do this best if they find </w:t>
      </w:r>
      <w:r>
        <w:t>out what is really important to the senior manager</w:t>
      </w:r>
      <w:r w:rsidR="00F02AB7">
        <w:t xml:space="preserve"> responsible for the area being audited</w:t>
      </w:r>
      <w:r>
        <w:t xml:space="preserve">. </w:t>
      </w:r>
      <w:r w:rsidR="00FF511C" w:rsidRPr="00B80FA4">
        <w:t xml:space="preserve"> </w:t>
      </w:r>
      <w:r w:rsidR="00F02AB7">
        <w:t xml:space="preserve">The PEMPAL advice </w:t>
      </w:r>
      <w:r w:rsidR="00330D20">
        <w:t>is</w:t>
      </w:r>
      <w:r w:rsidR="00F02AB7">
        <w:t xml:space="preserve"> </w:t>
      </w:r>
      <w:r w:rsidR="00FF511C" w:rsidRPr="00B80FA4">
        <w:t xml:space="preserve">to make it personal </w:t>
      </w:r>
      <w:r w:rsidR="00F02AB7">
        <w:t>to the manager concerned –</w:t>
      </w:r>
      <w:r w:rsidR="00FF511C" w:rsidRPr="00B80FA4">
        <w:t xml:space="preserve"> </w:t>
      </w:r>
      <w:r w:rsidR="00F02AB7">
        <w:t>“</w:t>
      </w:r>
      <w:r w:rsidR="00F02AB7">
        <w:rPr>
          <w:i/>
        </w:rPr>
        <w:t xml:space="preserve">This is about </w:t>
      </w:r>
      <w:r w:rsidR="00FF511C" w:rsidRPr="00F02AB7">
        <w:rPr>
          <w:i/>
        </w:rPr>
        <w:t>protecting your political power</w:t>
      </w:r>
      <w:r w:rsidR="00D52DA1">
        <w:rPr>
          <w:i/>
        </w:rPr>
        <w:t>, p</w:t>
      </w:r>
      <w:r w:rsidR="00D52DA1" w:rsidRPr="00F02AB7">
        <w:rPr>
          <w:i/>
        </w:rPr>
        <w:t>rotecting your money,</w:t>
      </w:r>
      <w:r w:rsidR="00FF511C" w:rsidRPr="00F02AB7">
        <w:rPr>
          <w:i/>
        </w:rPr>
        <w:t xml:space="preserve"> and keeping you out of jail</w:t>
      </w:r>
      <w:r w:rsidR="00F02AB7">
        <w:rPr>
          <w:i/>
        </w:rPr>
        <w:t>”</w:t>
      </w:r>
      <w:r w:rsidR="00FF511C" w:rsidRPr="00F02AB7">
        <w:rPr>
          <w:i/>
        </w:rPr>
        <w:t>.</w:t>
      </w:r>
      <w:r w:rsidR="00FF511C">
        <w:t xml:space="preserve"> </w:t>
      </w:r>
      <w:r w:rsidR="00F02AB7">
        <w:t xml:space="preserve">This </w:t>
      </w:r>
      <w:r w:rsidR="00FF511C" w:rsidRPr="004B552C">
        <w:t>could be very broad</w:t>
      </w:r>
      <w:r w:rsidR="00F02AB7">
        <w:t xml:space="preserve"> and include helping managers avoid future criticism or meeting the very high personal standards</w:t>
      </w:r>
      <w:r w:rsidR="00FF511C" w:rsidRPr="004B552C">
        <w:t xml:space="preserve"> </w:t>
      </w:r>
      <w:r w:rsidR="00F02AB7">
        <w:t xml:space="preserve">of a </w:t>
      </w:r>
      <w:r w:rsidR="00FF511C" w:rsidRPr="004B552C">
        <w:t>perfectionist</w:t>
      </w:r>
      <w:r w:rsidR="00F02AB7">
        <w:t xml:space="preserve"> manager. </w:t>
      </w:r>
    </w:p>
    <w:p w14:paraId="5AC5CC63" w14:textId="01EBC755" w:rsidR="00AB0BEE" w:rsidRPr="00AB0BEE" w:rsidRDefault="00AB0BEE" w:rsidP="00AB0BEE">
      <w:pPr>
        <w:pStyle w:val="Heading2"/>
      </w:pPr>
      <w:bookmarkStart w:id="41" w:name="_Toc2767534"/>
      <w:r>
        <w:t>H</w:t>
      </w:r>
      <w:r w:rsidRPr="00AB0BEE">
        <w:t xml:space="preserve">ow does the added value of </w:t>
      </w:r>
      <w:r w:rsidR="00970BE8">
        <w:t>internal audit</w:t>
      </w:r>
      <w:r w:rsidRPr="00AB0BEE">
        <w:t xml:space="preserve"> change as the function matures?</w:t>
      </w:r>
      <w:bookmarkEnd w:id="41"/>
    </w:p>
    <w:p w14:paraId="5CA1323A" w14:textId="73BE2AA7" w:rsidR="00A974AF" w:rsidRDefault="00CA1BB2" w:rsidP="00442475">
      <w:pPr>
        <w:pStyle w:val="bulletsItalics"/>
        <w:numPr>
          <w:ilvl w:val="0"/>
          <w:numId w:val="0"/>
        </w:numPr>
        <w:rPr>
          <w:i w:val="0"/>
        </w:rPr>
      </w:pPr>
      <w:r>
        <w:rPr>
          <w:i w:val="0"/>
        </w:rPr>
        <w:t xml:space="preserve">The earlier sections consider the main added-value activities </w:t>
      </w:r>
      <w:r w:rsidR="00F02AB7">
        <w:rPr>
          <w:i w:val="0"/>
        </w:rPr>
        <w:t xml:space="preserve">of </w:t>
      </w:r>
      <w:r w:rsidR="00970BE8">
        <w:rPr>
          <w:i w:val="0"/>
        </w:rPr>
        <w:t>internal audit</w:t>
      </w:r>
      <w:r w:rsidR="00F02AB7">
        <w:rPr>
          <w:i w:val="0"/>
        </w:rPr>
        <w:t xml:space="preserve"> </w:t>
      </w:r>
      <w:r>
        <w:rPr>
          <w:i w:val="0"/>
        </w:rPr>
        <w:t xml:space="preserve">and the </w:t>
      </w:r>
      <w:r w:rsidR="002172AA">
        <w:rPr>
          <w:i w:val="0"/>
        </w:rPr>
        <w:t xml:space="preserve">critical success </w:t>
      </w:r>
      <w:r w:rsidR="00E82754">
        <w:rPr>
          <w:i w:val="0"/>
        </w:rPr>
        <w:t xml:space="preserve">factors that influence how well </w:t>
      </w:r>
      <w:r w:rsidR="00F02AB7">
        <w:rPr>
          <w:i w:val="0"/>
        </w:rPr>
        <w:t xml:space="preserve">these </w:t>
      </w:r>
      <w:r>
        <w:rPr>
          <w:i w:val="0"/>
        </w:rPr>
        <w:t xml:space="preserve">activities are implemented.  </w:t>
      </w:r>
      <w:r w:rsidR="00AB0BEE">
        <w:rPr>
          <w:i w:val="0"/>
        </w:rPr>
        <w:t>P</w:t>
      </w:r>
      <w:r w:rsidR="00A974AF">
        <w:rPr>
          <w:i w:val="0"/>
        </w:rPr>
        <w:t>EMPAL countries</w:t>
      </w:r>
      <w:r w:rsidR="00AB0BEE">
        <w:rPr>
          <w:i w:val="0"/>
        </w:rPr>
        <w:t xml:space="preserve"> </w:t>
      </w:r>
      <w:r w:rsidR="00A974AF">
        <w:rPr>
          <w:i w:val="0"/>
        </w:rPr>
        <w:t>are all at different stages of development/maturity</w:t>
      </w:r>
      <w:r w:rsidR="00035D32">
        <w:rPr>
          <w:i w:val="0"/>
        </w:rPr>
        <w:t xml:space="preserve">. </w:t>
      </w:r>
      <w:r w:rsidR="00655818" w:rsidRPr="00E03DC0">
        <w:rPr>
          <w:i w:val="0"/>
        </w:rPr>
        <w:t xml:space="preserve">Central </w:t>
      </w:r>
      <w:r w:rsidR="00E03DC0" w:rsidRPr="00442475">
        <w:rPr>
          <w:i w:val="0"/>
        </w:rPr>
        <w:t>harmonization unit</w:t>
      </w:r>
      <w:r w:rsidR="00035D32">
        <w:rPr>
          <w:i w:val="0"/>
        </w:rPr>
        <w:t xml:space="preserve">s and </w:t>
      </w:r>
      <w:r w:rsidR="001A0C7C">
        <w:rPr>
          <w:i w:val="0"/>
        </w:rPr>
        <w:t>HIA</w:t>
      </w:r>
      <w:r w:rsidR="00035D32">
        <w:rPr>
          <w:i w:val="0"/>
        </w:rPr>
        <w:t xml:space="preserve">s </w:t>
      </w:r>
      <w:r w:rsidR="00655818">
        <w:rPr>
          <w:i w:val="0"/>
        </w:rPr>
        <w:t xml:space="preserve">must therefore </w:t>
      </w:r>
      <w:r w:rsidR="00035D32">
        <w:rPr>
          <w:i w:val="0"/>
        </w:rPr>
        <w:t>emphasi</w:t>
      </w:r>
      <w:r w:rsidR="00655818">
        <w:rPr>
          <w:i w:val="0"/>
        </w:rPr>
        <w:t>z</w:t>
      </w:r>
      <w:r w:rsidR="00035D32">
        <w:rPr>
          <w:i w:val="0"/>
        </w:rPr>
        <w:t xml:space="preserve">e aspects of added value </w:t>
      </w:r>
      <w:r w:rsidR="00DA7724">
        <w:rPr>
          <w:i w:val="0"/>
        </w:rPr>
        <w:t>according to the specific situation</w:t>
      </w:r>
      <w:r w:rsidR="00035D32">
        <w:rPr>
          <w:i w:val="0"/>
        </w:rPr>
        <w:t xml:space="preserve"> of </w:t>
      </w:r>
      <w:r w:rsidR="00970BE8">
        <w:rPr>
          <w:i w:val="0"/>
        </w:rPr>
        <w:t>internal audit</w:t>
      </w:r>
      <w:r w:rsidR="00F02AB7">
        <w:rPr>
          <w:i w:val="0"/>
        </w:rPr>
        <w:t xml:space="preserve"> in their </w:t>
      </w:r>
      <w:r w:rsidR="00AB0BEE">
        <w:rPr>
          <w:i w:val="0"/>
        </w:rPr>
        <w:t xml:space="preserve">own </w:t>
      </w:r>
      <w:r w:rsidR="00F02AB7">
        <w:rPr>
          <w:i w:val="0"/>
        </w:rPr>
        <w:t>country</w:t>
      </w:r>
      <w:r w:rsidR="00035D32">
        <w:rPr>
          <w:i w:val="0"/>
        </w:rPr>
        <w:t xml:space="preserve">. </w:t>
      </w:r>
    </w:p>
    <w:p w14:paraId="1E41D94D" w14:textId="054A9959" w:rsidR="00CA1BB2" w:rsidRPr="00CC41BD" w:rsidRDefault="00CA1BB2" w:rsidP="003E12B4">
      <w:pPr>
        <w:pStyle w:val="ListBullet"/>
        <w:rPr>
          <w:i/>
        </w:rPr>
      </w:pPr>
      <w:r w:rsidRPr="00CC41BD">
        <w:t xml:space="preserve">When </w:t>
      </w:r>
      <w:r w:rsidR="00970BE8">
        <w:rPr>
          <w:b/>
        </w:rPr>
        <w:t>internal audit</w:t>
      </w:r>
      <w:r w:rsidRPr="00083B72">
        <w:rPr>
          <w:b/>
        </w:rPr>
        <w:t xml:space="preserve"> is still being established</w:t>
      </w:r>
      <w:r w:rsidR="006E405C">
        <w:rPr>
          <w:b/>
        </w:rPr>
        <w:t>,</w:t>
      </w:r>
      <w:r w:rsidRPr="00CC41BD">
        <w:t xml:space="preserve"> </w:t>
      </w:r>
      <w:r w:rsidR="00E03DC0" w:rsidRPr="00442475">
        <w:rPr>
          <w:i/>
        </w:rPr>
        <w:t>central harmonization unit</w:t>
      </w:r>
      <w:r w:rsidR="00D73C39">
        <w:rPr>
          <w:i/>
        </w:rPr>
        <w:t>s</w:t>
      </w:r>
      <w:r w:rsidR="00E03DC0" w:rsidRPr="00D13C30">
        <w:t xml:space="preserve"> </w:t>
      </w:r>
      <w:r w:rsidR="00035D32">
        <w:rPr>
          <w:i/>
        </w:rPr>
        <w:t xml:space="preserve">and </w:t>
      </w:r>
      <w:r w:rsidR="001A0C7C">
        <w:rPr>
          <w:i/>
        </w:rPr>
        <w:t>HIA</w:t>
      </w:r>
      <w:r w:rsidR="00035D32">
        <w:rPr>
          <w:i/>
        </w:rPr>
        <w:t xml:space="preserve">s </w:t>
      </w:r>
      <w:r w:rsidRPr="00CC41BD">
        <w:t xml:space="preserve">need to focus </w:t>
      </w:r>
      <w:r w:rsidRPr="0010422E">
        <w:t>on</w:t>
      </w:r>
      <w:r w:rsidRPr="00CC41BD">
        <w:t xml:space="preserve"> the </w:t>
      </w:r>
      <w:r w:rsidRPr="0010422E">
        <w:rPr>
          <w:b/>
        </w:rPr>
        <w:t>generic benefits</w:t>
      </w:r>
      <w:r w:rsidRPr="00CC41BD">
        <w:t xml:space="preserve"> to </w:t>
      </w:r>
      <w:r w:rsidR="00F02AB7">
        <w:t>their</w:t>
      </w:r>
      <w:r w:rsidRPr="00CC41BD">
        <w:t xml:space="preserve"> countries of changing the </w:t>
      </w:r>
      <w:r w:rsidR="0071506B">
        <w:t>f</w:t>
      </w:r>
      <w:r w:rsidRPr="00CC41BD">
        <w:t xml:space="preserve">inancial </w:t>
      </w:r>
      <w:r w:rsidR="0071506B">
        <w:t>m</w:t>
      </w:r>
      <w:r w:rsidRPr="00CC41BD">
        <w:t xml:space="preserve">anagement system to include </w:t>
      </w:r>
      <w:r w:rsidR="006E405C" w:rsidRPr="00CC41BD">
        <w:t>internal a</w:t>
      </w:r>
      <w:r w:rsidRPr="00CC41BD">
        <w:t xml:space="preserve">udit. For example, the additional donor funding that is contingent on the creation of </w:t>
      </w:r>
      <w:r w:rsidR="00F02AB7">
        <w:t xml:space="preserve">functioning </w:t>
      </w:r>
      <w:r w:rsidR="00970BE8">
        <w:t>internal audit</w:t>
      </w:r>
      <w:r w:rsidR="00F02AB7">
        <w:t xml:space="preserve"> units</w:t>
      </w:r>
      <w:r w:rsidR="00AB0BEE">
        <w:t>.</w:t>
      </w:r>
    </w:p>
    <w:p w14:paraId="5F3A1E5C" w14:textId="1A2C77F4" w:rsidR="00CA1BB2" w:rsidRPr="00CC41BD" w:rsidRDefault="00CA1BB2" w:rsidP="003E12B4">
      <w:pPr>
        <w:pStyle w:val="ListBullet"/>
        <w:rPr>
          <w:i/>
        </w:rPr>
      </w:pPr>
      <w:r w:rsidRPr="00CC41BD">
        <w:t xml:space="preserve">As </w:t>
      </w:r>
      <w:r w:rsidR="00970BE8">
        <w:rPr>
          <w:b/>
        </w:rPr>
        <w:t>internal audit</w:t>
      </w:r>
      <w:r w:rsidRPr="00083B72">
        <w:rPr>
          <w:b/>
        </w:rPr>
        <w:t xml:space="preserve"> is</w:t>
      </w:r>
      <w:r w:rsidRPr="00CC41BD">
        <w:t xml:space="preserve"> </w:t>
      </w:r>
      <w:r w:rsidRPr="00083B72">
        <w:rPr>
          <w:b/>
        </w:rPr>
        <w:t xml:space="preserve">established and </w:t>
      </w:r>
      <w:r>
        <w:rPr>
          <w:b/>
        </w:rPr>
        <w:t>starts</w:t>
      </w:r>
      <w:r w:rsidRPr="00083B72">
        <w:rPr>
          <w:b/>
        </w:rPr>
        <w:t xml:space="preserve"> audit work</w:t>
      </w:r>
      <w:r w:rsidR="00D97615">
        <w:rPr>
          <w:b/>
        </w:rPr>
        <w:t>,</w:t>
      </w:r>
      <w:r w:rsidRPr="00CC41BD">
        <w:t xml:space="preserve"> </w:t>
      </w:r>
      <w:r w:rsidR="00D73C39" w:rsidRPr="00A60A19">
        <w:rPr>
          <w:i/>
        </w:rPr>
        <w:t>central harmonization unit</w:t>
      </w:r>
      <w:r w:rsidR="00D73C39">
        <w:rPr>
          <w:i/>
        </w:rPr>
        <w:t>s</w:t>
      </w:r>
      <w:r w:rsidR="00D73C39" w:rsidRPr="00D13C30">
        <w:t xml:space="preserve"> </w:t>
      </w:r>
      <w:r w:rsidR="00035D32">
        <w:rPr>
          <w:i/>
        </w:rPr>
        <w:t xml:space="preserve">and </w:t>
      </w:r>
      <w:r w:rsidR="001A0C7C">
        <w:rPr>
          <w:i/>
        </w:rPr>
        <w:t>HIA</w:t>
      </w:r>
      <w:r w:rsidR="00035D32">
        <w:rPr>
          <w:i/>
        </w:rPr>
        <w:t xml:space="preserve">s </w:t>
      </w:r>
      <w:r w:rsidRPr="00CC41BD">
        <w:t xml:space="preserve">need to </w:t>
      </w:r>
      <w:r>
        <w:t>focus on</w:t>
      </w:r>
      <w:r w:rsidRPr="00CC41BD">
        <w:t xml:space="preserve"> </w:t>
      </w:r>
      <w:r w:rsidR="005E054C">
        <w:rPr>
          <w:b/>
        </w:rPr>
        <w:t>critical</w:t>
      </w:r>
      <w:r w:rsidRPr="0010422E">
        <w:rPr>
          <w:b/>
        </w:rPr>
        <w:t xml:space="preserve"> success </w:t>
      </w:r>
      <w:r w:rsidR="005E054C">
        <w:rPr>
          <w:b/>
        </w:rPr>
        <w:t>factors</w:t>
      </w:r>
      <w:r w:rsidRPr="00CC41BD">
        <w:t xml:space="preserve"> that are </w:t>
      </w:r>
      <w:r>
        <w:t xml:space="preserve">the </w:t>
      </w:r>
      <w:r w:rsidRPr="00CC41BD">
        <w:t xml:space="preserve">preconditions for </w:t>
      </w:r>
      <w:r w:rsidR="005E054C">
        <w:t>effective</w:t>
      </w:r>
      <w:r>
        <w:t xml:space="preserve"> </w:t>
      </w:r>
      <w:r w:rsidR="00D97615">
        <w:t>internal audit</w:t>
      </w:r>
      <w:r w:rsidRPr="00CC41BD">
        <w:t xml:space="preserve">. </w:t>
      </w:r>
      <w:r w:rsidR="00330D20">
        <w:t xml:space="preserve">These include many of the items noted above as influencing the added value of </w:t>
      </w:r>
      <w:r w:rsidR="00970BE8">
        <w:t>internal audit</w:t>
      </w:r>
      <w:r w:rsidR="00330D20">
        <w:t>, such as positioning, oversight</w:t>
      </w:r>
      <w:r w:rsidR="00D97615">
        <w:t>,</w:t>
      </w:r>
      <w:r w:rsidR="00330D20">
        <w:t xml:space="preserve"> and support</w:t>
      </w:r>
      <w:r w:rsidR="00B44828">
        <w:t>.</w:t>
      </w:r>
      <w:r w:rsidRPr="00CC41BD">
        <w:t xml:space="preserve"> </w:t>
      </w:r>
    </w:p>
    <w:p w14:paraId="53ABA2E3" w14:textId="1B2F193E" w:rsidR="00CA1BB2" w:rsidRPr="00035D32" w:rsidRDefault="00CA1BB2" w:rsidP="003E12B4">
      <w:pPr>
        <w:pStyle w:val="ListBullet"/>
        <w:rPr>
          <w:i/>
        </w:rPr>
      </w:pPr>
      <w:r w:rsidRPr="00CC41BD">
        <w:lastRenderedPageBreak/>
        <w:t xml:space="preserve">Once </w:t>
      </w:r>
      <w:r w:rsidR="00970BE8">
        <w:rPr>
          <w:b/>
        </w:rPr>
        <w:t>internal audit</w:t>
      </w:r>
      <w:r w:rsidRPr="00083B72">
        <w:rPr>
          <w:b/>
        </w:rPr>
        <w:t xml:space="preserve"> is</w:t>
      </w:r>
      <w:r w:rsidR="00D52DA1">
        <w:rPr>
          <w:b/>
        </w:rPr>
        <w:t xml:space="preserve"> fully</w:t>
      </w:r>
      <w:r w:rsidRPr="00083B72">
        <w:rPr>
          <w:b/>
        </w:rPr>
        <w:t xml:space="preserve"> operat</w:t>
      </w:r>
      <w:r w:rsidR="00D52DA1">
        <w:rPr>
          <w:b/>
        </w:rPr>
        <w:t>ional</w:t>
      </w:r>
      <w:r w:rsidR="00D97615">
        <w:rPr>
          <w:b/>
        </w:rPr>
        <w:t>,</w:t>
      </w:r>
      <w:r w:rsidR="00D52DA1">
        <w:rPr>
          <w:b/>
        </w:rPr>
        <w:t xml:space="preserve"> </w:t>
      </w:r>
      <w:r w:rsidR="00697302" w:rsidRPr="00A60A19">
        <w:rPr>
          <w:i/>
        </w:rPr>
        <w:t>central harmonization unit</w:t>
      </w:r>
      <w:r w:rsidR="00697302">
        <w:rPr>
          <w:i/>
        </w:rPr>
        <w:t>s</w:t>
      </w:r>
      <w:r w:rsidR="00697302" w:rsidRPr="00D13C30">
        <w:t xml:space="preserve"> </w:t>
      </w:r>
      <w:r w:rsidR="00035D32">
        <w:rPr>
          <w:i/>
        </w:rPr>
        <w:t xml:space="preserve">and </w:t>
      </w:r>
      <w:r w:rsidR="001A0C7C">
        <w:rPr>
          <w:i/>
        </w:rPr>
        <w:t>HIA</w:t>
      </w:r>
      <w:r w:rsidR="00035D32">
        <w:rPr>
          <w:i/>
        </w:rPr>
        <w:t xml:space="preserve">s </w:t>
      </w:r>
      <w:r w:rsidRPr="00CC41BD">
        <w:t xml:space="preserve">can focus on </w:t>
      </w:r>
      <w:r w:rsidR="00C37218">
        <w:t>the full range of means</w:t>
      </w:r>
      <w:r w:rsidRPr="00CC41BD">
        <w:t xml:space="preserve"> of demonstrating </w:t>
      </w:r>
      <w:r w:rsidR="00970BE8">
        <w:t>internal audit</w:t>
      </w:r>
      <w:r w:rsidRPr="00CC41BD">
        <w:t xml:space="preserve"> added value including: </w:t>
      </w:r>
      <w:r w:rsidR="00C37218">
        <w:t>key performance indicators</w:t>
      </w:r>
      <w:r w:rsidRPr="00CC41BD">
        <w:t xml:space="preserve"> relating to the cost, timeliness</w:t>
      </w:r>
      <w:r w:rsidR="00F03244">
        <w:t>, improvements,</w:t>
      </w:r>
      <w:r w:rsidRPr="00CC41BD">
        <w:t xml:space="preserve"> and results of audit (number of recommendations accepted and implemented</w:t>
      </w:r>
      <w:r w:rsidR="00AB0BEE">
        <w:t>)</w:t>
      </w:r>
      <w:r w:rsidR="00B44828">
        <w:t>,</w:t>
      </w:r>
      <w:r w:rsidRPr="00CC41BD">
        <w:t xml:space="preserve"> measuring stakeholder satisfaction</w:t>
      </w:r>
      <w:r w:rsidR="00740984">
        <w:t>,</w:t>
      </w:r>
      <w:r w:rsidRPr="00CC41BD">
        <w:t xml:space="preserve"> </w:t>
      </w:r>
      <w:r w:rsidR="00D0059C">
        <w:t xml:space="preserve">and </w:t>
      </w:r>
      <w:r w:rsidRPr="00CC41BD">
        <w:t xml:space="preserve">the effective communication of audit findings. </w:t>
      </w:r>
      <w:r w:rsidR="00E455BF">
        <w:t xml:space="preserve">This is covered further in section 3. </w:t>
      </w:r>
    </w:p>
    <w:p w14:paraId="248AE884" w14:textId="188AD938" w:rsidR="00E455BF" w:rsidRDefault="00F02AB7" w:rsidP="00442475">
      <w:pPr>
        <w:pStyle w:val="numberedparas"/>
        <w:numPr>
          <w:ilvl w:val="0"/>
          <w:numId w:val="0"/>
        </w:numPr>
      </w:pPr>
      <w:r>
        <w:t xml:space="preserve">Table </w:t>
      </w:r>
      <w:r w:rsidR="00131021">
        <w:t>1</w:t>
      </w:r>
      <w:r w:rsidR="008152CE">
        <w:t xml:space="preserve"> </w:t>
      </w:r>
      <w:r>
        <w:t xml:space="preserve">below </w:t>
      </w:r>
      <w:r w:rsidR="005E054C">
        <w:t>summar</w:t>
      </w:r>
      <w:r w:rsidR="00740984">
        <w:t>izes</w:t>
      </w:r>
      <w:r w:rsidR="005E054C">
        <w:t xml:space="preserve"> the three maturity levels with some ideas </w:t>
      </w:r>
      <w:r w:rsidR="00131021">
        <w:t xml:space="preserve">on </w:t>
      </w:r>
      <w:r w:rsidR="005E054C">
        <w:t>ho</w:t>
      </w:r>
      <w:r>
        <w:t xml:space="preserve">w </w:t>
      </w:r>
      <w:r w:rsidR="00697302" w:rsidRPr="00442475">
        <w:t>central harmonization units</w:t>
      </w:r>
      <w:r w:rsidR="00697302" w:rsidRPr="00D13C30">
        <w:t xml:space="preserve"> </w:t>
      </w:r>
      <w:r>
        <w:t xml:space="preserve">and </w:t>
      </w:r>
      <w:r w:rsidR="001A0C7C">
        <w:t>HIA</w:t>
      </w:r>
      <w:r>
        <w:t xml:space="preserve">s might </w:t>
      </w:r>
      <w:r w:rsidR="00035D32" w:rsidRPr="00CC41BD">
        <w:t xml:space="preserve">demonstrate the </w:t>
      </w:r>
      <w:r>
        <w:t>added v</w:t>
      </w:r>
      <w:r w:rsidR="00035D32" w:rsidRPr="00F02AB7">
        <w:t>alue</w:t>
      </w:r>
      <w:r w:rsidR="00035D32" w:rsidRPr="00CC41BD">
        <w:t xml:space="preserve"> of </w:t>
      </w:r>
      <w:r w:rsidR="00970BE8">
        <w:t>internal audit</w:t>
      </w:r>
      <w:r w:rsidR="00035D32" w:rsidRPr="00CC41BD">
        <w:t xml:space="preserve"> </w:t>
      </w:r>
      <w:r w:rsidR="005E054C">
        <w:t xml:space="preserve">in relation </w:t>
      </w:r>
      <w:r w:rsidR="00131021">
        <w:t>to</w:t>
      </w:r>
      <w:r w:rsidR="005E054C">
        <w:t xml:space="preserve"> the critical success factors noted in section </w:t>
      </w:r>
      <w:r w:rsidR="00F03244">
        <w:t>2</w:t>
      </w:r>
      <w:r w:rsidR="005E054C">
        <w:t>.3.</w:t>
      </w:r>
    </w:p>
    <w:p w14:paraId="1465B327" w14:textId="2F53F1E1" w:rsidR="00E455BF" w:rsidRPr="00E455BF" w:rsidRDefault="008152CE" w:rsidP="00E455BF">
      <w:pPr>
        <w:pStyle w:val="Caption"/>
        <w:keepNext/>
        <w:rPr>
          <w:sz w:val="24"/>
          <w:szCs w:val="24"/>
        </w:rPr>
      </w:pPr>
      <w:r>
        <w:rPr>
          <w:sz w:val="24"/>
          <w:szCs w:val="24"/>
        </w:rPr>
        <w:t>Table</w:t>
      </w:r>
      <w:r w:rsidR="00E455BF" w:rsidRPr="00E455BF">
        <w:rPr>
          <w:sz w:val="24"/>
          <w:szCs w:val="24"/>
        </w:rPr>
        <w:t xml:space="preserve"> </w:t>
      </w:r>
      <w:r w:rsidR="00131021">
        <w:rPr>
          <w:sz w:val="24"/>
          <w:szCs w:val="24"/>
        </w:rPr>
        <w:t>1</w:t>
      </w:r>
      <w:r w:rsidR="0001703A">
        <w:rPr>
          <w:sz w:val="24"/>
          <w:szCs w:val="24"/>
        </w:rPr>
        <w:t>:</w:t>
      </w:r>
      <w:r w:rsidR="00E455BF" w:rsidRPr="00E455BF">
        <w:rPr>
          <w:sz w:val="24"/>
          <w:szCs w:val="24"/>
        </w:rPr>
        <w:t xml:space="preserve"> Demonstrating </w:t>
      </w:r>
      <w:r w:rsidR="009A182D" w:rsidRPr="00E455BF">
        <w:rPr>
          <w:sz w:val="24"/>
          <w:szCs w:val="24"/>
        </w:rPr>
        <w:t>added value at different levels of maturity</w:t>
      </w:r>
      <w:r w:rsidR="009A182D">
        <w:rPr>
          <w:sz w:val="24"/>
          <w:szCs w:val="24"/>
        </w:rPr>
        <w:t xml:space="preserve"> </w:t>
      </w:r>
      <w:r w:rsidR="00131021">
        <w:rPr>
          <w:sz w:val="24"/>
          <w:szCs w:val="24"/>
        </w:rPr>
        <w:t>– an illustration</w:t>
      </w:r>
    </w:p>
    <w:tbl>
      <w:tblPr>
        <w:tblStyle w:val="TableGrid"/>
        <w:tblW w:w="9990" w:type="dxa"/>
        <w:tblInd w:w="-455" w:type="dxa"/>
        <w:tblLook w:val="04A0" w:firstRow="1" w:lastRow="0" w:firstColumn="1" w:lastColumn="0" w:noHBand="0" w:noVBand="1"/>
      </w:tblPr>
      <w:tblGrid>
        <w:gridCol w:w="1708"/>
        <w:gridCol w:w="2432"/>
        <w:gridCol w:w="3141"/>
        <w:gridCol w:w="2709"/>
      </w:tblGrid>
      <w:tr w:rsidR="00035D32" w14:paraId="6931A62B" w14:textId="77777777" w:rsidTr="00442475">
        <w:trPr>
          <w:tblHeader/>
        </w:trPr>
        <w:tc>
          <w:tcPr>
            <w:tcW w:w="1708" w:type="dxa"/>
          </w:tcPr>
          <w:p w14:paraId="45B9E569" w14:textId="786D40C4" w:rsidR="00035D32" w:rsidRPr="005E054C" w:rsidRDefault="005E054C" w:rsidP="00035D32">
            <w:pPr>
              <w:pStyle w:val="Table"/>
              <w:rPr>
                <w:b/>
              </w:rPr>
            </w:pPr>
            <w:r w:rsidRPr="005E054C">
              <w:rPr>
                <w:b/>
              </w:rPr>
              <w:t xml:space="preserve">Critical </w:t>
            </w:r>
            <w:r w:rsidR="009A182D" w:rsidRPr="005E054C">
              <w:rPr>
                <w:b/>
              </w:rPr>
              <w:t>success factor</w:t>
            </w:r>
          </w:p>
        </w:tc>
        <w:tc>
          <w:tcPr>
            <w:tcW w:w="2432" w:type="dxa"/>
          </w:tcPr>
          <w:p w14:paraId="07A2B814" w14:textId="5502F2A5" w:rsidR="00035D32" w:rsidRDefault="009A182D" w:rsidP="00035D32">
            <w:pPr>
              <w:pStyle w:val="Table"/>
              <w:jc w:val="center"/>
            </w:pPr>
            <w:r>
              <w:rPr>
                <w:b/>
              </w:rPr>
              <w:t xml:space="preserve">Internal </w:t>
            </w:r>
            <w:r w:rsidR="00970BE8">
              <w:rPr>
                <w:b/>
              </w:rPr>
              <w:t>audit</w:t>
            </w:r>
            <w:r w:rsidR="00035D32" w:rsidRPr="00083B72">
              <w:rPr>
                <w:b/>
              </w:rPr>
              <w:t xml:space="preserve"> is still being established</w:t>
            </w:r>
          </w:p>
        </w:tc>
        <w:tc>
          <w:tcPr>
            <w:tcW w:w="3141" w:type="dxa"/>
          </w:tcPr>
          <w:p w14:paraId="087C7CF5" w14:textId="5A31E432" w:rsidR="00035D32" w:rsidRDefault="009A182D" w:rsidP="00035D32">
            <w:pPr>
              <w:pStyle w:val="Table"/>
              <w:jc w:val="center"/>
            </w:pPr>
            <w:r>
              <w:rPr>
                <w:b/>
              </w:rPr>
              <w:t xml:space="preserve">Internal </w:t>
            </w:r>
            <w:r w:rsidR="00970BE8">
              <w:rPr>
                <w:b/>
              </w:rPr>
              <w:t>audit</w:t>
            </w:r>
            <w:r w:rsidR="00035D32" w:rsidRPr="00083B72">
              <w:rPr>
                <w:b/>
              </w:rPr>
              <w:t xml:space="preserve"> is</w:t>
            </w:r>
            <w:r w:rsidR="00035D32" w:rsidRPr="00CC41BD">
              <w:t xml:space="preserve"> </w:t>
            </w:r>
            <w:r w:rsidR="00035D32" w:rsidRPr="00083B72">
              <w:rPr>
                <w:b/>
              </w:rPr>
              <w:t xml:space="preserve">established and </w:t>
            </w:r>
            <w:r w:rsidR="00035D32">
              <w:rPr>
                <w:b/>
              </w:rPr>
              <w:t>starts</w:t>
            </w:r>
            <w:r w:rsidR="00035D32" w:rsidRPr="00083B72">
              <w:rPr>
                <w:b/>
              </w:rPr>
              <w:t xml:space="preserve"> audit work</w:t>
            </w:r>
            <w:r w:rsidR="00035D32">
              <w:rPr>
                <w:b/>
              </w:rPr>
              <w:t xml:space="preserve"> </w:t>
            </w:r>
          </w:p>
        </w:tc>
        <w:tc>
          <w:tcPr>
            <w:tcW w:w="2709" w:type="dxa"/>
          </w:tcPr>
          <w:p w14:paraId="2AD2847E" w14:textId="470C4840" w:rsidR="00035D32" w:rsidRDefault="009A182D" w:rsidP="00035D32">
            <w:pPr>
              <w:pStyle w:val="Table"/>
              <w:jc w:val="center"/>
            </w:pPr>
            <w:r>
              <w:rPr>
                <w:b/>
              </w:rPr>
              <w:t xml:space="preserve">Internal </w:t>
            </w:r>
            <w:r w:rsidR="00970BE8">
              <w:rPr>
                <w:b/>
              </w:rPr>
              <w:t>audit</w:t>
            </w:r>
            <w:r w:rsidR="00035D32" w:rsidRPr="00083B72">
              <w:rPr>
                <w:b/>
              </w:rPr>
              <w:t xml:space="preserve"> is </w:t>
            </w:r>
            <w:r w:rsidR="00F03244">
              <w:rPr>
                <w:b/>
              </w:rPr>
              <w:t xml:space="preserve">fully </w:t>
            </w:r>
            <w:r w:rsidR="00035D32" w:rsidRPr="00083B72">
              <w:rPr>
                <w:b/>
              </w:rPr>
              <w:t>operati</w:t>
            </w:r>
            <w:r w:rsidR="00F03244">
              <w:rPr>
                <w:b/>
              </w:rPr>
              <w:t xml:space="preserve">onal </w:t>
            </w:r>
            <w:r w:rsidR="00035D32" w:rsidRPr="00083B72">
              <w:rPr>
                <w:b/>
              </w:rPr>
              <w:t xml:space="preserve"> </w:t>
            </w:r>
          </w:p>
        </w:tc>
      </w:tr>
      <w:tr w:rsidR="00035D32" w14:paraId="56D20AC4" w14:textId="77777777" w:rsidTr="00673546">
        <w:tc>
          <w:tcPr>
            <w:tcW w:w="1708" w:type="dxa"/>
          </w:tcPr>
          <w:p w14:paraId="7143FEE5" w14:textId="0BC0D419" w:rsidR="00035D32" w:rsidRPr="00673546" w:rsidRDefault="00895C2B" w:rsidP="00035D32">
            <w:pPr>
              <w:pStyle w:val="Table"/>
              <w:rPr>
                <w:sz w:val="20"/>
                <w:szCs w:val="20"/>
              </w:rPr>
            </w:pPr>
            <w:r w:rsidRPr="00673546">
              <w:rPr>
                <w:sz w:val="20"/>
                <w:szCs w:val="20"/>
              </w:rPr>
              <w:t>Positioning</w:t>
            </w:r>
            <w:r w:rsidR="001A6B07" w:rsidRPr="00673546">
              <w:rPr>
                <w:sz w:val="20"/>
                <w:szCs w:val="20"/>
              </w:rPr>
              <w:t xml:space="preserve"> </w:t>
            </w:r>
            <w:r w:rsidR="003333F9" w:rsidRPr="00673546">
              <w:rPr>
                <w:sz w:val="20"/>
                <w:szCs w:val="20"/>
              </w:rPr>
              <w:t xml:space="preserve">oversight and support of </w:t>
            </w:r>
            <w:r w:rsidR="000535DD">
              <w:rPr>
                <w:sz w:val="20"/>
                <w:szCs w:val="20"/>
              </w:rPr>
              <w:t>internal audit</w:t>
            </w:r>
          </w:p>
        </w:tc>
        <w:tc>
          <w:tcPr>
            <w:tcW w:w="2432" w:type="dxa"/>
          </w:tcPr>
          <w:p w14:paraId="4EBE360B" w14:textId="5A50C770" w:rsidR="00895C2B" w:rsidRPr="00914E9B" w:rsidRDefault="00895C2B" w:rsidP="00914E9B">
            <w:pPr>
              <w:pStyle w:val="Tableindent"/>
            </w:pPr>
            <w:r w:rsidRPr="00914E9B">
              <w:t>Legal Framework</w:t>
            </w:r>
            <w:r w:rsidR="00A07A4A" w:rsidRPr="00914E9B">
              <w:t xml:space="preserve"> established with main </w:t>
            </w:r>
            <w:r w:rsidR="000535DD">
              <w:t>internal audit</w:t>
            </w:r>
            <w:r w:rsidR="001C7275">
              <w:t xml:space="preserve"> </w:t>
            </w:r>
            <w:r w:rsidR="00A07A4A" w:rsidRPr="00914E9B">
              <w:t>concepts</w:t>
            </w:r>
            <w:r w:rsidR="009E5C41">
              <w:t>:</w:t>
            </w:r>
            <w:r w:rsidR="00A07A4A" w:rsidRPr="00914E9B">
              <w:t xml:space="preserve"> </w:t>
            </w:r>
            <w:r w:rsidR="009E5C41" w:rsidRPr="00914E9B">
              <w:t>integrity, ethics, independence</w:t>
            </w:r>
            <w:r w:rsidR="00FD4640">
              <w:t>;</w:t>
            </w:r>
          </w:p>
          <w:p w14:paraId="58968C61" w14:textId="6F940E08" w:rsidR="00A07A4A" w:rsidRPr="00914E9B" w:rsidRDefault="003F0307" w:rsidP="00914E9B">
            <w:pPr>
              <w:pStyle w:val="Tableindent"/>
            </w:pPr>
            <w:r>
              <w:t xml:space="preserve">Internal </w:t>
            </w:r>
            <w:r w:rsidR="000535DD">
              <w:t>audit</w:t>
            </w:r>
            <w:r w:rsidR="001C7275">
              <w:t xml:space="preserve"> </w:t>
            </w:r>
            <w:r w:rsidR="00442475">
              <w:t>does not</w:t>
            </w:r>
            <w:r w:rsidR="00F02AB7" w:rsidRPr="00914E9B">
              <w:t xml:space="preserve"> report to </w:t>
            </w:r>
            <w:r w:rsidR="00442475">
              <w:t xml:space="preserve">the </w:t>
            </w:r>
            <w:r w:rsidR="00F02AB7" w:rsidRPr="00914E9B">
              <w:t>senior official in Ministry</w:t>
            </w:r>
            <w:r w:rsidR="00FD4640">
              <w:t>.</w:t>
            </w:r>
          </w:p>
        </w:tc>
        <w:tc>
          <w:tcPr>
            <w:tcW w:w="3141" w:type="dxa"/>
          </w:tcPr>
          <w:p w14:paraId="4790EC89" w14:textId="49E44E31" w:rsidR="00035D32" w:rsidRPr="00673546" w:rsidRDefault="00895C2B" w:rsidP="00914E9B">
            <w:pPr>
              <w:pStyle w:val="Tableindent"/>
            </w:pPr>
            <w:r w:rsidRPr="00673546">
              <w:t>Regulatory Framework</w:t>
            </w:r>
            <w:r w:rsidR="00A07A4A" w:rsidRPr="00673546">
              <w:t xml:space="preserve"> in place</w:t>
            </w:r>
            <w:r w:rsidR="00FD4640">
              <w:t>;</w:t>
            </w:r>
          </w:p>
          <w:p w14:paraId="543AF487" w14:textId="56989114" w:rsidR="00A07A4A" w:rsidRPr="00673546" w:rsidRDefault="00895C2B" w:rsidP="00914E9B">
            <w:pPr>
              <w:pStyle w:val="Tableindent"/>
            </w:pPr>
            <w:r w:rsidRPr="00673546">
              <w:t>Manuals and Guide</w:t>
            </w:r>
            <w:r w:rsidR="00A07A4A" w:rsidRPr="00673546">
              <w:t>line</w:t>
            </w:r>
            <w:r w:rsidR="00F02AB7" w:rsidRPr="00673546">
              <w:t>s</w:t>
            </w:r>
            <w:r w:rsidR="00A07A4A" w:rsidRPr="00673546">
              <w:t xml:space="preserve"> developed and in use</w:t>
            </w:r>
            <w:r w:rsidR="00FD4640">
              <w:t>;</w:t>
            </w:r>
          </w:p>
          <w:p w14:paraId="202FC8ED" w14:textId="29CEF3C1" w:rsidR="00F02AB7" w:rsidRPr="00673546" w:rsidRDefault="00287297" w:rsidP="00914E9B">
            <w:pPr>
              <w:pStyle w:val="Tableindent"/>
            </w:pPr>
            <w:r>
              <w:t xml:space="preserve">Internal </w:t>
            </w:r>
            <w:r w:rsidR="00753E39">
              <w:t xml:space="preserve">audit </w:t>
            </w:r>
            <w:r w:rsidR="00442475">
              <w:t>does not</w:t>
            </w:r>
            <w:r w:rsidR="00F02AB7" w:rsidRPr="00673546">
              <w:t xml:space="preserve"> report to </w:t>
            </w:r>
            <w:r w:rsidR="00442475">
              <w:t xml:space="preserve">the </w:t>
            </w:r>
            <w:r w:rsidR="00F02AB7" w:rsidRPr="00673546">
              <w:t>senior official in Ministry</w:t>
            </w:r>
            <w:r w:rsidR="00FD4640">
              <w:t>;</w:t>
            </w:r>
          </w:p>
          <w:p w14:paraId="22944260" w14:textId="1DBF3EDE" w:rsidR="00D0059C" w:rsidRPr="00673546" w:rsidRDefault="00D0059C" w:rsidP="00914E9B">
            <w:pPr>
              <w:pStyle w:val="Tableindent"/>
            </w:pPr>
            <w:r w:rsidRPr="00673546">
              <w:t>AC formed but not fully operational</w:t>
            </w:r>
            <w:r w:rsidR="00FD4640">
              <w:t>.</w:t>
            </w:r>
          </w:p>
        </w:tc>
        <w:tc>
          <w:tcPr>
            <w:tcW w:w="2709" w:type="dxa"/>
          </w:tcPr>
          <w:p w14:paraId="67DBDF44" w14:textId="6A27D9F5" w:rsidR="00D0059C" w:rsidRPr="00673546" w:rsidRDefault="00287297" w:rsidP="00914E9B">
            <w:pPr>
              <w:pStyle w:val="Tableindent"/>
            </w:pPr>
            <w:r>
              <w:t xml:space="preserve">Internal audit </w:t>
            </w:r>
            <w:r w:rsidR="00D0059C" w:rsidRPr="00673546">
              <w:t xml:space="preserve">reports to </w:t>
            </w:r>
            <w:r w:rsidR="00290D27">
              <w:t>Senior</w:t>
            </w:r>
            <w:r w:rsidR="00290D27" w:rsidRPr="00673546">
              <w:t xml:space="preserve"> </w:t>
            </w:r>
            <w:r w:rsidR="00D0059C" w:rsidRPr="00673546">
              <w:t>Official in Ministry</w:t>
            </w:r>
            <w:r w:rsidR="00F03244">
              <w:t>/Organization</w:t>
            </w:r>
            <w:r w:rsidR="00FD4640">
              <w:t>;</w:t>
            </w:r>
            <w:r w:rsidR="00D0059C" w:rsidRPr="00673546">
              <w:t xml:space="preserve"> </w:t>
            </w:r>
          </w:p>
          <w:p w14:paraId="145B7658" w14:textId="15E16F5D" w:rsidR="00035D32" w:rsidRPr="00673546" w:rsidRDefault="00782DE9" w:rsidP="00914E9B">
            <w:pPr>
              <w:pStyle w:val="Tableindent"/>
            </w:pPr>
            <w:r w:rsidRPr="00A0136C">
              <w:t>Audit committee</w:t>
            </w:r>
            <w:r w:rsidRPr="00673546" w:rsidDel="00782DE9">
              <w:t xml:space="preserve"> </w:t>
            </w:r>
            <w:r w:rsidR="00F02AB7" w:rsidRPr="00673546">
              <w:t xml:space="preserve">in place and </w:t>
            </w:r>
            <w:r w:rsidR="00D0059C" w:rsidRPr="00673546">
              <w:t>oversees</w:t>
            </w:r>
            <w:r w:rsidR="00A07A4A" w:rsidRPr="00673546">
              <w:t xml:space="preserve"> planning</w:t>
            </w:r>
            <w:r w:rsidR="00F03244">
              <w:t>, reporting, follow up</w:t>
            </w:r>
            <w:r w:rsidR="00FD4640">
              <w:t>;</w:t>
            </w:r>
          </w:p>
          <w:p w14:paraId="30FA7CA9" w14:textId="0479F0B8" w:rsidR="00A07A4A" w:rsidRPr="00673546" w:rsidRDefault="00782DE9" w:rsidP="00914E9B">
            <w:pPr>
              <w:pStyle w:val="Tableindent"/>
            </w:pPr>
            <w:r w:rsidRPr="00A0136C">
              <w:t>Audit committee</w:t>
            </w:r>
            <w:r w:rsidRPr="00673546" w:rsidDel="00782DE9">
              <w:t xml:space="preserve"> </w:t>
            </w:r>
            <w:r w:rsidR="00A07A4A" w:rsidRPr="00673546">
              <w:t xml:space="preserve">approval of </w:t>
            </w:r>
            <w:r w:rsidR="00D0059C" w:rsidRPr="00673546">
              <w:t xml:space="preserve">any </w:t>
            </w:r>
            <w:r w:rsidR="00A07A4A" w:rsidRPr="00673546">
              <w:t xml:space="preserve">changes in </w:t>
            </w:r>
            <w:r w:rsidR="00D0059C" w:rsidRPr="00673546">
              <w:t xml:space="preserve">the </w:t>
            </w:r>
            <w:r w:rsidR="001A0C7C">
              <w:t>HIA</w:t>
            </w:r>
            <w:r w:rsidR="00FD4640">
              <w:t>;</w:t>
            </w:r>
          </w:p>
          <w:p w14:paraId="2CC32E40" w14:textId="55148395" w:rsidR="00A07A4A" w:rsidRPr="00673546" w:rsidRDefault="003333F9" w:rsidP="00914E9B">
            <w:pPr>
              <w:pStyle w:val="Tableindent"/>
            </w:pPr>
            <w:r w:rsidRPr="00673546">
              <w:t xml:space="preserve">SAI places reliance on </w:t>
            </w:r>
            <w:r w:rsidR="00287297">
              <w:t xml:space="preserve">internal audit </w:t>
            </w:r>
            <w:r w:rsidRPr="00673546">
              <w:t>work during audit</w:t>
            </w:r>
            <w:r w:rsidR="00FD4640">
              <w:t>.</w:t>
            </w:r>
          </w:p>
        </w:tc>
      </w:tr>
      <w:tr w:rsidR="00A07A4A" w14:paraId="01529289" w14:textId="77777777" w:rsidTr="00673546">
        <w:tc>
          <w:tcPr>
            <w:tcW w:w="1708" w:type="dxa"/>
          </w:tcPr>
          <w:p w14:paraId="2CB5CA0D" w14:textId="0F08C293" w:rsidR="00A07A4A" w:rsidRPr="00673546" w:rsidRDefault="00A07A4A" w:rsidP="00035D32">
            <w:pPr>
              <w:pStyle w:val="Table"/>
              <w:rPr>
                <w:sz w:val="20"/>
                <w:szCs w:val="20"/>
              </w:rPr>
            </w:pPr>
            <w:r w:rsidRPr="00673546">
              <w:rPr>
                <w:sz w:val="20"/>
                <w:szCs w:val="20"/>
              </w:rPr>
              <w:t>Funding</w:t>
            </w:r>
            <w:r w:rsidR="001A6B07" w:rsidRPr="00673546">
              <w:rPr>
                <w:sz w:val="20"/>
                <w:szCs w:val="20"/>
              </w:rPr>
              <w:t xml:space="preserve"> of </w:t>
            </w:r>
            <w:r w:rsidR="00404F30" w:rsidRPr="00404F30">
              <w:rPr>
                <w:sz w:val="20"/>
                <w:szCs w:val="20"/>
              </w:rPr>
              <w:t>internal audit</w:t>
            </w:r>
          </w:p>
        </w:tc>
        <w:tc>
          <w:tcPr>
            <w:tcW w:w="2432" w:type="dxa"/>
          </w:tcPr>
          <w:p w14:paraId="55151C21" w14:textId="5E1D33E7" w:rsidR="00A07A4A" w:rsidRPr="00914E9B" w:rsidRDefault="001A0C7C" w:rsidP="00914E9B">
            <w:pPr>
              <w:pStyle w:val="Tableindent"/>
            </w:pPr>
            <w:r>
              <w:t>HIA</w:t>
            </w:r>
            <w:r w:rsidR="00D0059C" w:rsidRPr="00914E9B">
              <w:t xml:space="preserve"> has limited input on the</w:t>
            </w:r>
            <w:r w:rsidR="003333F9" w:rsidRPr="00914E9B">
              <w:t xml:space="preserve"> funding of </w:t>
            </w:r>
            <w:r w:rsidR="00404F30" w:rsidRPr="00404F30">
              <w:t xml:space="preserve">internal audit </w:t>
            </w:r>
            <w:r w:rsidR="003333F9" w:rsidRPr="00914E9B">
              <w:t>service</w:t>
            </w:r>
            <w:r w:rsidR="00FD4640">
              <w:t>.</w:t>
            </w:r>
          </w:p>
        </w:tc>
        <w:tc>
          <w:tcPr>
            <w:tcW w:w="3141" w:type="dxa"/>
          </w:tcPr>
          <w:p w14:paraId="25E4FBCD" w14:textId="18278D18" w:rsidR="00A07A4A" w:rsidRPr="00673546" w:rsidRDefault="001A0C7C" w:rsidP="00914E9B">
            <w:pPr>
              <w:pStyle w:val="Tableindent"/>
            </w:pPr>
            <w:r>
              <w:t>HIA</w:t>
            </w:r>
            <w:r w:rsidR="003333F9" w:rsidRPr="00673546">
              <w:t xml:space="preserve"> </w:t>
            </w:r>
            <w:r w:rsidR="00D0059C" w:rsidRPr="00673546">
              <w:t>provides</w:t>
            </w:r>
            <w:r w:rsidR="003333F9" w:rsidRPr="00673546">
              <w:t xml:space="preserve"> input on budgeted resources needed</w:t>
            </w:r>
            <w:r w:rsidR="00FD4640">
              <w:t>.</w:t>
            </w:r>
          </w:p>
        </w:tc>
        <w:tc>
          <w:tcPr>
            <w:tcW w:w="2709" w:type="dxa"/>
          </w:tcPr>
          <w:p w14:paraId="418D7207" w14:textId="215D0F18" w:rsidR="003333F9" w:rsidRPr="00673546" w:rsidRDefault="001A0C7C" w:rsidP="00914E9B">
            <w:pPr>
              <w:pStyle w:val="Tableindent"/>
            </w:pPr>
            <w:r>
              <w:t>HIA</w:t>
            </w:r>
            <w:r w:rsidR="003333F9" w:rsidRPr="00673546">
              <w:t xml:space="preserve"> fully responsible for </w:t>
            </w:r>
            <w:r w:rsidR="00404F30">
              <w:t xml:space="preserve">internal audit </w:t>
            </w:r>
            <w:r w:rsidR="003333F9" w:rsidRPr="00673546">
              <w:t>budget</w:t>
            </w:r>
            <w:r w:rsidR="00FD4640">
              <w:t>;</w:t>
            </w:r>
          </w:p>
          <w:p w14:paraId="5C9CAAD5" w14:textId="0A18CDF5" w:rsidR="00A07A4A" w:rsidRPr="00673546" w:rsidRDefault="000535DD" w:rsidP="00914E9B">
            <w:pPr>
              <w:pStyle w:val="Tableindent"/>
            </w:pPr>
            <w:r w:rsidRPr="00A0136C">
              <w:t>Audit committee</w:t>
            </w:r>
            <w:r w:rsidRPr="00673546" w:rsidDel="00782DE9">
              <w:t xml:space="preserve"> </w:t>
            </w:r>
            <w:r w:rsidR="003333F9" w:rsidRPr="00673546">
              <w:t>reviews and approves budget</w:t>
            </w:r>
            <w:r w:rsidR="00FD4640">
              <w:t>.</w:t>
            </w:r>
          </w:p>
        </w:tc>
      </w:tr>
      <w:tr w:rsidR="00165704" w14:paraId="26F89CF3" w14:textId="77777777" w:rsidTr="00673546">
        <w:tc>
          <w:tcPr>
            <w:tcW w:w="1708" w:type="dxa"/>
          </w:tcPr>
          <w:p w14:paraId="77A8D888" w14:textId="55F7BFAC" w:rsidR="00165704" w:rsidRPr="00673546" w:rsidRDefault="001A6B07" w:rsidP="00035D32">
            <w:pPr>
              <w:pStyle w:val="Table"/>
              <w:rPr>
                <w:sz w:val="20"/>
                <w:szCs w:val="20"/>
              </w:rPr>
            </w:pPr>
            <w:r w:rsidRPr="00673546">
              <w:rPr>
                <w:sz w:val="20"/>
                <w:szCs w:val="20"/>
              </w:rPr>
              <w:t xml:space="preserve">Managerial </w:t>
            </w:r>
            <w:r w:rsidR="007F746E" w:rsidRPr="00673546">
              <w:rPr>
                <w:sz w:val="20"/>
                <w:szCs w:val="20"/>
              </w:rPr>
              <w:t xml:space="preserve">awareness </w:t>
            </w:r>
            <w:r w:rsidR="00A07A4A" w:rsidRPr="00673546">
              <w:rPr>
                <w:sz w:val="20"/>
                <w:szCs w:val="20"/>
              </w:rPr>
              <w:t xml:space="preserve">of </w:t>
            </w:r>
            <w:r w:rsidR="00404F30" w:rsidRPr="00442475">
              <w:rPr>
                <w:sz w:val="20"/>
                <w:szCs w:val="20"/>
              </w:rPr>
              <w:t xml:space="preserve">internal </w:t>
            </w:r>
            <w:r w:rsidR="00404F30">
              <w:rPr>
                <w:sz w:val="20"/>
                <w:szCs w:val="20"/>
              </w:rPr>
              <w:t>audit</w:t>
            </w:r>
            <w:r w:rsidR="00404F30">
              <w:t xml:space="preserve"> </w:t>
            </w:r>
            <w:r w:rsidR="00A07A4A" w:rsidRPr="00673546">
              <w:rPr>
                <w:sz w:val="20"/>
                <w:szCs w:val="20"/>
              </w:rPr>
              <w:t>function</w:t>
            </w:r>
            <w:r w:rsidR="00895C2B" w:rsidRPr="00673546">
              <w:rPr>
                <w:sz w:val="20"/>
                <w:szCs w:val="20"/>
              </w:rPr>
              <w:t xml:space="preserve"> </w:t>
            </w:r>
          </w:p>
        </w:tc>
        <w:tc>
          <w:tcPr>
            <w:tcW w:w="2432" w:type="dxa"/>
          </w:tcPr>
          <w:p w14:paraId="60AB5222" w14:textId="1C80FFF4" w:rsidR="00A07A4A" w:rsidRPr="00914E9B" w:rsidRDefault="00A07A4A" w:rsidP="00914E9B">
            <w:pPr>
              <w:pStyle w:val="Tableindent"/>
            </w:pPr>
            <w:r w:rsidRPr="00914E9B">
              <w:t xml:space="preserve">Limited awareness of benefits of </w:t>
            </w:r>
            <w:r w:rsidR="00404F30">
              <w:t>internal audit</w:t>
            </w:r>
            <w:r w:rsidR="00FD4640">
              <w:t>;</w:t>
            </w:r>
          </w:p>
          <w:p w14:paraId="656D282C" w14:textId="214EA7C7" w:rsidR="00165704" w:rsidRPr="00914E9B" w:rsidRDefault="00AD79B9" w:rsidP="00914E9B">
            <w:pPr>
              <w:pStyle w:val="Tableindent"/>
            </w:pPr>
            <w:r w:rsidRPr="00D13C30">
              <w:t xml:space="preserve">Central </w:t>
            </w:r>
            <w:r w:rsidR="00ED0E7A" w:rsidRPr="00D13C30">
              <w:t>harmonization unit</w:t>
            </w:r>
            <w:r w:rsidR="00895C2B" w:rsidRPr="00914E9B">
              <w:t xml:space="preserve"> issues annual report </w:t>
            </w:r>
            <w:r w:rsidR="00A07A4A" w:rsidRPr="00914E9B">
              <w:t xml:space="preserve">on the </w:t>
            </w:r>
            <w:r w:rsidR="00895C2B" w:rsidRPr="00914E9B">
              <w:t xml:space="preserve">development of </w:t>
            </w:r>
            <w:r w:rsidR="00404F30">
              <w:t xml:space="preserve">internal audit </w:t>
            </w:r>
            <w:r w:rsidR="00895C2B" w:rsidRPr="00914E9B">
              <w:t>units</w:t>
            </w:r>
            <w:r w:rsidR="00FD4640">
              <w:t>;</w:t>
            </w:r>
          </w:p>
          <w:p w14:paraId="2387BEC9" w14:textId="0347491B" w:rsidR="00895C2B" w:rsidRPr="00914E9B" w:rsidRDefault="00895C2B" w:rsidP="00914E9B">
            <w:pPr>
              <w:pStyle w:val="Tableindent"/>
            </w:pPr>
            <w:r w:rsidRPr="00914E9B">
              <w:t xml:space="preserve">SAI </w:t>
            </w:r>
            <w:r w:rsidR="00A07A4A" w:rsidRPr="00914E9B">
              <w:t xml:space="preserve">provides </w:t>
            </w:r>
            <w:r w:rsidRPr="00914E9B">
              <w:t xml:space="preserve">support for developing </w:t>
            </w:r>
            <w:r w:rsidR="000974B5">
              <w:t xml:space="preserve">internal audit </w:t>
            </w:r>
            <w:r w:rsidR="00A07A4A" w:rsidRPr="00914E9B">
              <w:t>function</w:t>
            </w:r>
            <w:r w:rsidR="00FD4640">
              <w:t>.</w:t>
            </w:r>
          </w:p>
        </w:tc>
        <w:tc>
          <w:tcPr>
            <w:tcW w:w="3141" w:type="dxa"/>
          </w:tcPr>
          <w:p w14:paraId="0D220D2D" w14:textId="6FC2DDC9" w:rsidR="00165704" w:rsidRPr="00673546" w:rsidRDefault="00AD79B9" w:rsidP="00914E9B">
            <w:pPr>
              <w:pStyle w:val="Tableindent"/>
            </w:pPr>
            <w:r w:rsidRPr="00D13C30">
              <w:t>Central harmonization unit</w:t>
            </w:r>
            <w:r>
              <w:t xml:space="preserve"> </w:t>
            </w:r>
            <w:r w:rsidR="00895C2B" w:rsidRPr="00673546">
              <w:t xml:space="preserve">issues annual report of </w:t>
            </w:r>
            <w:r w:rsidR="001A6B07" w:rsidRPr="00673546">
              <w:t xml:space="preserve">the results of </w:t>
            </w:r>
            <w:r w:rsidR="000974B5">
              <w:t xml:space="preserve">internal audit </w:t>
            </w:r>
            <w:r w:rsidR="00895C2B" w:rsidRPr="00673546">
              <w:t>activities</w:t>
            </w:r>
            <w:r w:rsidR="00FD4640">
              <w:t>;</w:t>
            </w:r>
          </w:p>
          <w:p w14:paraId="2D55F2C9" w14:textId="21C34AED" w:rsidR="00895C2B" w:rsidRPr="00673546" w:rsidRDefault="00895C2B" w:rsidP="00914E9B">
            <w:pPr>
              <w:pStyle w:val="Tableindent"/>
            </w:pPr>
            <w:r w:rsidRPr="00673546">
              <w:t xml:space="preserve">SAI reports on effectiveness of </w:t>
            </w:r>
            <w:r w:rsidR="000974B5">
              <w:t>internal audit</w:t>
            </w:r>
            <w:r w:rsidRPr="00673546">
              <w:t xml:space="preserve"> function</w:t>
            </w:r>
            <w:r w:rsidR="00FD4640">
              <w:t>;</w:t>
            </w:r>
          </w:p>
          <w:p w14:paraId="29AEF5B8" w14:textId="77CCA876" w:rsidR="00A07A4A" w:rsidRPr="00673546" w:rsidRDefault="00A07A4A" w:rsidP="00914E9B">
            <w:pPr>
              <w:pStyle w:val="Tableindent"/>
            </w:pPr>
            <w:r w:rsidRPr="00673546">
              <w:t xml:space="preserve">Managers begin to accept validity of </w:t>
            </w:r>
            <w:r w:rsidR="000974B5">
              <w:t>internal audit</w:t>
            </w:r>
            <w:r w:rsidRPr="00673546">
              <w:t xml:space="preserve"> function</w:t>
            </w:r>
            <w:r w:rsidR="00FD4640">
              <w:t>.</w:t>
            </w:r>
          </w:p>
        </w:tc>
        <w:tc>
          <w:tcPr>
            <w:tcW w:w="2709" w:type="dxa"/>
          </w:tcPr>
          <w:p w14:paraId="46F086C6" w14:textId="516C2192" w:rsidR="00F02AB7" w:rsidRPr="00673546" w:rsidRDefault="00AD79B9" w:rsidP="00914E9B">
            <w:pPr>
              <w:pStyle w:val="Tableindent"/>
            </w:pPr>
            <w:r w:rsidRPr="00D13C30">
              <w:t>Central harmonization unit</w:t>
            </w:r>
            <w:r>
              <w:t xml:space="preserve"> </w:t>
            </w:r>
            <w:r w:rsidR="00F02AB7" w:rsidRPr="00673546">
              <w:t xml:space="preserve">annual report of the results of </w:t>
            </w:r>
            <w:r w:rsidR="000974B5">
              <w:t>internal audit</w:t>
            </w:r>
            <w:r w:rsidR="00F02AB7" w:rsidRPr="00673546">
              <w:t xml:space="preserve"> activities generates action by the Government/Parliament</w:t>
            </w:r>
            <w:r w:rsidR="00FD4640">
              <w:t>;</w:t>
            </w:r>
          </w:p>
          <w:p w14:paraId="38155F5F" w14:textId="0799B136" w:rsidR="00A07A4A" w:rsidRPr="00673546" w:rsidRDefault="00A07A4A" w:rsidP="00914E9B">
            <w:pPr>
              <w:pStyle w:val="Tableindent"/>
            </w:pPr>
            <w:r w:rsidRPr="00673546">
              <w:t xml:space="preserve">Managers increasingly ask </w:t>
            </w:r>
            <w:r w:rsidR="000974B5">
              <w:t>internal audit</w:t>
            </w:r>
            <w:r w:rsidRPr="00673546">
              <w:t xml:space="preserve"> to carry out </w:t>
            </w:r>
            <w:r w:rsidR="00F03244">
              <w:t>engagements</w:t>
            </w:r>
            <w:r w:rsidR="00FD4640">
              <w:t>.</w:t>
            </w:r>
          </w:p>
        </w:tc>
      </w:tr>
      <w:tr w:rsidR="003333F9" w14:paraId="22882B25" w14:textId="77777777" w:rsidTr="00673546">
        <w:tc>
          <w:tcPr>
            <w:tcW w:w="1708" w:type="dxa"/>
          </w:tcPr>
          <w:p w14:paraId="398FC9AA" w14:textId="0ABB8BA5" w:rsidR="003333F9" w:rsidRPr="00673546" w:rsidRDefault="003333F9" w:rsidP="00035D32">
            <w:pPr>
              <w:pStyle w:val="Table"/>
              <w:rPr>
                <w:sz w:val="20"/>
                <w:szCs w:val="20"/>
              </w:rPr>
            </w:pPr>
            <w:r w:rsidRPr="00673546">
              <w:rPr>
                <w:sz w:val="20"/>
                <w:szCs w:val="20"/>
              </w:rPr>
              <w:t>Understanding the business</w:t>
            </w:r>
          </w:p>
        </w:tc>
        <w:tc>
          <w:tcPr>
            <w:tcW w:w="2432" w:type="dxa"/>
          </w:tcPr>
          <w:p w14:paraId="11BBEDA0" w14:textId="758BEE15" w:rsidR="003333F9" w:rsidRPr="00914E9B" w:rsidRDefault="003333F9" w:rsidP="00914E9B">
            <w:pPr>
              <w:pStyle w:val="Tableindent"/>
            </w:pPr>
            <w:r w:rsidRPr="00914E9B">
              <w:t>No or limited risk-based planning</w:t>
            </w:r>
            <w:r w:rsidR="00FD4640">
              <w:t>;</w:t>
            </w:r>
            <w:r w:rsidRPr="00914E9B">
              <w:t xml:space="preserve"> </w:t>
            </w:r>
          </w:p>
          <w:p w14:paraId="28885A6C" w14:textId="14399AEF" w:rsidR="003333F9" w:rsidRDefault="003333F9" w:rsidP="00914E9B">
            <w:pPr>
              <w:pStyle w:val="Tableindent"/>
            </w:pPr>
            <w:r w:rsidRPr="00914E9B">
              <w:t>Limited interaction with managers</w:t>
            </w:r>
            <w:r w:rsidR="00FD4640">
              <w:t>;</w:t>
            </w:r>
          </w:p>
          <w:p w14:paraId="5C385752" w14:textId="7CDD7D7A" w:rsidR="00F03244" w:rsidRPr="00914E9B" w:rsidRDefault="00F03244" w:rsidP="00914E9B">
            <w:pPr>
              <w:pStyle w:val="Tableindent"/>
            </w:pPr>
            <w:r>
              <w:t xml:space="preserve">Limited interaction with </w:t>
            </w:r>
            <w:r w:rsidR="00AB6582">
              <w:t>IIA</w:t>
            </w:r>
            <w:r w:rsidR="005B7D8F">
              <w:t xml:space="preserve">’s </w:t>
            </w:r>
            <w:r>
              <w:t>1</w:t>
            </w:r>
            <w:r w:rsidRPr="003E12B4">
              <w:rPr>
                <w:vertAlign w:val="superscript"/>
              </w:rPr>
              <w:t>st</w:t>
            </w:r>
            <w:r>
              <w:t xml:space="preserve"> and 2</w:t>
            </w:r>
            <w:r w:rsidRPr="003E12B4">
              <w:rPr>
                <w:vertAlign w:val="superscript"/>
              </w:rPr>
              <w:t>nd</w:t>
            </w:r>
            <w:r>
              <w:t xml:space="preserve"> </w:t>
            </w:r>
            <w:r w:rsidR="009D6DEC">
              <w:t>lines of defense</w:t>
            </w:r>
            <w:r w:rsidR="00FD4640">
              <w:t>.</w:t>
            </w:r>
          </w:p>
        </w:tc>
        <w:tc>
          <w:tcPr>
            <w:tcW w:w="3141" w:type="dxa"/>
          </w:tcPr>
          <w:p w14:paraId="2AE20A16" w14:textId="00BD114D" w:rsidR="003333F9" w:rsidRPr="00673546" w:rsidRDefault="003333F9" w:rsidP="00914E9B">
            <w:pPr>
              <w:pStyle w:val="Tableindent"/>
            </w:pPr>
            <w:r w:rsidRPr="00673546">
              <w:t>Risk-based Audit Strategy and Annual Planning in place</w:t>
            </w:r>
            <w:r w:rsidR="00FD4640">
              <w:t>;</w:t>
            </w:r>
          </w:p>
          <w:p w14:paraId="448525E5" w14:textId="704D5637" w:rsidR="003333F9" w:rsidRDefault="003333F9" w:rsidP="00914E9B">
            <w:pPr>
              <w:pStyle w:val="Tableindent"/>
            </w:pPr>
            <w:r w:rsidRPr="00673546">
              <w:t>Discussions with managers of business risks</w:t>
            </w:r>
            <w:r w:rsidR="00FD4640">
              <w:t>;</w:t>
            </w:r>
          </w:p>
          <w:p w14:paraId="787AD973" w14:textId="3FEECEDC" w:rsidR="00F03244" w:rsidRPr="00673546" w:rsidRDefault="00F03244" w:rsidP="00914E9B">
            <w:pPr>
              <w:pStyle w:val="Tableindent"/>
            </w:pPr>
            <w:r>
              <w:t xml:space="preserve">Close interaction with </w:t>
            </w:r>
            <w:r w:rsidR="005B7D8F">
              <w:t xml:space="preserve">IIA’s </w:t>
            </w:r>
            <w:r>
              <w:t>1</w:t>
            </w:r>
            <w:r w:rsidRPr="003E12B4">
              <w:rPr>
                <w:vertAlign w:val="superscript"/>
              </w:rPr>
              <w:t>st</w:t>
            </w:r>
            <w:r>
              <w:t xml:space="preserve"> and 2</w:t>
            </w:r>
            <w:r w:rsidRPr="003E12B4">
              <w:rPr>
                <w:vertAlign w:val="superscript"/>
              </w:rPr>
              <w:t>nd</w:t>
            </w:r>
            <w:r>
              <w:t xml:space="preserve"> </w:t>
            </w:r>
            <w:r w:rsidR="009D6DEC">
              <w:t>lines of defense</w:t>
            </w:r>
            <w:r w:rsidR="00FD4640">
              <w:t>.</w:t>
            </w:r>
          </w:p>
        </w:tc>
        <w:tc>
          <w:tcPr>
            <w:tcW w:w="2709" w:type="dxa"/>
          </w:tcPr>
          <w:p w14:paraId="7B688EF6" w14:textId="65B80909" w:rsidR="003333F9" w:rsidRPr="00673546" w:rsidRDefault="003333F9" w:rsidP="00914E9B">
            <w:pPr>
              <w:pStyle w:val="Tableindent"/>
            </w:pPr>
            <w:r w:rsidRPr="00673546">
              <w:t>Managers recogni</w:t>
            </w:r>
            <w:r w:rsidR="005B7D8F">
              <w:t>z</w:t>
            </w:r>
            <w:r w:rsidRPr="00673546">
              <w:t xml:space="preserve">e that </w:t>
            </w:r>
            <w:r w:rsidR="000974B5">
              <w:t>internal audit</w:t>
            </w:r>
            <w:r w:rsidRPr="00673546">
              <w:t xml:space="preserve"> understand</w:t>
            </w:r>
            <w:r w:rsidR="00247767">
              <w:t>s</w:t>
            </w:r>
            <w:r w:rsidRPr="00673546">
              <w:t xml:space="preserve"> their business</w:t>
            </w:r>
            <w:r w:rsidR="00FD4640">
              <w:t>;</w:t>
            </w:r>
            <w:r w:rsidRPr="00673546">
              <w:t xml:space="preserve"> </w:t>
            </w:r>
          </w:p>
          <w:p w14:paraId="5EE6A53B" w14:textId="78DD421F" w:rsidR="003333F9" w:rsidRDefault="00F6182C" w:rsidP="00914E9B">
            <w:pPr>
              <w:pStyle w:val="Tableindent"/>
            </w:pPr>
            <w:r w:rsidRPr="00673546">
              <w:t>A suitable proportion</w:t>
            </w:r>
            <w:r w:rsidR="003333F9" w:rsidRPr="00673546">
              <w:t xml:space="preserve"> </w:t>
            </w:r>
            <w:r w:rsidR="00FF4792">
              <w:t xml:space="preserve">of </w:t>
            </w:r>
            <w:r w:rsidR="003333F9" w:rsidRPr="00673546">
              <w:t xml:space="preserve">all audit activity driven by </w:t>
            </w:r>
            <w:r w:rsidR="003333F9" w:rsidRPr="00673546">
              <w:lastRenderedPageBreak/>
              <w:t>the demands of managers</w:t>
            </w:r>
            <w:r w:rsidR="00FD4640">
              <w:t>;</w:t>
            </w:r>
            <w:r w:rsidR="003333F9" w:rsidRPr="00673546">
              <w:t xml:space="preserve"> </w:t>
            </w:r>
          </w:p>
          <w:p w14:paraId="1BF509DD" w14:textId="68D40F7B" w:rsidR="00F03244" w:rsidRPr="00673546" w:rsidRDefault="00F03244" w:rsidP="00914E9B">
            <w:pPr>
              <w:pStyle w:val="Tableindent"/>
            </w:pPr>
            <w:r>
              <w:t>Clear understanding and recommendation on the use and management of disruptive technologies</w:t>
            </w:r>
            <w:r w:rsidR="00FD4640">
              <w:t>.</w:t>
            </w:r>
          </w:p>
        </w:tc>
      </w:tr>
      <w:tr w:rsidR="00A07A4A" w14:paraId="0CD82999" w14:textId="77777777" w:rsidTr="00673546">
        <w:tc>
          <w:tcPr>
            <w:tcW w:w="1708" w:type="dxa"/>
          </w:tcPr>
          <w:p w14:paraId="4419F4DE" w14:textId="37A59C40" w:rsidR="00A07A4A" w:rsidRPr="00673546" w:rsidRDefault="00A07A4A" w:rsidP="00035D32">
            <w:pPr>
              <w:pStyle w:val="Table"/>
              <w:rPr>
                <w:sz w:val="20"/>
                <w:szCs w:val="20"/>
              </w:rPr>
            </w:pPr>
            <w:r w:rsidRPr="00673546">
              <w:rPr>
                <w:sz w:val="20"/>
                <w:szCs w:val="20"/>
              </w:rPr>
              <w:lastRenderedPageBreak/>
              <w:t>Staff Competence</w:t>
            </w:r>
            <w:r w:rsidR="003333F9" w:rsidRPr="00673546">
              <w:rPr>
                <w:sz w:val="20"/>
                <w:szCs w:val="20"/>
              </w:rPr>
              <w:t xml:space="preserve"> &amp; </w:t>
            </w:r>
            <w:r w:rsidR="00FF4792" w:rsidRPr="00673546">
              <w:rPr>
                <w:sz w:val="20"/>
                <w:szCs w:val="20"/>
              </w:rPr>
              <w:t xml:space="preserve">quality </w:t>
            </w:r>
            <w:r w:rsidR="003333F9" w:rsidRPr="00673546">
              <w:rPr>
                <w:sz w:val="20"/>
                <w:szCs w:val="20"/>
              </w:rPr>
              <w:t>of audit work</w:t>
            </w:r>
          </w:p>
        </w:tc>
        <w:tc>
          <w:tcPr>
            <w:tcW w:w="2432" w:type="dxa"/>
          </w:tcPr>
          <w:p w14:paraId="32D3CBEE" w14:textId="2A62D1EE" w:rsidR="00A07A4A" w:rsidRPr="00914E9B" w:rsidRDefault="00F02AB7" w:rsidP="00914E9B">
            <w:pPr>
              <w:pStyle w:val="Tableindent"/>
            </w:pPr>
            <w:r w:rsidRPr="00914E9B">
              <w:t>Auditors have little or no experience or training in audit</w:t>
            </w:r>
            <w:r w:rsidR="00FD4640">
              <w:t>.</w:t>
            </w:r>
          </w:p>
        </w:tc>
        <w:tc>
          <w:tcPr>
            <w:tcW w:w="3141" w:type="dxa"/>
          </w:tcPr>
          <w:p w14:paraId="74CBC9A0" w14:textId="55036464" w:rsidR="00F02AB7" w:rsidRPr="00673546" w:rsidRDefault="00F02AB7" w:rsidP="00914E9B">
            <w:pPr>
              <w:pStyle w:val="Tableindent"/>
            </w:pPr>
            <w:r w:rsidRPr="00673546">
              <w:t>Auditors have some training in audit concepts and a basic knowledge of the IIA standards</w:t>
            </w:r>
            <w:r w:rsidR="00F03244">
              <w:t xml:space="preserve"> and good practices</w:t>
            </w:r>
            <w:r w:rsidR="00FD4640">
              <w:t>;</w:t>
            </w:r>
            <w:r w:rsidRPr="00673546">
              <w:t xml:space="preserve"> </w:t>
            </w:r>
          </w:p>
          <w:p w14:paraId="024336CB" w14:textId="2C1C4EAF" w:rsidR="00F02AB7" w:rsidRPr="00673546" w:rsidRDefault="00F02AB7" w:rsidP="00914E9B">
            <w:pPr>
              <w:pStyle w:val="Tableindent"/>
            </w:pPr>
            <w:r w:rsidRPr="00673546">
              <w:t xml:space="preserve">There </w:t>
            </w:r>
            <w:r w:rsidR="003333F9" w:rsidRPr="00673546">
              <w:t>are</w:t>
            </w:r>
            <w:r w:rsidRPr="00673546">
              <w:t xml:space="preserve"> no </w:t>
            </w:r>
            <w:r w:rsidR="003333F9" w:rsidRPr="00673546">
              <w:t xml:space="preserve">automated </w:t>
            </w:r>
            <w:r w:rsidRPr="00673546">
              <w:t>audit process</w:t>
            </w:r>
            <w:r w:rsidR="003333F9" w:rsidRPr="00673546">
              <w:t>es</w:t>
            </w:r>
            <w:r w:rsidR="00FD4640">
              <w:t>.</w:t>
            </w:r>
          </w:p>
        </w:tc>
        <w:tc>
          <w:tcPr>
            <w:tcW w:w="2709" w:type="dxa"/>
          </w:tcPr>
          <w:p w14:paraId="198E0BEA" w14:textId="7E2F41D7" w:rsidR="00A07A4A" w:rsidRPr="00673546" w:rsidRDefault="00F02AB7" w:rsidP="00914E9B">
            <w:pPr>
              <w:pStyle w:val="Tableindent"/>
            </w:pPr>
            <w:r w:rsidRPr="00673546">
              <w:t>All auditors are fully train</w:t>
            </w:r>
            <w:r w:rsidR="003333F9" w:rsidRPr="00673546">
              <w:t xml:space="preserve">ed </w:t>
            </w:r>
            <w:r w:rsidRPr="00673546">
              <w:t>and have a very good understanding of IIA standards</w:t>
            </w:r>
            <w:r w:rsidR="00F03244">
              <w:t xml:space="preserve"> and good practices</w:t>
            </w:r>
            <w:r w:rsidR="00FD4640">
              <w:t>;</w:t>
            </w:r>
          </w:p>
          <w:p w14:paraId="6932FBFC" w14:textId="75FDDC6C" w:rsidR="00F02AB7" w:rsidRDefault="003333F9" w:rsidP="00914E9B">
            <w:pPr>
              <w:pStyle w:val="Tableindent"/>
            </w:pPr>
            <w:r w:rsidRPr="00673546">
              <w:t xml:space="preserve">Quality </w:t>
            </w:r>
            <w:r w:rsidR="008D262F" w:rsidRPr="00673546">
              <w:t xml:space="preserve">assurance </w:t>
            </w:r>
            <w:r w:rsidRPr="00673546">
              <w:t>system in place and operating</w:t>
            </w:r>
            <w:r w:rsidR="00FD4640">
              <w:t>;</w:t>
            </w:r>
          </w:p>
          <w:p w14:paraId="6799A83D" w14:textId="5487A8C3" w:rsidR="00F03244" w:rsidRPr="00673546" w:rsidRDefault="00F03244" w:rsidP="00914E9B">
            <w:pPr>
              <w:pStyle w:val="Tableindent"/>
            </w:pPr>
            <w:r>
              <w:t>Automated audit management system operating effectively</w:t>
            </w:r>
            <w:r w:rsidR="00FD4640">
              <w:t>.</w:t>
            </w:r>
          </w:p>
        </w:tc>
      </w:tr>
      <w:tr w:rsidR="00895C2B" w14:paraId="2134FE69" w14:textId="77777777" w:rsidTr="00673546">
        <w:tc>
          <w:tcPr>
            <w:tcW w:w="1708" w:type="dxa"/>
          </w:tcPr>
          <w:p w14:paraId="4A75F65C" w14:textId="040A206D" w:rsidR="00895C2B" w:rsidRPr="00442475" w:rsidRDefault="00895C2B" w:rsidP="00035D32">
            <w:pPr>
              <w:pStyle w:val="Table"/>
              <w:rPr>
                <w:sz w:val="20"/>
                <w:szCs w:val="20"/>
              </w:rPr>
            </w:pPr>
            <w:r w:rsidRPr="00442475">
              <w:rPr>
                <w:sz w:val="20"/>
                <w:szCs w:val="20"/>
              </w:rPr>
              <w:t>Communication / Reporting</w:t>
            </w:r>
          </w:p>
        </w:tc>
        <w:tc>
          <w:tcPr>
            <w:tcW w:w="2432" w:type="dxa"/>
          </w:tcPr>
          <w:p w14:paraId="2A78F713" w14:textId="395133B2" w:rsidR="00895C2B" w:rsidRPr="00914E9B" w:rsidRDefault="00F02AB7" w:rsidP="00914E9B">
            <w:pPr>
              <w:pStyle w:val="Tableindent"/>
            </w:pPr>
            <w:r w:rsidRPr="00914E9B">
              <w:t>Reports issued meet basic standards of reporting</w:t>
            </w:r>
            <w:r w:rsidR="00FD4640">
              <w:t>.</w:t>
            </w:r>
          </w:p>
        </w:tc>
        <w:tc>
          <w:tcPr>
            <w:tcW w:w="3141" w:type="dxa"/>
          </w:tcPr>
          <w:p w14:paraId="7DAB4A99" w14:textId="7B3905EF" w:rsidR="00895C2B" w:rsidRPr="00673546" w:rsidRDefault="00895C2B" w:rsidP="00914E9B">
            <w:pPr>
              <w:pStyle w:val="Tableindent"/>
            </w:pPr>
            <w:r w:rsidRPr="00673546">
              <w:t>Reports on individual audits</w:t>
            </w:r>
            <w:r w:rsidR="00D0059C" w:rsidRPr="00673546">
              <w:t xml:space="preserve"> meet good reporting standards</w:t>
            </w:r>
            <w:r w:rsidR="00FD4640">
              <w:t>.</w:t>
            </w:r>
          </w:p>
        </w:tc>
        <w:tc>
          <w:tcPr>
            <w:tcW w:w="2709" w:type="dxa"/>
          </w:tcPr>
          <w:p w14:paraId="2F59C05A" w14:textId="0E6D71B7" w:rsidR="00895C2B" w:rsidRPr="00673546" w:rsidRDefault="008D262F" w:rsidP="00914E9B">
            <w:pPr>
              <w:pStyle w:val="Tableindent"/>
            </w:pPr>
            <w:r>
              <w:t xml:space="preserve">Internal </w:t>
            </w:r>
            <w:r w:rsidR="000974B5">
              <w:t>audit</w:t>
            </w:r>
            <w:r w:rsidR="00D0059C" w:rsidRPr="00673546">
              <w:t xml:space="preserve"> reports recogni</w:t>
            </w:r>
            <w:r>
              <w:t>z</w:t>
            </w:r>
            <w:r w:rsidR="00D0059C" w:rsidRPr="00673546">
              <w:t xml:space="preserve">ed as excellent- </w:t>
            </w:r>
            <w:r w:rsidR="00F03244">
              <w:t>brief</w:t>
            </w:r>
            <w:r w:rsidR="00F03244" w:rsidRPr="00673546">
              <w:t xml:space="preserve"> </w:t>
            </w:r>
            <w:r w:rsidR="00895C2B" w:rsidRPr="00673546">
              <w:t>reports with clear key messages</w:t>
            </w:r>
            <w:r w:rsidR="00FD4640">
              <w:t>.</w:t>
            </w:r>
            <w:r w:rsidR="00895C2B" w:rsidRPr="00673546">
              <w:t xml:space="preserve"> </w:t>
            </w:r>
          </w:p>
        </w:tc>
      </w:tr>
      <w:tr w:rsidR="00895C2B" w14:paraId="4496E08D" w14:textId="77777777" w:rsidTr="00673546">
        <w:tc>
          <w:tcPr>
            <w:tcW w:w="1708" w:type="dxa"/>
          </w:tcPr>
          <w:p w14:paraId="4E2C2376" w14:textId="25FB007C" w:rsidR="00895C2B" w:rsidRPr="00442475" w:rsidRDefault="00895C2B" w:rsidP="00035D32">
            <w:pPr>
              <w:pStyle w:val="Table"/>
              <w:rPr>
                <w:sz w:val="20"/>
                <w:szCs w:val="20"/>
              </w:rPr>
            </w:pPr>
            <w:r w:rsidRPr="00442475">
              <w:rPr>
                <w:sz w:val="20"/>
                <w:szCs w:val="20"/>
              </w:rPr>
              <w:t>Customer satisfaction</w:t>
            </w:r>
          </w:p>
        </w:tc>
        <w:tc>
          <w:tcPr>
            <w:tcW w:w="2432" w:type="dxa"/>
          </w:tcPr>
          <w:p w14:paraId="0E594AF3" w14:textId="4B0F9D47" w:rsidR="00895C2B" w:rsidRPr="00914E9B" w:rsidRDefault="00895C2B" w:rsidP="00914E9B">
            <w:pPr>
              <w:pStyle w:val="Tableindent"/>
            </w:pPr>
            <w:r w:rsidRPr="00914E9B">
              <w:t>No customer surveys</w:t>
            </w:r>
            <w:r w:rsidR="00FD4640">
              <w:t>.</w:t>
            </w:r>
          </w:p>
        </w:tc>
        <w:tc>
          <w:tcPr>
            <w:tcW w:w="3141" w:type="dxa"/>
          </w:tcPr>
          <w:p w14:paraId="129D0108" w14:textId="31118283" w:rsidR="00895C2B" w:rsidRPr="00673546" w:rsidRDefault="00895C2B" w:rsidP="00914E9B">
            <w:pPr>
              <w:pStyle w:val="Tableindent"/>
            </w:pPr>
            <w:r w:rsidRPr="00673546">
              <w:t>Annual customer surveys</w:t>
            </w:r>
            <w:r w:rsidR="00FD4640">
              <w:t>.</w:t>
            </w:r>
          </w:p>
        </w:tc>
        <w:tc>
          <w:tcPr>
            <w:tcW w:w="2709" w:type="dxa"/>
          </w:tcPr>
          <w:p w14:paraId="25789DE3" w14:textId="065563D1" w:rsidR="00895C2B" w:rsidRPr="00673546" w:rsidRDefault="00895C2B" w:rsidP="00914E9B">
            <w:pPr>
              <w:pStyle w:val="Tableindent"/>
            </w:pPr>
            <w:r w:rsidRPr="00673546">
              <w:t>Customer satisfaction questionnaire for all audits</w:t>
            </w:r>
            <w:r w:rsidR="00FD4640">
              <w:t>;</w:t>
            </w:r>
          </w:p>
          <w:p w14:paraId="467B16C0" w14:textId="38BA1C15" w:rsidR="00895C2B" w:rsidRPr="00673546" w:rsidRDefault="00895C2B" w:rsidP="00914E9B">
            <w:pPr>
              <w:pStyle w:val="Tableindent"/>
            </w:pPr>
            <w:r w:rsidRPr="00673546">
              <w:t>Annual survey</w:t>
            </w:r>
            <w:r w:rsidR="00FD4640">
              <w:t>;</w:t>
            </w:r>
          </w:p>
          <w:p w14:paraId="2C3D3E97" w14:textId="07C8ADA4" w:rsidR="00895C2B" w:rsidRPr="00673546" w:rsidRDefault="00895C2B" w:rsidP="00914E9B">
            <w:pPr>
              <w:pStyle w:val="Tableindent"/>
            </w:pPr>
            <w:r w:rsidRPr="00673546">
              <w:t>Meetings with groups of clients</w:t>
            </w:r>
            <w:r w:rsidR="00FD4640">
              <w:t>.</w:t>
            </w:r>
          </w:p>
        </w:tc>
      </w:tr>
    </w:tbl>
    <w:p w14:paraId="7C1FB59B" w14:textId="1DCC8EDC" w:rsidR="00D14980" w:rsidRDefault="00D14980" w:rsidP="00D14980">
      <w:pPr>
        <w:pStyle w:val="Tableindent"/>
        <w:numPr>
          <w:ilvl w:val="0"/>
          <w:numId w:val="0"/>
        </w:numPr>
        <w:tabs>
          <w:tab w:val="left" w:pos="3798"/>
          <w:tab w:val="left" w:pos="6939"/>
        </w:tabs>
        <w:ind w:left="-342"/>
        <w:rPr>
          <w:rFonts w:cstheme="majorHAnsi"/>
          <w:sz w:val="22"/>
          <w:szCs w:val="22"/>
          <w:lang w:eastAsia="ja-JP"/>
        </w:rPr>
      </w:pPr>
    </w:p>
    <w:p w14:paraId="4B9151CE" w14:textId="77777777" w:rsidR="00D14980" w:rsidRDefault="00D14980">
      <w:pPr>
        <w:rPr>
          <w:rFonts w:eastAsia="Cambria" w:cstheme="majorHAnsi"/>
          <w:sz w:val="22"/>
          <w:szCs w:val="22"/>
        </w:rPr>
      </w:pPr>
      <w:r>
        <w:rPr>
          <w:rFonts w:cstheme="majorHAnsi"/>
          <w:sz w:val="22"/>
          <w:szCs w:val="22"/>
        </w:rPr>
        <w:br w:type="page"/>
      </w:r>
    </w:p>
    <w:p w14:paraId="12FD6306" w14:textId="77777777" w:rsidR="00D14980" w:rsidRPr="00673546" w:rsidRDefault="00D14980" w:rsidP="00D14980">
      <w:pPr>
        <w:pStyle w:val="Tableindent"/>
        <w:numPr>
          <w:ilvl w:val="0"/>
          <w:numId w:val="0"/>
        </w:numPr>
        <w:tabs>
          <w:tab w:val="left" w:pos="3798"/>
          <w:tab w:val="left" w:pos="6939"/>
        </w:tabs>
        <w:ind w:left="-342"/>
      </w:pPr>
    </w:p>
    <w:p w14:paraId="535CA521" w14:textId="2DFEF522" w:rsidR="00C44E61" w:rsidRDefault="00C44E61" w:rsidP="00E455BF">
      <w:pPr>
        <w:pStyle w:val="Heading1"/>
      </w:pPr>
      <w:bookmarkStart w:id="42" w:name="_Toc2767535"/>
      <w:r>
        <w:t>ME</w:t>
      </w:r>
      <w:r w:rsidR="00F92A55">
        <w:t>A</w:t>
      </w:r>
      <w:r>
        <w:t xml:space="preserve">SURING </w:t>
      </w:r>
      <w:r w:rsidR="00330D20">
        <w:t>ADDED VALUE</w:t>
      </w:r>
      <w:bookmarkEnd w:id="42"/>
    </w:p>
    <w:p w14:paraId="4EE6D5E6" w14:textId="2B3CE251" w:rsidR="00532AED" w:rsidRPr="00532AED" w:rsidRDefault="00532AED" w:rsidP="00442475">
      <w:pPr>
        <w:pStyle w:val="numberedparas"/>
        <w:numPr>
          <w:ilvl w:val="0"/>
          <w:numId w:val="0"/>
        </w:numPr>
      </w:pPr>
      <w:r>
        <w:t xml:space="preserve">This section </w:t>
      </w:r>
      <w:r w:rsidR="00330D20">
        <w:t xml:space="preserve">draws on PEMPAL discussions of measuring the effectiveness of </w:t>
      </w:r>
      <w:r w:rsidR="007C1F69">
        <w:t>internal audit</w:t>
      </w:r>
      <w:r>
        <w:t xml:space="preserve"> </w:t>
      </w:r>
      <w:r w:rsidR="00330D20">
        <w:t xml:space="preserve">and suggests the use of a </w:t>
      </w:r>
      <w:r w:rsidR="0007359E">
        <w:t xml:space="preserve">value for money </w:t>
      </w:r>
      <w:r w:rsidR="00330D20">
        <w:t xml:space="preserve">framework for measuring </w:t>
      </w:r>
      <w:r w:rsidR="0071506B">
        <w:t xml:space="preserve">the added value </w:t>
      </w:r>
      <w:r w:rsidR="00E455BF">
        <w:t xml:space="preserve">that </w:t>
      </w:r>
      <w:r w:rsidR="007C1F69">
        <w:t>internal audit</w:t>
      </w:r>
      <w:r w:rsidR="0071506B">
        <w:t xml:space="preserve"> achieves. </w:t>
      </w:r>
    </w:p>
    <w:p w14:paraId="59C5E290" w14:textId="6D0C5227" w:rsidR="008F3E1D" w:rsidRDefault="001F6E81" w:rsidP="008F3E1D">
      <w:pPr>
        <w:pStyle w:val="Heading2"/>
      </w:pPr>
      <w:bookmarkStart w:id="43" w:name="_Toc2767536"/>
      <w:r>
        <w:t xml:space="preserve">A </w:t>
      </w:r>
      <w:r w:rsidR="008C12F8">
        <w:t>v</w:t>
      </w:r>
      <w:r>
        <w:t xml:space="preserve">alue </w:t>
      </w:r>
      <w:r w:rsidR="008C12F8">
        <w:t>f</w:t>
      </w:r>
      <w:r>
        <w:t xml:space="preserve">or </w:t>
      </w:r>
      <w:r w:rsidR="008C12F8">
        <w:t>m</w:t>
      </w:r>
      <w:r>
        <w:t>oney framework</w:t>
      </w:r>
      <w:bookmarkEnd w:id="43"/>
    </w:p>
    <w:p w14:paraId="70EB2032" w14:textId="3D9646AF" w:rsidR="001F6E81" w:rsidRDefault="001F6E81" w:rsidP="00442475">
      <w:pPr>
        <w:pStyle w:val="numberedparas"/>
        <w:numPr>
          <w:ilvl w:val="0"/>
          <w:numId w:val="0"/>
        </w:numPr>
      </w:pPr>
      <w:r>
        <w:t>There are many ways of measuring performance</w:t>
      </w:r>
      <w:r w:rsidR="002172AA">
        <w:t>,</w:t>
      </w:r>
      <w:r>
        <w:t xml:space="preserve"> but one useful framework i</w:t>
      </w:r>
      <w:r w:rsidR="00E455BF">
        <w:t>s</w:t>
      </w:r>
      <w:r>
        <w:t xml:space="preserve"> to focus on </w:t>
      </w:r>
      <w:r w:rsidR="0071506B">
        <w:t xml:space="preserve">the </w:t>
      </w:r>
      <w:r>
        <w:t xml:space="preserve">three elements of </w:t>
      </w:r>
      <w:r w:rsidR="0007359E">
        <w:t>value for money: economy, efficiency, and effectiveness</w:t>
      </w:r>
      <w:r w:rsidR="00F92A55">
        <w:rPr>
          <w:rStyle w:val="FootnoteReference"/>
        </w:rPr>
        <w:footnoteReference w:id="12"/>
      </w:r>
      <w:r w:rsidR="00BC5D8F">
        <w:t xml:space="preserve">. Figure </w:t>
      </w:r>
      <w:r w:rsidR="00852891">
        <w:t>2</w:t>
      </w:r>
      <w:r w:rsidR="00BC5D8F">
        <w:t xml:space="preserve"> shows how these criteria are measured across a </w:t>
      </w:r>
      <w:r w:rsidR="0071506B">
        <w:t>traditional</w:t>
      </w:r>
      <w:r w:rsidR="00BC5D8F">
        <w:t xml:space="preserve"> process chain where inputs are </w:t>
      </w:r>
      <w:r w:rsidR="00E455BF">
        <w:t>turned</w:t>
      </w:r>
      <w:r w:rsidR="00532AED">
        <w:t xml:space="preserve"> </w:t>
      </w:r>
      <w:r w:rsidR="00BC5D8F">
        <w:t xml:space="preserve">into activities which generate outputs that are designed to have a certain </w:t>
      </w:r>
      <w:r w:rsidR="00F92A55">
        <w:t>outcome</w:t>
      </w:r>
      <w:r w:rsidR="00BC5D8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BC5D8F" w14:paraId="6A62C9DA" w14:textId="77777777" w:rsidTr="00131021">
        <w:tc>
          <w:tcPr>
            <w:tcW w:w="8630" w:type="dxa"/>
          </w:tcPr>
          <w:p w14:paraId="6AAD7426" w14:textId="4B626125" w:rsidR="00131021" w:rsidRPr="00131021" w:rsidRDefault="00131021" w:rsidP="00131021">
            <w:pPr>
              <w:pStyle w:val="Caption"/>
              <w:keepNext/>
              <w:rPr>
                <w:b w:val="0"/>
                <w:sz w:val="24"/>
                <w:szCs w:val="24"/>
              </w:rPr>
            </w:pPr>
            <w:r w:rsidRPr="00131021">
              <w:rPr>
                <w:sz w:val="24"/>
                <w:szCs w:val="24"/>
              </w:rPr>
              <w:t>Figure</w:t>
            </w:r>
            <w:r w:rsidRPr="00852891">
              <w:rPr>
                <w:sz w:val="24"/>
                <w:szCs w:val="24"/>
              </w:rPr>
              <w:t xml:space="preserve"> </w:t>
            </w:r>
            <w:r w:rsidR="00852891" w:rsidRPr="00442475">
              <w:rPr>
                <w:sz w:val="24"/>
                <w:szCs w:val="24"/>
              </w:rPr>
              <w:t>2</w:t>
            </w:r>
            <w:r w:rsidR="003F20AF">
              <w:rPr>
                <w:b w:val="0"/>
                <w:sz w:val="24"/>
                <w:szCs w:val="24"/>
              </w:rPr>
              <w:t>:</w:t>
            </w:r>
            <w:r>
              <w:rPr>
                <w:sz w:val="24"/>
                <w:szCs w:val="24"/>
              </w:rPr>
              <w:t xml:space="preserve"> A </w:t>
            </w:r>
            <w:r w:rsidR="00852891">
              <w:rPr>
                <w:sz w:val="24"/>
                <w:szCs w:val="24"/>
              </w:rPr>
              <w:t xml:space="preserve">framework </w:t>
            </w:r>
            <w:r>
              <w:rPr>
                <w:sz w:val="24"/>
                <w:szCs w:val="24"/>
              </w:rPr>
              <w:t xml:space="preserve">for assessing </w:t>
            </w:r>
            <w:r w:rsidR="003F20AF">
              <w:rPr>
                <w:sz w:val="24"/>
                <w:szCs w:val="24"/>
              </w:rPr>
              <w:t xml:space="preserve">value for money </w:t>
            </w:r>
          </w:p>
          <w:p w14:paraId="39E391F2" w14:textId="34560CA1" w:rsidR="00BC5D8F" w:rsidRDefault="0012306F" w:rsidP="0012306F">
            <w:pPr>
              <w:pStyle w:val="Table"/>
            </w:pPr>
            <w:r w:rsidRPr="0012306F">
              <w:rPr>
                <w:noProof/>
                <w:lang w:val="hr-HR" w:eastAsia="hr-HR"/>
              </w:rPr>
              <w:drawing>
                <wp:inline distT="0" distB="0" distL="0" distR="0" wp14:anchorId="0CC048BB" wp14:editId="416C5670">
                  <wp:extent cx="4995193" cy="3458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0926" cy="3461994"/>
                          </a:xfrm>
                          <a:prstGeom prst="rect">
                            <a:avLst/>
                          </a:prstGeom>
                        </pic:spPr>
                      </pic:pic>
                    </a:graphicData>
                  </a:graphic>
                </wp:inline>
              </w:drawing>
            </w:r>
            <w:r w:rsidRPr="0012306F">
              <w:rPr>
                <w:rStyle w:val="CommentReference"/>
                <w:noProof/>
                <w:sz w:val="22"/>
                <w:szCs w:val="22"/>
                <w:lang w:val="hr-HR" w:eastAsia="hr-HR"/>
              </w:rPr>
              <w:t xml:space="preserve"> </w:t>
            </w:r>
          </w:p>
        </w:tc>
      </w:tr>
    </w:tbl>
    <w:p w14:paraId="50502A7F" w14:textId="77777777" w:rsidR="0071506B" w:rsidRDefault="0071506B" w:rsidP="00442475">
      <w:pPr>
        <w:pStyle w:val="numberedparas"/>
        <w:numPr>
          <w:ilvl w:val="0"/>
          <w:numId w:val="0"/>
        </w:numPr>
      </w:pPr>
      <w:r>
        <w:t>In this framework:</w:t>
      </w:r>
    </w:p>
    <w:p w14:paraId="2E7B3A02" w14:textId="46FF18DD" w:rsidR="0071506B" w:rsidRDefault="0071506B" w:rsidP="003E12B4">
      <w:pPr>
        <w:pStyle w:val="ListBullet"/>
      </w:pPr>
      <w:r w:rsidRPr="00C70045">
        <w:rPr>
          <w:b/>
        </w:rPr>
        <w:t>Economy</w:t>
      </w:r>
      <w:r>
        <w:t xml:space="preserve"> is about minimi</w:t>
      </w:r>
      <w:r w:rsidR="00A275B9">
        <w:t>z</w:t>
      </w:r>
      <w:r>
        <w:t>ing the cost of inputs such as staff, consultants</w:t>
      </w:r>
      <w:r w:rsidR="006C2C21">
        <w:t>,</w:t>
      </w:r>
      <w:r>
        <w:t xml:space="preserve"> assets</w:t>
      </w:r>
      <w:r w:rsidR="00A275B9">
        <w:t>,</w:t>
      </w:r>
      <w:r>
        <w:t xml:space="preserve"> and materials needed to undertake </w:t>
      </w:r>
      <w:r w:rsidR="007C1F69">
        <w:t>internal audit</w:t>
      </w:r>
      <w:r w:rsidRPr="00C70045">
        <w:rPr>
          <w:b/>
        </w:rPr>
        <w:t xml:space="preserve">. </w:t>
      </w:r>
      <w:r w:rsidRPr="00C70045">
        <w:rPr>
          <w:b/>
          <w:i/>
        </w:rPr>
        <w:t>It asks the question</w:t>
      </w:r>
      <w:r>
        <w:rPr>
          <w:b/>
          <w:i/>
        </w:rPr>
        <w:t>:</w:t>
      </w:r>
      <w:r w:rsidRPr="00C70045">
        <w:rPr>
          <w:b/>
          <w:i/>
        </w:rPr>
        <w:t xml:space="preserve"> </w:t>
      </w:r>
      <w:r>
        <w:rPr>
          <w:b/>
          <w:i/>
        </w:rPr>
        <w:t>a</w:t>
      </w:r>
      <w:r w:rsidRPr="00C70045">
        <w:rPr>
          <w:b/>
          <w:i/>
        </w:rPr>
        <w:t>re we doing thing</w:t>
      </w:r>
      <w:r w:rsidR="00442475">
        <w:rPr>
          <w:b/>
          <w:i/>
        </w:rPr>
        <w:t xml:space="preserve"> at the lowest cost?</w:t>
      </w:r>
    </w:p>
    <w:p w14:paraId="486D1978" w14:textId="3CE0EC2A" w:rsidR="0071506B" w:rsidRPr="00450E14" w:rsidRDefault="0071506B" w:rsidP="003E12B4">
      <w:pPr>
        <w:pStyle w:val="ListBullet"/>
      </w:pPr>
      <w:r w:rsidRPr="00C70045">
        <w:rPr>
          <w:b/>
        </w:rPr>
        <w:t>Efficiency</w:t>
      </w:r>
      <w:r>
        <w:t xml:space="preserve"> looks at the relationship between inputs and outputs</w:t>
      </w:r>
      <w:r w:rsidR="0092081C">
        <w:t>. It</w:t>
      </w:r>
      <w:r>
        <w:t xml:space="preserve"> focuses on whether more outputs can be generated from the same level of inputs or the same level of outputs can be generated with a lower level of inputs. </w:t>
      </w:r>
      <w:r w:rsidRPr="00C70045">
        <w:rPr>
          <w:b/>
          <w:i/>
        </w:rPr>
        <w:t>It asks the question</w:t>
      </w:r>
      <w:r>
        <w:rPr>
          <w:b/>
          <w:i/>
        </w:rPr>
        <w:t>: a</w:t>
      </w:r>
      <w:r w:rsidRPr="00C70045">
        <w:rPr>
          <w:b/>
          <w:i/>
        </w:rPr>
        <w:t>re we doing things in the right way?</w:t>
      </w:r>
    </w:p>
    <w:p w14:paraId="4CBB80FC" w14:textId="33FCD46C" w:rsidR="005726EB" w:rsidRDefault="0071506B" w:rsidP="003E12B4">
      <w:pPr>
        <w:pStyle w:val="ListBullet"/>
        <w:rPr>
          <w:b/>
          <w:i/>
        </w:rPr>
      </w:pPr>
      <w:r w:rsidRPr="00914E9B">
        <w:rPr>
          <w:b/>
        </w:rPr>
        <w:lastRenderedPageBreak/>
        <w:t>Effectiveness</w:t>
      </w:r>
      <w:r w:rsidRPr="00450E14">
        <w:t xml:space="preserve"> looks at the extent to which an</w:t>
      </w:r>
      <w:r>
        <w:t xml:space="preserve"> entity</w:t>
      </w:r>
      <w:r w:rsidRPr="00450E14">
        <w:t xml:space="preserve"> is </w:t>
      </w:r>
      <w:r w:rsidRPr="0071506B">
        <w:t>achieving</w:t>
      </w:r>
      <w:r w:rsidRPr="00450E14">
        <w:t xml:space="preserve"> its goals </w:t>
      </w:r>
      <w:r>
        <w:t xml:space="preserve">– the relationship between </w:t>
      </w:r>
      <w:r w:rsidR="007C1F69">
        <w:t>internal audit</w:t>
      </w:r>
      <w:r>
        <w:t xml:space="preserve"> objectives and </w:t>
      </w:r>
      <w:r w:rsidR="007C1F69">
        <w:t>internal audit</w:t>
      </w:r>
      <w:r>
        <w:t xml:space="preserve"> outcomes. </w:t>
      </w:r>
      <w:r>
        <w:rPr>
          <w:b/>
          <w:i/>
        </w:rPr>
        <w:t>It asks the question: are we doing the right things.</w:t>
      </w:r>
    </w:p>
    <w:p w14:paraId="350051F2" w14:textId="697F21BC" w:rsidR="00450E14" w:rsidRDefault="00450E14" w:rsidP="00533045">
      <w:pPr>
        <w:pStyle w:val="Heading2"/>
      </w:pPr>
      <w:bookmarkStart w:id="44" w:name="_Toc2767537"/>
      <w:r>
        <w:t xml:space="preserve">Examples of </w:t>
      </w:r>
      <w:r w:rsidR="00636003">
        <w:t xml:space="preserve">value for money </w:t>
      </w:r>
      <w:r>
        <w:t>measure</w:t>
      </w:r>
      <w:r w:rsidR="00255A1D">
        <w:t>s</w:t>
      </w:r>
      <w:r>
        <w:t xml:space="preserve"> for </w:t>
      </w:r>
      <w:r w:rsidR="00DF3319">
        <w:t>i</w:t>
      </w:r>
      <w:r>
        <w:t xml:space="preserve">nternal </w:t>
      </w:r>
      <w:r w:rsidR="00DF3319">
        <w:t>a</w:t>
      </w:r>
      <w:r>
        <w:t>udit</w:t>
      </w:r>
      <w:bookmarkEnd w:id="44"/>
    </w:p>
    <w:p w14:paraId="7B03C8D4" w14:textId="49BC9B5F" w:rsidR="007166B2" w:rsidRDefault="00636003" w:rsidP="000E7C19">
      <w:pPr>
        <w:pStyle w:val="numberedparas"/>
        <w:numPr>
          <w:ilvl w:val="0"/>
          <w:numId w:val="0"/>
        </w:numPr>
      </w:pPr>
      <w:r>
        <w:t xml:space="preserve">PEMPAL </w:t>
      </w:r>
      <w:r w:rsidR="00E455BF">
        <w:t xml:space="preserve">suggestions for measuring performance are grouped under the three main elements of </w:t>
      </w:r>
      <w:r w:rsidR="00B8518B">
        <w:t xml:space="preserve">economy, efficiency, and effectiveness </w:t>
      </w:r>
      <w:r w:rsidR="00F92A55">
        <w:t xml:space="preserve">in table </w:t>
      </w:r>
      <w:r w:rsidR="00B125E5">
        <w:t xml:space="preserve">2 </w:t>
      </w:r>
      <w:r w:rsidR="00F92A55">
        <w:t xml:space="preserve">below. </w:t>
      </w:r>
      <w:r w:rsidR="00E455BF">
        <w:t>These illustrate the wide range of performance measure</w:t>
      </w:r>
      <w:r w:rsidR="00B8518B">
        <w:t>s</w:t>
      </w:r>
      <w:r w:rsidR="00E455BF">
        <w:t xml:space="preserve"> that could be used. </w:t>
      </w:r>
    </w:p>
    <w:p w14:paraId="00B653BA" w14:textId="20AF0A7D" w:rsidR="000E7C19" w:rsidRPr="00E455BF" w:rsidRDefault="000E7C19" w:rsidP="000E7C19">
      <w:pPr>
        <w:pStyle w:val="numberedparas"/>
        <w:numPr>
          <w:ilvl w:val="0"/>
          <w:numId w:val="0"/>
        </w:numPr>
      </w:pPr>
      <w:r>
        <w:t>In terms of the three maturity levels discussed in section 2.4, the expectation is that more measures of added value will be used as internal audit units evolve and mature. However, it is important to remember that from the very inception of internal audit one important benefit is the impact of meeting d</w:t>
      </w:r>
      <w:r w:rsidRPr="00E455BF">
        <w:t xml:space="preserve">onor </w:t>
      </w:r>
      <w:r>
        <w:t xml:space="preserve">requirements, which may allow the country to receive significant financial support for its development needs. </w:t>
      </w:r>
    </w:p>
    <w:p w14:paraId="254BD289" w14:textId="123A2EFE" w:rsidR="00450E14" w:rsidRPr="00442475" w:rsidRDefault="007166B2" w:rsidP="00442475">
      <w:pPr>
        <w:pStyle w:val="Caption"/>
        <w:keepNext/>
        <w:rPr>
          <w:sz w:val="24"/>
          <w:szCs w:val="24"/>
        </w:rPr>
      </w:pPr>
      <w:r>
        <w:rPr>
          <w:sz w:val="24"/>
          <w:szCs w:val="24"/>
        </w:rPr>
        <w:t>Table</w:t>
      </w:r>
      <w:r w:rsidRPr="00E455BF">
        <w:rPr>
          <w:sz w:val="24"/>
          <w:szCs w:val="24"/>
        </w:rPr>
        <w:t xml:space="preserve"> </w:t>
      </w:r>
      <w:r w:rsidR="00877676">
        <w:rPr>
          <w:sz w:val="24"/>
          <w:szCs w:val="24"/>
        </w:rPr>
        <w:t>2:</w:t>
      </w:r>
      <w:r w:rsidRPr="00E455BF">
        <w:rPr>
          <w:sz w:val="24"/>
          <w:szCs w:val="24"/>
        </w:rPr>
        <w:t xml:space="preserve"> </w:t>
      </w:r>
      <w:r w:rsidR="00877676">
        <w:rPr>
          <w:sz w:val="24"/>
          <w:szCs w:val="24"/>
        </w:rPr>
        <w:t>Examples of value for money measures for internal audit</w:t>
      </w:r>
    </w:p>
    <w:tbl>
      <w:tblPr>
        <w:tblStyle w:val="TableGrid"/>
        <w:tblW w:w="8545" w:type="dxa"/>
        <w:tblLook w:val="04A0" w:firstRow="1" w:lastRow="0" w:firstColumn="1" w:lastColumn="0" w:noHBand="0" w:noVBand="1"/>
      </w:tblPr>
      <w:tblGrid>
        <w:gridCol w:w="2515"/>
        <w:gridCol w:w="2520"/>
        <w:gridCol w:w="3510"/>
      </w:tblGrid>
      <w:tr w:rsidR="00450E14" w:rsidRPr="00450E14" w14:paraId="1A486688" w14:textId="77777777" w:rsidTr="000F6D23">
        <w:trPr>
          <w:tblHeader/>
        </w:trPr>
        <w:tc>
          <w:tcPr>
            <w:tcW w:w="2515" w:type="dxa"/>
          </w:tcPr>
          <w:p w14:paraId="7ADE4197" w14:textId="77B8F713" w:rsidR="00450E14" w:rsidRPr="00EF3FC9" w:rsidRDefault="00450E14" w:rsidP="00EF3FC9">
            <w:pPr>
              <w:pStyle w:val="Table"/>
              <w:jc w:val="center"/>
              <w:rPr>
                <w:b/>
              </w:rPr>
            </w:pPr>
            <w:r w:rsidRPr="00EF3FC9">
              <w:rPr>
                <w:b/>
              </w:rPr>
              <w:t>Economy</w:t>
            </w:r>
            <w:r w:rsidR="00F92A55">
              <w:rPr>
                <w:b/>
              </w:rPr>
              <w:t xml:space="preserve"> measure</w:t>
            </w:r>
            <w:r w:rsidR="00532AED">
              <w:rPr>
                <w:b/>
              </w:rPr>
              <w:t>s</w:t>
            </w:r>
          </w:p>
        </w:tc>
        <w:tc>
          <w:tcPr>
            <w:tcW w:w="2520" w:type="dxa"/>
          </w:tcPr>
          <w:p w14:paraId="3B872628" w14:textId="5280C385" w:rsidR="00450E14" w:rsidRPr="00EF3FC9" w:rsidRDefault="00450E14" w:rsidP="00EF3FC9">
            <w:pPr>
              <w:pStyle w:val="Table"/>
              <w:jc w:val="center"/>
              <w:rPr>
                <w:b/>
              </w:rPr>
            </w:pPr>
            <w:r w:rsidRPr="00EF3FC9">
              <w:rPr>
                <w:b/>
              </w:rPr>
              <w:t>Efficiency</w:t>
            </w:r>
            <w:r w:rsidR="00F92A55">
              <w:rPr>
                <w:b/>
              </w:rPr>
              <w:t xml:space="preserve"> measures</w:t>
            </w:r>
          </w:p>
        </w:tc>
        <w:tc>
          <w:tcPr>
            <w:tcW w:w="3510" w:type="dxa"/>
          </w:tcPr>
          <w:p w14:paraId="4ACFA060" w14:textId="42413EF0" w:rsidR="00450E14" w:rsidRPr="00EF3FC9" w:rsidRDefault="00450E14" w:rsidP="00EF3FC9">
            <w:pPr>
              <w:pStyle w:val="Table"/>
              <w:jc w:val="center"/>
              <w:rPr>
                <w:b/>
              </w:rPr>
            </w:pPr>
            <w:r w:rsidRPr="00EF3FC9">
              <w:rPr>
                <w:b/>
              </w:rPr>
              <w:t>Effectiveness</w:t>
            </w:r>
            <w:r w:rsidR="00F92A55">
              <w:rPr>
                <w:b/>
              </w:rPr>
              <w:t xml:space="preserve"> measures</w:t>
            </w:r>
          </w:p>
        </w:tc>
      </w:tr>
      <w:tr w:rsidR="00B3578B" w:rsidRPr="00450E14" w14:paraId="3163D671" w14:textId="77777777" w:rsidTr="000F6D23">
        <w:trPr>
          <w:trHeight w:val="2117"/>
        </w:trPr>
        <w:tc>
          <w:tcPr>
            <w:tcW w:w="2515" w:type="dxa"/>
          </w:tcPr>
          <w:p w14:paraId="422EF36E" w14:textId="048F635E" w:rsidR="00B3578B" w:rsidRDefault="00E455BF" w:rsidP="00914E9B">
            <w:pPr>
              <w:pStyle w:val="Tableindent"/>
            </w:pPr>
            <w:r>
              <w:t>Minimi</w:t>
            </w:r>
            <w:r w:rsidR="00B8518B">
              <w:t>z</w:t>
            </w:r>
            <w:r>
              <w:t>ing t</w:t>
            </w:r>
            <w:r w:rsidR="00B3578B">
              <w:t xml:space="preserve">he </w:t>
            </w:r>
            <w:r w:rsidR="00B714E5">
              <w:t xml:space="preserve">staffing </w:t>
            </w:r>
            <w:r w:rsidR="00B3578B">
              <w:t>costs</w:t>
            </w:r>
            <w:r w:rsidR="00B714E5">
              <w:t xml:space="preserve"> of audits</w:t>
            </w:r>
            <w:r w:rsidR="00B714E5">
              <w:rPr>
                <w:rStyle w:val="FootnoteReference"/>
              </w:rPr>
              <w:footnoteReference w:id="13"/>
            </w:r>
            <w:r w:rsidR="00FD4640">
              <w:t>;</w:t>
            </w:r>
          </w:p>
          <w:p w14:paraId="008A41EE" w14:textId="0BE3CE0A" w:rsidR="00532AED" w:rsidRPr="00450E14" w:rsidRDefault="00E455BF" w:rsidP="00914E9B">
            <w:pPr>
              <w:pStyle w:val="Tableindent"/>
            </w:pPr>
            <w:r>
              <w:t>Minimi</w:t>
            </w:r>
            <w:r w:rsidR="00B8518B">
              <w:t>z</w:t>
            </w:r>
            <w:r>
              <w:t>ing t</w:t>
            </w:r>
            <w:r w:rsidR="00532AED">
              <w:t xml:space="preserve">he cost of </w:t>
            </w:r>
            <w:r w:rsidR="00AA5B0D">
              <w:t xml:space="preserve">external </w:t>
            </w:r>
            <w:r w:rsidR="00532AED">
              <w:t>consultancy inputs</w:t>
            </w:r>
            <w:r w:rsidR="00FD4640">
              <w:t>;</w:t>
            </w:r>
          </w:p>
          <w:p w14:paraId="3694E6B0" w14:textId="04353399" w:rsidR="00532AED" w:rsidRDefault="00532AED" w:rsidP="00914E9B">
            <w:pPr>
              <w:pStyle w:val="Tableindent"/>
            </w:pPr>
            <w:r>
              <w:t>Minimi</w:t>
            </w:r>
            <w:r w:rsidR="00B8518B">
              <w:t>z</w:t>
            </w:r>
            <w:r>
              <w:t>ing the cost of travel to carry out audit work</w:t>
            </w:r>
            <w:r w:rsidR="00FD4640">
              <w:t>;</w:t>
            </w:r>
          </w:p>
          <w:p w14:paraId="3450A88F" w14:textId="2BDA53A2" w:rsidR="00532AED" w:rsidRDefault="00532AED" w:rsidP="00914E9B">
            <w:pPr>
              <w:pStyle w:val="Tableindent"/>
            </w:pPr>
            <w:r w:rsidRPr="00B80FA4">
              <w:t xml:space="preserve">Having </w:t>
            </w:r>
            <w:r>
              <w:t>the right</w:t>
            </w:r>
            <w:r w:rsidRPr="00B80FA4">
              <w:t xml:space="preserve"> mix of junior and senior auditors</w:t>
            </w:r>
            <w:r>
              <w:t xml:space="preserve"> for the work needed. </w:t>
            </w:r>
            <w:r w:rsidRPr="00E455BF">
              <w:t>That is: not using more expensive staff on simple audit tasks that could be performed by cheaper staff</w:t>
            </w:r>
            <w:r w:rsidR="00FD4640">
              <w:t>;</w:t>
            </w:r>
          </w:p>
          <w:p w14:paraId="66923935" w14:textId="2DB5E0BC" w:rsidR="008E79C5" w:rsidRPr="00450E14" w:rsidRDefault="007253F3" w:rsidP="00914E9B">
            <w:pPr>
              <w:pStyle w:val="Tableindent"/>
            </w:pPr>
            <w:r>
              <w:t xml:space="preserve">Minimizing </w:t>
            </w:r>
            <w:r w:rsidR="008E79C5">
              <w:t xml:space="preserve">staff turnover – </w:t>
            </w:r>
            <w:r w:rsidR="008E79C5" w:rsidRPr="00E455BF">
              <w:t xml:space="preserve">loss of trained staff increases input costs </w:t>
            </w:r>
            <w:r w:rsidR="00532AED" w:rsidRPr="00E455BF">
              <w:t xml:space="preserve">because </w:t>
            </w:r>
            <w:r w:rsidR="00396B0C">
              <w:t>new</w:t>
            </w:r>
            <w:r w:rsidR="00396B0C" w:rsidRPr="00E455BF">
              <w:t xml:space="preserve"> </w:t>
            </w:r>
            <w:r w:rsidR="008E79C5" w:rsidRPr="00E455BF">
              <w:t>staff need to be trained.</w:t>
            </w:r>
          </w:p>
        </w:tc>
        <w:tc>
          <w:tcPr>
            <w:tcW w:w="2520" w:type="dxa"/>
          </w:tcPr>
          <w:p w14:paraId="7023CDA7" w14:textId="3A33DADC" w:rsidR="00B3578B" w:rsidRPr="00450E14" w:rsidRDefault="00303145" w:rsidP="00914E9B">
            <w:pPr>
              <w:pStyle w:val="Tableindent"/>
            </w:pPr>
            <w:r>
              <w:t>Monitoring</w:t>
            </w:r>
            <w:r w:rsidRPr="00533045">
              <w:t xml:space="preserve"> </w:t>
            </w:r>
            <w:r>
              <w:t>the n</w:t>
            </w:r>
            <w:r w:rsidR="00B3578B" w:rsidRPr="00533045">
              <w:t>umber of audits per auditor per year</w:t>
            </w:r>
            <w:r w:rsidR="00FD4640">
              <w:t>;</w:t>
            </w:r>
          </w:p>
          <w:p w14:paraId="28956C2A" w14:textId="00A0F652" w:rsidR="00B3578B" w:rsidRPr="00450E14" w:rsidRDefault="00F22F58" w:rsidP="00914E9B">
            <w:pPr>
              <w:pStyle w:val="Tableindent"/>
            </w:pPr>
            <w:r>
              <w:t xml:space="preserve">Calculating the </w:t>
            </w:r>
            <w:r>
              <w:t xml:space="preserve">average </w:t>
            </w:r>
            <w:r w:rsidR="00B3578B">
              <w:t>number of hours for comparable audit assignments</w:t>
            </w:r>
            <w:r w:rsidR="00FD4640">
              <w:t>;</w:t>
            </w:r>
          </w:p>
          <w:p w14:paraId="076361B3" w14:textId="6ABF50AC" w:rsidR="00B3578B" w:rsidRPr="00450E14" w:rsidRDefault="00495FBC" w:rsidP="00914E9B">
            <w:pPr>
              <w:pStyle w:val="Tableindent"/>
            </w:pPr>
            <w:r>
              <w:t>Understanding the p</w:t>
            </w:r>
            <w:r w:rsidR="00B3578B">
              <w:t xml:space="preserve">ercentage of hours/days spent directly on audit work and </w:t>
            </w:r>
            <w:r w:rsidR="00F92A55">
              <w:t xml:space="preserve">the </w:t>
            </w:r>
            <w:r w:rsidR="00B3578B">
              <w:t>percentage spent on indirect or “overhead” activities</w:t>
            </w:r>
            <w:r w:rsidR="00FD4640">
              <w:t>;</w:t>
            </w:r>
            <w:r w:rsidR="00B3578B">
              <w:t xml:space="preserve"> </w:t>
            </w:r>
          </w:p>
          <w:p w14:paraId="59B6BB5D" w14:textId="74045C5A" w:rsidR="00742196" w:rsidRDefault="00495FBC" w:rsidP="00914E9B">
            <w:pPr>
              <w:pStyle w:val="Tableindent"/>
            </w:pPr>
            <w:r>
              <w:t>Establishing c</w:t>
            </w:r>
            <w:r w:rsidR="00F92A55">
              <w:t>ommon</w:t>
            </w:r>
            <w:r w:rsidR="00742196">
              <w:t xml:space="preserve"> audit process across </w:t>
            </w:r>
            <w:r w:rsidR="00487D5B">
              <w:t>internal audit</w:t>
            </w:r>
            <w:r w:rsidR="00742196">
              <w:t xml:space="preserve"> unit</w:t>
            </w:r>
            <w:r w:rsidR="00F92A55" w:rsidRPr="00EB3183">
              <w:t xml:space="preserve"> </w:t>
            </w:r>
            <w:r w:rsidR="00F92A55">
              <w:t>– this helps to ensure that all staff work efficiently</w:t>
            </w:r>
            <w:r w:rsidR="00FD4640">
              <w:t>;</w:t>
            </w:r>
          </w:p>
          <w:p w14:paraId="2EF00876" w14:textId="34FB67F9" w:rsidR="00AA5B0D" w:rsidRDefault="00396B0C" w:rsidP="00AA5B0D">
            <w:pPr>
              <w:pStyle w:val="Tableindent"/>
            </w:pPr>
            <w:r>
              <w:t>Achieving p</w:t>
            </w:r>
            <w:r w:rsidR="00AA5B0D">
              <w:t>lanned training hours</w:t>
            </w:r>
            <w:r w:rsidR="00FD4640">
              <w:t>;</w:t>
            </w:r>
            <w:r w:rsidR="00AA5B0D">
              <w:t xml:space="preserve"> </w:t>
            </w:r>
          </w:p>
          <w:p w14:paraId="12A9A33D" w14:textId="5E6716AC" w:rsidR="00AA5B0D" w:rsidRPr="00450E14" w:rsidRDefault="00396B0C" w:rsidP="00914E9B">
            <w:pPr>
              <w:pStyle w:val="Tableindent"/>
            </w:pPr>
            <w:r>
              <w:t>Completing o</w:t>
            </w:r>
            <w:r w:rsidR="00AA5B0D">
              <w:t xml:space="preserve">utput based </w:t>
            </w:r>
            <w:r w:rsidR="0071476F">
              <w:t>continu</w:t>
            </w:r>
            <w:r w:rsidR="001445CB">
              <w:t>ing professional development</w:t>
            </w:r>
            <w:r w:rsidR="00AA5B0D">
              <w:rPr>
                <w:rStyle w:val="FootnoteReference"/>
              </w:rPr>
              <w:footnoteReference w:id="14"/>
            </w:r>
          </w:p>
        </w:tc>
        <w:tc>
          <w:tcPr>
            <w:tcW w:w="3510" w:type="dxa"/>
            <w:tcBorders>
              <w:bottom w:val="single" w:sz="4" w:space="0" w:color="auto"/>
            </w:tcBorders>
          </w:tcPr>
          <w:p w14:paraId="4D195AE7" w14:textId="2BABE21D" w:rsidR="00F92A55" w:rsidRPr="00450E14" w:rsidRDefault="003D42AD" w:rsidP="00914E9B">
            <w:pPr>
              <w:pStyle w:val="Tableindent"/>
            </w:pPr>
            <w:r>
              <w:t>Monitoring</w:t>
            </w:r>
            <w:r w:rsidRPr="00533045">
              <w:t xml:space="preserve"> </w:t>
            </w:r>
            <w:r>
              <w:t>t</w:t>
            </w:r>
            <w:r w:rsidR="00E455BF">
              <w:t>he n</w:t>
            </w:r>
            <w:r w:rsidR="00F92A55" w:rsidRPr="00533045">
              <w:t xml:space="preserve">umber and percentage of recommendations </w:t>
            </w:r>
            <w:r w:rsidR="00E270CC">
              <w:t>accepted,</w:t>
            </w:r>
            <w:r w:rsidR="00E455BF">
              <w:t xml:space="preserve"> and the number </w:t>
            </w:r>
            <w:r w:rsidR="00F92A55" w:rsidRPr="00533045">
              <w:t>implemented</w:t>
            </w:r>
            <w:r w:rsidR="00B714E5">
              <w:t xml:space="preserve"> as a percentage of the total recommendations made</w:t>
            </w:r>
            <w:r w:rsidR="00FD4640">
              <w:t>;</w:t>
            </w:r>
          </w:p>
          <w:p w14:paraId="2536FA11" w14:textId="30F0DE4E" w:rsidR="00F92A55" w:rsidRPr="00255A1D" w:rsidRDefault="003D42AD" w:rsidP="00914E9B">
            <w:pPr>
              <w:pStyle w:val="Tableindent"/>
            </w:pPr>
            <w:r>
              <w:t xml:space="preserve">Assessing the </w:t>
            </w:r>
            <w:r w:rsidR="00E455BF">
              <w:t>direct and indirect c</w:t>
            </w:r>
            <w:r w:rsidR="00F92A55" w:rsidRPr="00533045">
              <w:t>ash savings realized when recommendations are implemented</w:t>
            </w:r>
            <w:r w:rsidR="00FD4640">
              <w:t>;</w:t>
            </w:r>
          </w:p>
          <w:p w14:paraId="701369AB" w14:textId="23217F98" w:rsidR="00B3578B" w:rsidRDefault="009835DE" w:rsidP="00914E9B">
            <w:pPr>
              <w:pStyle w:val="Tableindent"/>
            </w:pPr>
            <w:r>
              <w:t>Highlighting the i</w:t>
            </w:r>
            <w:r w:rsidR="00B3578B" w:rsidRPr="00EB3183">
              <w:t xml:space="preserve">mproved efficiencies, or other </w:t>
            </w:r>
            <w:r w:rsidR="00F92A55">
              <w:t xml:space="preserve">non- </w:t>
            </w:r>
            <w:r w:rsidR="00B3578B" w:rsidRPr="00EB3183">
              <w:t xml:space="preserve">monetary benefits </w:t>
            </w:r>
            <w:r w:rsidR="00E455BF">
              <w:t>reali</w:t>
            </w:r>
            <w:r>
              <w:t>z</w:t>
            </w:r>
            <w:r w:rsidR="00E455BF">
              <w:t xml:space="preserve">ed from implementing </w:t>
            </w:r>
            <w:r w:rsidR="00487D5B">
              <w:t>internal audit</w:t>
            </w:r>
            <w:r w:rsidR="00E455BF">
              <w:t xml:space="preserve"> recommendations</w:t>
            </w:r>
            <w:r w:rsidR="00FD4640">
              <w:t>;</w:t>
            </w:r>
          </w:p>
          <w:p w14:paraId="79F7B351" w14:textId="7166C12B" w:rsidR="00F92A55" w:rsidRPr="00450E14" w:rsidRDefault="009835DE" w:rsidP="00914E9B">
            <w:pPr>
              <w:pStyle w:val="Tableindent"/>
            </w:pPr>
            <w:r>
              <w:t>Assessing y</w:t>
            </w:r>
            <w:r w:rsidR="00E455BF">
              <w:t>ear on year change</w:t>
            </w:r>
            <w:r>
              <w:t>s</w:t>
            </w:r>
            <w:r w:rsidR="00E455BF">
              <w:t xml:space="preserve"> in </w:t>
            </w:r>
            <w:r w:rsidR="00F6182C">
              <w:t>audited entity</w:t>
            </w:r>
            <w:r w:rsidR="00F6182C" w:rsidRPr="00450E14">
              <w:t xml:space="preserve"> </w:t>
            </w:r>
            <w:r w:rsidR="00F92A55" w:rsidRPr="00450E14">
              <w:t>satisfaction ratings</w:t>
            </w:r>
            <w:r w:rsidR="006C2C21">
              <w:t>.</w:t>
            </w:r>
            <w:r w:rsidR="00E455BF">
              <w:t xml:space="preserve"> These may include client satisfaction questionnaires for each audit assignment; an annual client satisfaction survey; and </w:t>
            </w:r>
            <w:r w:rsidR="00F92A55">
              <w:t xml:space="preserve">the results of </w:t>
            </w:r>
            <w:r w:rsidR="00F92A55" w:rsidRPr="00F92A55">
              <w:t>360</w:t>
            </w:r>
            <w:r w:rsidR="00E455BF">
              <w:t>-</w:t>
            </w:r>
            <w:r w:rsidR="00F92A55" w:rsidRPr="00F92A55">
              <w:t xml:space="preserve">degree assessments </w:t>
            </w:r>
            <w:r w:rsidR="00F92A55">
              <w:t>i</w:t>
            </w:r>
            <w:r w:rsidR="00F92A55" w:rsidRPr="00F92A55">
              <w:t xml:space="preserve">nvolving different stakeholders </w:t>
            </w:r>
            <w:r w:rsidR="00E455BF">
              <w:t xml:space="preserve">- </w:t>
            </w:r>
            <w:r w:rsidR="00F92A55" w:rsidRPr="00F92A55">
              <w:t xml:space="preserve">auditee, managers, </w:t>
            </w:r>
            <w:r w:rsidR="00A83660">
              <w:t>c</w:t>
            </w:r>
            <w:r w:rsidR="00A83660" w:rsidRPr="00D13C30">
              <w:t>entral harmonization unit</w:t>
            </w:r>
            <w:r w:rsidR="00F92A55" w:rsidRPr="00F92A55">
              <w:t xml:space="preserve">, </w:t>
            </w:r>
            <w:r w:rsidR="00A7242A" w:rsidRPr="00F92A55">
              <w:t>audit committee</w:t>
            </w:r>
            <w:r w:rsidR="00FD4640">
              <w:t>;</w:t>
            </w:r>
          </w:p>
          <w:p w14:paraId="37918992" w14:textId="78BFBDA0" w:rsidR="00682FA4" w:rsidRPr="005726EB" w:rsidRDefault="004C0222" w:rsidP="00914E9B">
            <w:pPr>
              <w:pStyle w:val="Tableindent"/>
            </w:pPr>
            <w:r>
              <w:lastRenderedPageBreak/>
              <w:t>Assessing y</w:t>
            </w:r>
            <w:r w:rsidR="00E455BF">
              <w:t>ear on year change in the p</w:t>
            </w:r>
            <w:r w:rsidR="00682FA4">
              <w:t xml:space="preserve">roportion of audits that are </w:t>
            </w:r>
            <w:r w:rsidR="00E455BF">
              <w:t xml:space="preserve">requested by </w:t>
            </w:r>
            <w:proofErr w:type="gramStart"/>
            <w:r w:rsidR="00E455BF">
              <w:t xml:space="preserve">management </w:t>
            </w:r>
            <w:r w:rsidR="00F92A55">
              <w:t xml:space="preserve"> </w:t>
            </w:r>
            <w:r w:rsidR="00F92A55" w:rsidRPr="00E455BF">
              <w:rPr>
                <w:i/>
              </w:rPr>
              <w:t>(</w:t>
            </w:r>
            <w:proofErr w:type="gramEnd"/>
            <w:r>
              <w:rPr>
                <w:i/>
              </w:rPr>
              <w:t>i</w:t>
            </w:r>
            <w:r w:rsidR="00F92A55" w:rsidRPr="00E455BF">
              <w:rPr>
                <w:i/>
              </w:rPr>
              <w:t xml:space="preserve">f </w:t>
            </w:r>
            <w:r w:rsidR="00487D5B">
              <w:rPr>
                <w:i/>
              </w:rPr>
              <w:t>internal audit</w:t>
            </w:r>
            <w:r w:rsidR="00F92A55" w:rsidRPr="00E455BF">
              <w:rPr>
                <w:i/>
              </w:rPr>
              <w:t xml:space="preserve"> is effective it will be asked to do more work </w:t>
            </w:r>
            <w:r w:rsidR="00532AED" w:rsidRPr="00E455BF">
              <w:rPr>
                <w:i/>
              </w:rPr>
              <w:t>by</w:t>
            </w:r>
            <w:r w:rsidR="00F92A55" w:rsidRPr="00E455BF">
              <w:rPr>
                <w:i/>
              </w:rPr>
              <w:t xml:space="preserve"> management</w:t>
            </w:r>
            <w:r w:rsidR="00C408BB">
              <w:rPr>
                <w:i/>
              </w:rPr>
              <w:t>,</w:t>
            </w:r>
            <w:r w:rsidR="002F2D3D">
              <w:rPr>
                <w:i/>
              </w:rPr>
              <w:t xml:space="preserve"> although requests should not be so demanding that they</w:t>
            </w:r>
            <w:r w:rsidR="00C408BB">
              <w:rPr>
                <w:i/>
              </w:rPr>
              <w:t xml:space="preserve"> hinder </w:t>
            </w:r>
            <w:r w:rsidR="002F2D3D" w:rsidRPr="00442475">
              <w:rPr>
                <w:i/>
              </w:rPr>
              <w:t>internal audit from addressing risks as identified in their strategic and annual plans</w:t>
            </w:r>
            <w:r w:rsidR="00F92A55" w:rsidRPr="00E455BF">
              <w:rPr>
                <w:i/>
              </w:rPr>
              <w:t>.)</w:t>
            </w:r>
            <w:r w:rsidR="00FD4640">
              <w:t>;</w:t>
            </w:r>
            <w:r w:rsidR="00F92A55" w:rsidRPr="00E455BF">
              <w:rPr>
                <w:i/>
              </w:rPr>
              <w:t xml:space="preserve"> </w:t>
            </w:r>
          </w:p>
          <w:p w14:paraId="10E80DBD" w14:textId="230648EC" w:rsidR="006C2A5B" w:rsidRPr="00450E14" w:rsidRDefault="002A0A97" w:rsidP="00914E9B">
            <w:pPr>
              <w:pStyle w:val="Tableindent"/>
            </w:pPr>
            <w:r>
              <w:t>Monitoring the n</w:t>
            </w:r>
            <w:r w:rsidR="006C2A5B">
              <w:t xml:space="preserve">umber of recommendations accepted by auditee/management. </w:t>
            </w:r>
          </w:p>
        </w:tc>
        <w:bookmarkStart w:id="45" w:name="_GoBack"/>
        <w:bookmarkEnd w:id="45"/>
      </w:tr>
    </w:tbl>
    <w:p w14:paraId="6CAD1494" w14:textId="67FF2741" w:rsidR="00450E14" w:rsidRPr="00E455BF" w:rsidRDefault="00E455BF" w:rsidP="00442475">
      <w:pPr>
        <w:pStyle w:val="numberedparas"/>
        <w:numPr>
          <w:ilvl w:val="0"/>
          <w:numId w:val="0"/>
        </w:numPr>
      </w:pPr>
      <w:r>
        <w:lastRenderedPageBreak/>
        <w:t>PEMPAL advi</w:t>
      </w:r>
      <w:r w:rsidR="001D0184">
        <w:t>s</w:t>
      </w:r>
      <w:r>
        <w:t>e</w:t>
      </w:r>
      <w:r w:rsidR="003118DF">
        <w:t>s</w:t>
      </w:r>
      <w:r>
        <w:t xml:space="preserve"> that </w:t>
      </w:r>
      <w:r w:rsidR="001A0C7C">
        <w:t>HIA</w:t>
      </w:r>
      <w:r>
        <w:t xml:space="preserve">s </w:t>
      </w:r>
      <w:r w:rsidR="001D7F41">
        <w:t>implement</w:t>
      </w:r>
      <w:r>
        <w:t xml:space="preserve"> a range </w:t>
      </w:r>
      <w:r w:rsidR="001D7F41">
        <w:t>(</w:t>
      </w:r>
      <w:r>
        <w:t>or basket</w:t>
      </w:r>
      <w:r w:rsidR="001D7F41">
        <w:t>)</w:t>
      </w:r>
      <w:r>
        <w:t xml:space="preserve"> of </w:t>
      </w:r>
      <w:r w:rsidR="00FD6479">
        <w:t>key performance indicators</w:t>
      </w:r>
      <w:r w:rsidR="00FD6479" w:rsidRPr="00CC41BD">
        <w:t xml:space="preserve"> </w:t>
      </w:r>
      <w:r>
        <w:t>relating to all three elements of economy</w:t>
      </w:r>
      <w:r w:rsidR="000E5BE7">
        <w:t>,</w:t>
      </w:r>
      <w:r>
        <w:t xml:space="preserve"> efficiency</w:t>
      </w:r>
      <w:r w:rsidR="00FD6479">
        <w:t>,</w:t>
      </w:r>
      <w:r>
        <w:t xml:space="preserve"> and effectiveness. This is to ensure appropriate </w:t>
      </w:r>
      <w:r w:rsidR="00840F32">
        <w:t xml:space="preserve">incentives to </w:t>
      </w:r>
      <w:r>
        <w:t xml:space="preserve">staff to </w:t>
      </w:r>
      <w:r w:rsidR="00980D75">
        <w:t>be cost-effective</w:t>
      </w:r>
      <w:r>
        <w:t xml:space="preserve"> and efficient</w:t>
      </w:r>
      <w:r w:rsidR="00255A1D">
        <w:t xml:space="preserve"> </w:t>
      </w:r>
      <w:r w:rsidR="00224717">
        <w:t>while delivering high qu</w:t>
      </w:r>
      <w:r>
        <w:t>a</w:t>
      </w:r>
      <w:r w:rsidR="007D0CBD">
        <w:t xml:space="preserve">lity </w:t>
      </w:r>
      <w:r>
        <w:t xml:space="preserve">audit work. </w:t>
      </w:r>
    </w:p>
    <w:p w14:paraId="0E422D3C" w14:textId="07D1DC07" w:rsidR="00533045" w:rsidRPr="00E455BF" w:rsidRDefault="00533045" w:rsidP="00442475">
      <w:pPr>
        <w:pStyle w:val="numberedparas"/>
        <w:numPr>
          <w:ilvl w:val="0"/>
          <w:numId w:val="0"/>
        </w:numPr>
      </w:pPr>
    </w:p>
    <w:sectPr w:rsidR="00533045" w:rsidRPr="00E455BF" w:rsidSect="00673546">
      <w:headerReference w:type="default" r:id="rId12"/>
      <w:footerReference w:type="default" r:id="rId13"/>
      <w:pgSz w:w="11906" w:h="16838" w:code="9"/>
      <w:pgMar w:top="1440" w:right="1800" w:bottom="1440" w:left="1800" w:header="37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8A32E" w14:textId="77777777" w:rsidR="00140FB8" w:rsidRDefault="00140FB8" w:rsidP="000B734A">
      <w:pPr>
        <w:spacing w:after="0"/>
      </w:pPr>
      <w:r>
        <w:separator/>
      </w:r>
    </w:p>
  </w:endnote>
  <w:endnote w:type="continuationSeparator" w:id="0">
    <w:p w14:paraId="133D0050" w14:textId="77777777" w:rsidR="00140FB8" w:rsidRDefault="00140FB8" w:rsidP="000B73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842C" w14:textId="08BF9A6B" w:rsidR="007D3277" w:rsidRPr="00451143" w:rsidRDefault="007D3277" w:rsidP="005C0E45">
    <w:pPr>
      <w:pStyle w:val="Footer"/>
      <w:jc w:val="right"/>
      <w:rPr>
        <w:color w:val="1F497D" w:themeColor="text2"/>
      </w:rPr>
    </w:pPr>
    <w:r w:rsidRPr="00451143">
      <w:rPr>
        <w:color w:val="1F497D" w:themeColor="text2"/>
      </w:rPr>
      <w:t xml:space="preserve">Page </w:t>
    </w:r>
    <w:r w:rsidRPr="00451143">
      <w:rPr>
        <w:color w:val="1F497D" w:themeColor="text2"/>
      </w:rPr>
      <w:fldChar w:fldCharType="begin"/>
    </w:r>
    <w:r w:rsidRPr="00451143">
      <w:rPr>
        <w:color w:val="1F497D" w:themeColor="text2"/>
      </w:rPr>
      <w:instrText xml:space="preserve"> PAGE  \* MERGEFORMAT </w:instrText>
    </w:r>
    <w:r w:rsidRPr="00451143">
      <w:rPr>
        <w:color w:val="1F497D" w:themeColor="text2"/>
      </w:rPr>
      <w:fldChar w:fldCharType="separate"/>
    </w:r>
    <w:r>
      <w:rPr>
        <w:noProof/>
        <w:color w:val="1F497D" w:themeColor="text2"/>
      </w:rPr>
      <w:t>15</w:t>
    </w:r>
    <w:r w:rsidRPr="00451143">
      <w:rPr>
        <w:color w:val="1F497D" w:themeColor="text2"/>
      </w:rPr>
      <w:fldChar w:fldCharType="end"/>
    </w:r>
    <w:r w:rsidRPr="00451143">
      <w:rPr>
        <w:color w:val="1F497D" w:themeColor="text2"/>
      </w:rPr>
      <w:t xml:space="preserve"> of </w:t>
    </w:r>
    <w:r w:rsidRPr="00451143">
      <w:rPr>
        <w:color w:val="1F497D" w:themeColor="text2"/>
      </w:rPr>
      <w:fldChar w:fldCharType="begin"/>
    </w:r>
    <w:r w:rsidRPr="00451143">
      <w:rPr>
        <w:color w:val="1F497D" w:themeColor="text2"/>
      </w:rPr>
      <w:instrText xml:space="preserve"> NUMPAGES  \* MERGEFORMAT </w:instrText>
    </w:r>
    <w:r w:rsidRPr="00451143">
      <w:rPr>
        <w:color w:val="1F497D" w:themeColor="text2"/>
      </w:rPr>
      <w:fldChar w:fldCharType="separate"/>
    </w:r>
    <w:r>
      <w:rPr>
        <w:noProof/>
        <w:color w:val="1F497D" w:themeColor="text2"/>
      </w:rPr>
      <w:t>16</w:t>
    </w:r>
    <w:r w:rsidRPr="00451143">
      <w:rPr>
        <w:color w:val="1F497D"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26D7" w14:textId="77777777" w:rsidR="00140FB8" w:rsidRDefault="00140FB8" w:rsidP="000B734A">
      <w:pPr>
        <w:spacing w:after="0"/>
      </w:pPr>
      <w:r>
        <w:separator/>
      </w:r>
    </w:p>
  </w:footnote>
  <w:footnote w:type="continuationSeparator" w:id="0">
    <w:p w14:paraId="4CF4F231" w14:textId="77777777" w:rsidR="00140FB8" w:rsidRDefault="00140FB8" w:rsidP="000B734A">
      <w:pPr>
        <w:spacing w:after="0"/>
      </w:pPr>
      <w:r>
        <w:continuationSeparator/>
      </w:r>
    </w:p>
  </w:footnote>
  <w:footnote w:id="1">
    <w:p w14:paraId="5F7A75E7" w14:textId="77777777" w:rsidR="007D3277" w:rsidRPr="0098053B" w:rsidRDefault="007D3277" w:rsidP="003407AB">
      <w:pPr>
        <w:pStyle w:val="FootnoteText"/>
        <w:jc w:val="both"/>
      </w:pPr>
      <w:r>
        <w:rPr>
          <w:rStyle w:val="FootnoteReference"/>
        </w:rPr>
        <w:footnoteRef/>
      </w:r>
      <w:r w:rsidRPr="008C4C8C">
        <w:t xml:space="preserve"> </w:t>
      </w:r>
      <w:r>
        <w:t>Source: IACOP Balanced Scorecard</w:t>
      </w:r>
    </w:p>
  </w:footnote>
  <w:footnote w:id="2">
    <w:p w14:paraId="61DF18CC" w14:textId="46A0347F" w:rsidR="007D3277" w:rsidRPr="00DA1358" w:rsidRDefault="007D3277">
      <w:pPr>
        <w:pStyle w:val="FootnoteText"/>
        <w:rPr>
          <w:lang w:val="en-GB"/>
        </w:rPr>
      </w:pPr>
      <w:r>
        <w:rPr>
          <w:rStyle w:val="FootnoteReference"/>
        </w:rPr>
        <w:footnoteRef/>
      </w:r>
      <w:r>
        <w:t xml:space="preserve"> </w:t>
      </w:r>
      <w:r w:rsidRPr="00FA2E29">
        <w:t>https://global.theiia.org/Pages/globaliiaHome.aspx</w:t>
      </w:r>
    </w:p>
  </w:footnote>
  <w:footnote w:id="3">
    <w:p w14:paraId="0839F3CA" w14:textId="47A039B5" w:rsidR="007D3277" w:rsidRPr="004B72D3" w:rsidRDefault="007D3277" w:rsidP="004B72D3">
      <w:pPr>
        <w:pStyle w:val="FootnoteText"/>
      </w:pPr>
      <w:r>
        <w:rPr>
          <w:rStyle w:val="FootnoteReference"/>
        </w:rPr>
        <w:footnoteRef/>
      </w:r>
      <w:r>
        <w:t xml:space="preserve"> The </w:t>
      </w:r>
      <w:r w:rsidRPr="004B72D3">
        <w:t>CBOK is the world’s largest ongoing study of the internal audit profession, including studies of internal audit practitioners and their stakeholders. One of the key components of CBOK 2015 is the global practitioner survey, which provides a comprehensive look at the activities and characteristics of internal auditors worldwide</w:t>
      </w:r>
      <w:r>
        <w:t>, see</w:t>
      </w:r>
      <w:r w:rsidRPr="00C019F7">
        <w:t xml:space="preserve"> https://global.theiia.org/iiarf/pages/common-body-of-knowledge-cbok.aspx</w:t>
      </w:r>
    </w:p>
  </w:footnote>
  <w:footnote w:id="4">
    <w:p w14:paraId="2973C1CB" w14:textId="4BF79DB7" w:rsidR="007D3277" w:rsidRPr="00DA1358" w:rsidRDefault="007D3277">
      <w:pPr>
        <w:pStyle w:val="FootnoteText"/>
        <w:rPr>
          <w:lang w:val="en-GB"/>
        </w:rPr>
      </w:pPr>
      <w:r>
        <w:rPr>
          <w:rStyle w:val="FootnoteReference"/>
        </w:rPr>
        <w:footnoteRef/>
      </w:r>
      <w:r>
        <w:t xml:space="preserve"> See www.</w:t>
      </w:r>
      <w:r w:rsidRPr="006A78B5">
        <w:t>pempal.org</w:t>
      </w:r>
    </w:p>
  </w:footnote>
  <w:footnote w:id="5">
    <w:p w14:paraId="5B78B5C5" w14:textId="05CCCC7F" w:rsidR="007D3277" w:rsidRPr="003333F9" w:rsidRDefault="007D3277" w:rsidP="00D36518">
      <w:pPr>
        <w:pStyle w:val="FootnoteText"/>
      </w:pPr>
      <w:r>
        <w:rPr>
          <w:rStyle w:val="FootnoteReference"/>
        </w:rPr>
        <w:footnoteRef/>
      </w:r>
      <w:r>
        <w:t xml:space="preserve"> HIA is a public sector equivalent to the generic term Chief Audit Executive commonly used for heads of internal audit units. </w:t>
      </w:r>
    </w:p>
  </w:footnote>
  <w:footnote w:id="6">
    <w:p w14:paraId="0FBC8EFF" w14:textId="768AED31" w:rsidR="007D3277" w:rsidRPr="00C2577C" w:rsidRDefault="007D3277" w:rsidP="00E755AC">
      <w:pPr>
        <w:pStyle w:val="FootnoteText"/>
      </w:pPr>
      <w:r>
        <w:rPr>
          <w:rStyle w:val="FootnoteReference"/>
        </w:rPr>
        <w:footnoteRef/>
      </w:r>
      <w:r>
        <w:t xml:space="preserve"> The 'Three Lines of Defense' model is a way of assuring the effective management of risk within an organization, summarized as first line of defense – functions that own and manage risk; second line of defense – functions that oversee or specialize in risk management, compliance; third line of defense – functions that provide independent assurance, above all internal audit; see </w:t>
      </w:r>
      <w:r w:rsidRPr="002D0EEC">
        <w:t>https://www.iia.org.uk/resources/audit-committees/governance-of-risk-three-lines-of-defence/</w:t>
      </w:r>
    </w:p>
  </w:footnote>
  <w:footnote w:id="7">
    <w:p w14:paraId="4CAAD54B" w14:textId="36F7E3AB" w:rsidR="007D3277" w:rsidRPr="00FA1A48" w:rsidRDefault="007D3277">
      <w:pPr>
        <w:pStyle w:val="FootnoteText"/>
      </w:pPr>
      <w:r>
        <w:rPr>
          <w:rStyle w:val="FootnoteReference"/>
        </w:rPr>
        <w:footnoteRef/>
      </w:r>
      <w:r>
        <w:t xml:space="preserve"> One criticism of the survey is that it focuses only on the views of the Chief Audit Executive. The perspective of the auditee and senior management is also very important.</w:t>
      </w:r>
    </w:p>
  </w:footnote>
  <w:footnote w:id="8">
    <w:p w14:paraId="6D69FFDA" w14:textId="44E5D87F" w:rsidR="007D3277" w:rsidRPr="00B17EFB" w:rsidRDefault="007D3277">
      <w:pPr>
        <w:pStyle w:val="FootnoteText"/>
      </w:pPr>
      <w:r>
        <w:rPr>
          <w:rStyle w:val="FootnoteReference"/>
        </w:rPr>
        <w:footnoteRef/>
      </w:r>
      <w:r>
        <w:t xml:space="preserve"> For further consideration of the relationships between audit and control bodies see the PEMPAL Concept Paper on Cooperation among Public Sector Audit and Financial Inspection Bodies (pempal.org).</w:t>
      </w:r>
    </w:p>
  </w:footnote>
  <w:footnote w:id="9">
    <w:p w14:paraId="6DEE5386" w14:textId="7F524C79" w:rsidR="007D3277" w:rsidRPr="00B17EFB" w:rsidRDefault="007D3277">
      <w:pPr>
        <w:pStyle w:val="FootnoteText"/>
      </w:pPr>
      <w:r>
        <w:rPr>
          <w:rStyle w:val="FootnoteReference"/>
        </w:rPr>
        <w:footnoteRef/>
      </w:r>
      <w:r>
        <w:t xml:space="preserve"> For example, in many PEMPAL countries and countries in other regions (e.g. the Republic of South Africa) this is a legal requirement. </w:t>
      </w:r>
    </w:p>
  </w:footnote>
  <w:footnote w:id="10">
    <w:p w14:paraId="0AF76BAA" w14:textId="7B2F2BD8" w:rsidR="007D3277" w:rsidRPr="00F02AB7" w:rsidRDefault="007D3277">
      <w:pPr>
        <w:pStyle w:val="FootnoteText"/>
      </w:pPr>
      <w:r>
        <w:rPr>
          <w:rStyle w:val="FootnoteReference"/>
        </w:rPr>
        <w:footnoteRef/>
      </w:r>
      <w:r>
        <w:t xml:space="preserve"> The PEMPAL </w:t>
      </w:r>
      <w:r w:rsidRPr="00F02AB7">
        <w:t>Risk Assessment in Audit Planning guide</w:t>
      </w:r>
      <w:r>
        <w:t xml:space="preserve"> (pempal.org).</w:t>
      </w:r>
    </w:p>
  </w:footnote>
  <w:footnote w:id="11">
    <w:p w14:paraId="13CB9F95" w14:textId="220D91A0" w:rsidR="007D3277" w:rsidRPr="00F95EB8" w:rsidRDefault="007D3277">
      <w:pPr>
        <w:pStyle w:val="FootnoteText"/>
      </w:pPr>
      <w:r>
        <w:rPr>
          <w:rStyle w:val="FootnoteReference"/>
        </w:rPr>
        <w:footnoteRef/>
      </w:r>
      <w:r>
        <w:t xml:space="preserve"> The PEMPAL </w:t>
      </w:r>
      <w:r>
        <w:rPr>
          <w:bCs/>
        </w:rPr>
        <w:t>Q</w:t>
      </w:r>
      <w:r w:rsidRPr="00F95EB8">
        <w:rPr>
          <w:bCs/>
        </w:rPr>
        <w:t xml:space="preserve">uality </w:t>
      </w:r>
      <w:r>
        <w:rPr>
          <w:bCs/>
        </w:rPr>
        <w:t>A</w:t>
      </w:r>
      <w:r w:rsidRPr="00F95EB8">
        <w:rPr>
          <w:bCs/>
        </w:rPr>
        <w:t xml:space="preserve">ssessment </w:t>
      </w:r>
      <w:r>
        <w:rPr>
          <w:bCs/>
        </w:rPr>
        <w:t>G</w:t>
      </w:r>
      <w:r w:rsidRPr="00F95EB8">
        <w:rPr>
          <w:bCs/>
        </w:rPr>
        <w:t>uide for Public Sector Internal Au</w:t>
      </w:r>
      <w:r>
        <w:rPr>
          <w:bCs/>
        </w:rPr>
        <w:t>dit (pempal.org).</w:t>
      </w:r>
    </w:p>
  </w:footnote>
  <w:footnote w:id="12">
    <w:p w14:paraId="4107CEB2" w14:textId="0F4C883C" w:rsidR="007D3277" w:rsidRPr="00F92A55" w:rsidRDefault="007D3277">
      <w:pPr>
        <w:pStyle w:val="FootnoteText"/>
      </w:pPr>
      <w:r>
        <w:rPr>
          <w:rStyle w:val="FootnoteReference"/>
        </w:rPr>
        <w:footnoteRef/>
      </w:r>
      <w:r>
        <w:t xml:space="preserve"> This framework can also be used </w:t>
      </w:r>
      <w:r>
        <w:t xml:space="preserve">by internal audit to carry out performance or value for money audits of their client organizations. </w:t>
      </w:r>
    </w:p>
  </w:footnote>
  <w:footnote w:id="13">
    <w:p w14:paraId="22A0867C" w14:textId="515609D1" w:rsidR="007D3277" w:rsidRPr="00B714E5" w:rsidRDefault="007D3277">
      <w:pPr>
        <w:pStyle w:val="FootnoteText"/>
      </w:pPr>
      <w:r>
        <w:rPr>
          <w:rStyle w:val="FootnoteReference"/>
        </w:rPr>
        <w:footnoteRef/>
      </w:r>
      <w:r>
        <w:t xml:space="preserve"> This should not be interpreted as lower staff salaries. Staff who are more experienced and paid more will often take less time to carry out an audit and this will therefore be more economic.</w:t>
      </w:r>
    </w:p>
  </w:footnote>
  <w:footnote w:id="14">
    <w:p w14:paraId="7EFEE115" w14:textId="11F75D27" w:rsidR="007D3277" w:rsidRDefault="007D3277">
      <w:pPr>
        <w:pStyle w:val="FootnoteText"/>
      </w:pPr>
      <w:r>
        <w:rPr>
          <w:rStyle w:val="FootnoteReference"/>
        </w:rPr>
        <w:footnoteRef/>
      </w:r>
      <w:r>
        <w:t xml:space="preserve"> PEMPAL Good Practice Continuing Professional Development Manual Template (pempal.org).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844A" w14:textId="6514A407" w:rsidR="007D3277" w:rsidRPr="00451143" w:rsidRDefault="007D3277" w:rsidP="000B7FD9">
    <w:pPr>
      <w:pStyle w:val="Header"/>
      <w:spacing w:before="0"/>
      <w:rPr>
        <w:color w:val="1F497D" w:themeColor="text2"/>
      </w:rPr>
    </w:pPr>
    <w:r>
      <w:rPr>
        <w:color w:val="1F497D" w:themeColor="text2"/>
      </w:rPr>
      <w:t xml:space="preserve">PEMPAL Guidance for Internal Auditors of Assessing the Added Value of Internal Audit  </w:t>
    </w:r>
    <w:r>
      <w:rPr>
        <w:noProof/>
        <w:color w:val="1F497D" w:themeColor="text2"/>
      </w:rPr>
      <w:drawing>
        <wp:inline distT="0" distB="0" distL="0" distR="0" wp14:anchorId="0CEA679F" wp14:editId="1FBD307B">
          <wp:extent cx="511947" cy="4612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lue-chart.png"/>
                  <pic:cNvPicPr/>
                </pic:nvPicPr>
                <pic:blipFill>
                  <a:blip r:embed="rId1"/>
                  <a:stretch>
                    <a:fillRect/>
                  </a:stretch>
                </pic:blipFill>
                <pic:spPr>
                  <a:xfrm>
                    <a:off x="0" y="0"/>
                    <a:ext cx="596853" cy="537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BA7D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D4B55"/>
    <w:multiLevelType w:val="multilevel"/>
    <w:tmpl w:val="80468D32"/>
    <w:lvl w:ilvl="0">
      <w:start w:val="1"/>
      <w:numFmt w:val="bullet"/>
      <w:lvlText w:val=""/>
      <w:lvlJc w:val="left"/>
      <w:pPr>
        <w:tabs>
          <w:tab w:val="num" w:pos="1211"/>
        </w:tabs>
        <w:ind w:left="1211" w:hanging="284"/>
      </w:pPr>
      <w:rPr>
        <w:rFonts w:ascii="Symbol" w:hAnsi="Symbol" w:hint="default"/>
      </w:rPr>
    </w:lvl>
    <w:lvl w:ilvl="1">
      <w:start w:val="1"/>
      <w:numFmt w:val="bullet"/>
      <w:lvlText w:val="o"/>
      <w:lvlJc w:val="left"/>
      <w:pPr>
        <w:tabs>
          <w:tab w:val="num" w:pos="2367"/>
        </w:tabs>
        <w:ind w:left="2367" w:hanging="360"/>
      </w:pPr>
      <w:rPr>
        <w:rFonts w:ascii="Courier New" w:hAnsi="Courier New" w:hint="default"/>
      </w:rPr>
    </w:lvl>
    <w:lvl w:ilvl="2">
      <w:start w:val="1"/>
      <w:numFmt w:val="bullet"/>
      <w:lvlText w:val=""/>
      <w:lvlJc w:val="left"/>
      <w:pPr>
        <w:tabs>
          <w:tab w:val="num" w:pos="3087"/>
        </w:tabs>
        <w:ind w:left="3087" w:hanging="360"/>
      </w:pPr>
      <w:rPr>
        <w:rFonts w:ascii="Wingdings" w:hAnsi="Wingdings" w:hint="default"/>
      </w:rPr>
    </w:lvl>
    <w:lvl w:ilvl="3">
      <w:start w:val="1"/>
      <w:numFmt w:val="bullet"/>
      <w:lvlText w:val=""/>
      <w:lvlJc w:val="left"/>
      <w:pPr>
        <w:tabs>
          <w:tab w:val="num" w:pos="3807"/>
        </w:tabs>
        <w:ind w:left="3807" w:hanging="360"/>
      </w:pPr>
      <w:rPr>
        <w:rFonts w:ascii="Symbol" w:hAnsi="Symbol" w:hint="default"/>
      </w:rPr>
    </w:lvl>
    <w:lvl w:ilvl="4">
      <w:start w:val="1"/>
      <w:numFmt w:val="bullet"/>
      <w:lvlText w:val="o"/>
      <w:lvlJc w:val="left"/>
      <w:pPr>
        <w:tabs>
          <w:tab w:val="num" w:pos="4527"/>
        </w:tabs>
        <w:ind w:left="4527" w:hanging="360"/>
      </w:pPr>
      <w:rPr>
        <w:rFonts w:ascii="Courier New" w:hAnsi="Courier New" w:hint="default"/>
      </w:rPr>
    </w:lvl>
    <w:lvl w:ilvl="5">
      <w:start w:val="1"/>
      <w:numFmt w:val="bullet"/>
      <w:lvlText w:val=""/>
      <w:lvlJc w:val="left"/>
      <w:pPr>
        <w:tabs>
          <w:tab w:val="num" w:pos="5247"/>
        </w:tabs>
        <w:ind w:left="5247" w:hanging="360"/>
      </w:pPr>
      <w:rPr>
        <w:rFonts w:ascii="Wingdings" w:hAnsi="Wingdings" w:hint="default"/>
      </w:rPr>
    </w:lvl>
    <w:lvl w:ilvl="6">
      <w:start w:val="1"/>
      <w:numFmt w:val="bullet"/>
      <w:lvlText w:val=""/>
      <w:lvlJc w:val="left"/>
      <w:pPr>
        <w:tabs>
          <w:tab w:val="num" w:pos="5967"/>
        </w:tabs>
        <w:ind w:left="5967" w:hanging="360"/>
      </w:pPr>
      <w:rPr>
        <w:rFonts w:ascii="Symbol" w:hAnsi="Symbol" w:hint="default"/>
      </w:rPr>
    </w:lvl>
    <w:lvl w:ilvl="7">
      <w:start w:val="1"/>
      <w:numFmt w:val="bullet"/>
      <w:lvlText w:val="o"/>
      <w:lvlJc w:val="left"/>
      <w:pPr>
        <w:tabs>
          <w:tab w:val="num" w:pos="6687"/>
        </w:tabs>
        <w:ind w:left="6687" w:hanging="360"/>
      </w:pPr>
      <w:rPr>
        <w:rFonts w:ascii="Courier New" w:hAnsi="Courier New" w:hint="default"/>
      </w:rPr>
    </w:lvl>
    <w:lvl w:ilvl="8">
      <w:start w:val="1"/>
      <w:numFmt w:val="bullet"/>
      <w:lvlText w:val=""/>
      <w:lvlJc w:val="left"/>
      <w:pPr>
        <w:tabs>
          <w:tab w:val="num" w:pos="7407"/>
        </w:tabs>
        <w:ind w:left="7407" w:hanging="360"/>
      </w:pPr>
      <w:rPr>
        <w:rFonts w:ascii="Wingdings" w:hAnsi="Wingdings" w:hint="default"/>
      </w:rPr>
    </w:lvl>
  </w:abstractNum>
  <w:abstractNum w:abstractNumId="3" w15:restartNumberingAfterBreak="0">
    <w:nsid w:val="07673CD5"/>
    <w:multiLevelType w:val="hybridMultilevel"/>
    <w:tmpl w:val="0DF4A78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A9B152F"/>
    <w:multiLevelType w:val="hybridMultilevel"/>
    <w:tmpl w:val="F7F2B5D6"/>
    <w:lvl w:ilvl="0" w:tplc="4C88959E">
      <w:start w:val="1"/>
      <w:numFmt w:val="decimal"/>
      <w:pStyle w:val="numberedparas"/>
      <w:lvlText w:val="%1."/>
      <w:lvlJc w:val="left"/>
      <w:pPr>
        <w:tabs>
          <w:tab w:val="num" w:pos="567"/>
        </w:tabs>
        <w:ind w:left="567"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0D1F12A4"/>
    <w:multiLevelType w:val="multilevel"/>
    <w:tmpl w:val="5AF6198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15:restartNumberingAfterBreak="0">
    <w:nsid w:val="1088740A"/>
    <w:multiLevelType w:val="multilevel"/>
    <w:tmpl w:val="FC0AA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B069B6"/>
    <w:multiLevelType w:val="multilevel"/>
    <w:tmpl w:val="D42AFC0A"/>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1A682F0E"/>
    <w:multiLevelType w:val="multilevel"/>
    <w:tmpl w:val="0B02A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8B59F7"/>
    <w:multiLevelType w:val="multilevel"/>
    <w:tmpl w:val="4C12DAB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DDA6FD8"/>
    <w:multiLevelType w:val="hybridMultilevel"/>
    <w:tmpl w:val="23D04D3A"/>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0EE0262"/>
    <w:multiLevelType w:val="hybridMultilevel"/>
    <w:tmpl w:val="3F12144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43C5B1C"/>
    <w:multiLevelType w:val="hybridMultilevel"/>
    <w:tmpl w:val="29DE7A82"/>
    <w:lvl w:ilvl="0" w:tplc="474A422E">
      <w:start w:val="1"/>
      <w:numFmt w:val="bullet"/>
      <w:lvlText w:val="•"/>
      <w:lvlJc w:val="left"/>
      <w:pPr>
        <w:tabs>
          <w:tab w:val="num" w:pos="720"/>
        </w:tabs>
        <w:ind w:left="720" w:hanging="360"/>
      </w:pPr>
      <w:rPr>
        <w:rFonts w:ascii="Arial" w:hAnsi="Arial" w:hint="default"/>
      </w:rPr>
    </w:lvl>
    <w:lvl w:ilvl="1" w:tplc="566E2C5C">
      <w:numFmt w:val="bullet"/>
      <w:lvlText w:val="–"/>
      <w:lvlJc w:val="left"/>
      <w:pPr>
        <w:tabs>
          <w:tab w:val="num" w:pos="1440"/>
        </w:tabs>
        <w:ind w:left="1440" w:hanging="360"/>
      </w:pPr>
      <w:rPr>
        <w:rFonts w:ascii="Arial" w:hAnsi="Arial" w:hint="default"/>
      </w:rPr>
    </w:lvl>
    <w:lvl w:ilvl="2" w:tplc="47FC1DB6" w:tentative="1">
      <w:start w:val="1"/>
      <w:numFmt w:val="bullet"/>
      <w:lvlText w:val="•"/>
      <w:lvlJc w:val="left"/>
      <w:pPr>
        <w:tabs>
          <w:tab w:val="num" w:pos="2160"/>
        </w:tabs>
        <w:ind w:left="2160" w:hanging="360"/>
      </w:pPr>
      <w:rPr>
        <w:rFonts w:ascii="Arial" w:hAnsi="Arial" w:hint="default"/>
      </w:rPr>
    </w:lvl>
    <w:lvl w:ilvl="3" w:tplc="254C47AA" w:tentative="1">
      <w:start w:val="1"/>
      <w:numFmt w:val="bullet"/>
      <w:lvlText w:val="•"/>
      <w:lvlJc w:val="left"/>
      <w:pPr>
        <w:tabs>
          <w:tab w:val="num" w:pos="2880"/>
        </w:tabs>
        <w:ind w:left="2880" w:hanging="360"/>
      </w:pPr>
      <w:rPr>
        <w:rFonts w:ascii="Arial" w:hAnsi="Arial" w:hint="default"/>
      </w:rPr>
    </w:lvl>
    <w:lvl w:ilvl="4" w:tplc="D55E15B0" w:tentative="1">
      <w:start w:val="1"/>
      <w:numFmt w:val="bullet"/>
      <w:lvlText w:val="•"/>
      <w:lvlJc w:val="left"/>
      <w:pPr>
        <w:tabs>
          <w:tab w:val="num" w:pos="3600"/>
        </w:tabs>
        <w:ind w:left="3600" w:hanging="360"/>
      </w:pPr>
      <w:rPr>
        <w:rFonts w:ascii="Arial" w:hAnsi="Arial" w:hint="default"/>
      </w:rPr>
    </w:lvl>
    <w:lvl w:ilvl="5" w:tplc="48E4CA94" w:tentative="1">
      <w:start w:val="1"/>
      <w:numFmt w:val="bullet"/>
      <w:lvlText w:val="•"/>
      <w:lvlJc w:val="left"/>
      <w:pPr>
        <w:tabs>
          <w:tab w:val="num" w:pos="4320"/>
        </w:tabs>
        <w:ind w:left="4320" w:hanging="360"/>
      </w:pPr>
      <w:rPr>
        <w:rFonts w:ascii="Arial" w:hAnsi="Arial" w:hint="default"/>
      </w:rPr>
    </w:lvl>
    <w:lvl w:ilvl="6" w:tplc="41828B26" w:tentative="1">
      <w:start w:val="1"/>
      <w:numFmt w:val="bullet"/>
      <w:lvlText w:val="•"/>
      <w:lvlJc w:val="left"/>
      <w:pPr>
        <w:tabs>
          <w:tab w:val="num" w:pos="5040"/>
        </w:tabs>
        <w:ind w:left="5040" w:hanging="360"/>
      </w:pPr>
      <w:rPr>
        <w:rFonts w:ascii="Arial" w:hAnsi="Arial" w:hint="default"/>
      </w:rPr>
    </w:lvl>
    <w:lvl w:ilvl="7" w:tplc="A1CEC4E6" w:tentative="1">
      <w:start w:val="1"/>
      <w:numFmt w:val="bullet"/>
      <w:lvlText w:val="•"/>
      <w:lvlJc w:val="left"/>
      <w:pPr>
        <w:tabs>
          <w:tab w:val="num" w:pos="5760"/>
        </w:tabs>
        <w:ind w:left="5760" w:hanging="360"/>
      </w:pPr>
      <w:rPr>
        <w:rFonts w:ascii="Arial" w:hAnsi="Arial" w:hint="default"/>
      </w:rPr>
    </w:lvl>
    <w:lvl w:ilvl="8" w:tplc="332EF7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B028F3"/>
    <w:multiLevelType w:val="hybridMultilevel"/>
    <w:tmpl w:val="72F22060"/>
    <w:lvl w:ilvl="0" w:tplc="8824365C">
      <w:start w:val="1"/>
      <w:numFmt w:val="bullet"/>
      <w:lvlText w:val="•"/>
      <w:lvlJc w:val="left"/>
      <w:pPr>
        <w:tabs>
          <w:tab w:val="num" w:pos="720"/>
        </w:tabs>
        <w:ind w:left="720" w:hanging="360"/>
      </w:pPr>
      <w:rPr>
        <w:rFonts w:ascii="Arial" w:hAnsi="Arial" w:hint="default"/>
      </w:rPr>
    </w:lvl>
    <w:lvl w:ilvl="1" w:tplc="E6783A8E">
      <w:numFmt w:val="bullet"/>
      <w:lvlText w:val="–"/>
      <w:lvlJc w:val="left"/>
      <w:pPr>
        <w:tabs>
          <w:tab w:val="num" w:pos="1440"/>
        </w:tabs>
        <w:ind w:left="1440" w:hanging="360"/>
      </w:pPr>
      <w:rPr>
        <w:rFonts w:ascii="Arial" w:hAnsi="Arial" w:hint="default"/>
      </w:rPr>
    </w:lvl>
    <w:lvl w:ilvl="2" w:tplc="DAEC2908" w:tentative="1">
      <w:start w:val="1"/>
      <w:numFmt w:val="bullet"/>
      <w:lvlText w:val="•"/>
      <w:lvlJc w:val="left"/>
      <w:pPr>
        <w:tabs>
          <w:tab w:val="num" w:pos="2160"/>
        </w:tabs>
        <w:ind w:left="2160" w:hanging="360"/>
      </w:pPr>
      <w:rPr>
        <w:rFonts w:ascii="Arial" w:hAnsi="Arial" w:hint="default"/>
      </w:rPr>
    </w:lvl>
    <w:lvl w:ilvl="3" w:tplc="77EE5B74" w:tentative="1">
      <w:start w:val="1"/>
      <w:numFmt w:val="bullet"/>
      <w:lvlText w:val="•"/>
      <w:lvlJc w:val="left"/>
      <w:pPr>
        <w:tabs>
          <w:tab w:val="num" w:pos="2880"/>
        </w:tabs>
        <w:ind w:left="2880" w:hanging="360"/>
      </w:pPr>
      <w:rPr>
        <w:rFonts w:ascii="Arial" w:hAnsi="Arial" w:hint="default"/>
      </w:rPr>
    </w:lvl>
    <w:lvl w:ilvl="4" w:tplc="CC6CDE4A" w:tentative="1">
      <w:start w:val="1"/>
      <w:numFmt w:val="bullet"/>
      <w:lvlText w:val="•"/>
      <w:lvlJc w:val="left"/>
      <w:pPr>
        <w:tabs>
          <w:tab w:val="num" w:pos="3600"/>
        </w:tabs>
        <w:ind w:left="3600" w:hanging="360"/>
      </w:pPr>
      <w:rPr>
        <w:rFonts w:ascii="Arial" w:hAnsi="Arial" w:hint="default"/>
      </w:rPr>
    </w:lvl>
    <w:lvl w:ilvl="5" w:tplc="53A68410" w:tentative="1">
      <w:start w:val="1"/>
      <w:numFmt w:val="bullet"/>
      <w:lvlText w:val="•"/>
      <w:lvlJc w:val="left"/>
      <w:pPr>
        <w:tabs>
          <w:tab w:val="num" w:pos="4320"/>
        </w:tabs>
        <w:ind w:left="4320" w:hanging="360"/>
      </w:pPr>
      <w:rPr>
        <w:rFonts w:ascii="Arial" w:hAnsi="Arial" w:hint="default"/>
      </w:rPr>
    </w:lvl>
    <w:lvl w:ilvl="6" w:tplc="CC06A088" w:tentative="1">
      <w:start w:val="1"/>
      <w:numFmt w:val="bullet"/>
      <w:lvlText w:val="•"/>
      <w:lvlJc w:val="left"/>
      <w:pPr>
        <w:tabs>
          <w:tab w:val="num" w:pos="5040"/>
        </w:tabs>
        <w:ind w:left="5040" w:hanging="360"/>
      </w:pPr>
      <w:rPr>
        <w:rFonts w:ascii="Arial" w:hAnsi="Arial" w:hint="default"/>
      </w:rPr>
    </w:lvl>
    <w:lvl w:ilvl="7" w:tplc="0AB8A90A" w:tentative="1">
      <w:start w:val="1"/>
      <w:numFmt w:val="bullet"/>
      <w:lvlText w:val="•"/>
      <w:lvlJc w:val="left"/>
      <w:pPr>
        <w:tabs>
          <w:tab w:val="num" w:pos="5760"/>
        </w:tabs>
        <w:ind w:left="5760" w:hanging="360"/>
      </w:pPr>
      <w:rPr>
        <w:rFonts w:ascii="Arial" w:hAnsi="Arial" w:hint="default"/>
      </w:rPr>
    </w:lvl>
    <w:lvl w:ilvl="8" w:tplc="6896D0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56033"/>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E980662"/>
    <w:multiLevelType w:val="hybridMultilevel"/>
    <w:tmpl w:val="E74CD0AE"/>
    <w:lvl w:ilvl="0" w:tplc="58F2D4E0">
      <w:start w:val="1"/>
      <w:numFmt w:val="decimal"/>
      <w:pStyle w:val="Recommendations"/>
      <w:lvlText w:val="Recommendation %1."/>
      <w:lvlJc w:val="left"/>
      <w:pPr>
        <w:ind w:left="16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0401F"/>
    <w:multiLevelType w:val="hybridMultilevel"/>
    <w:tmpl w:val="96FCE3E4"/>
    <w:lvl w:ilvl="0" w:tplc="4CB8A3E2">
      <w:start w:val="1"/>
      <w:numFmt w:val="bullet"/>
      <w:pStyle w:val="doubleindent"/>
      <w:lvlText w:val="o"/>
      <w:lvlJc w:val="left"/>
      <w:pPr>
        <w:ind w:left="1287" w:hanging="360"/>
      </w:pPr>
      <w:rPr>
        <w:rFonts w:ascii="Courier New" w:hAnsi="Courier New" w:cs="Courier New" w:hint="default"/>
      </w:rPr>
    </w:lvl>
    <w:lvl w:ilvl="1" w:tplc="F4948316">
      <w:start w:val="1"/>
      <w:numFmt w:val="bullet"/>
      <w:lvlText w:val="o"/>
      <w:lvlJc w:val="left"/>
      <w:pPr>
        <w:tabs>
          <w:tab w:val="num" w:pos="2367"/>
        </w:tabs>
        <w:ind w:left="2367" w:hanging="360"/>
      </w:pPr>
      <w:rPr>
        <w:rFonts w:ascii="Courier New" w:hAnsi="Courier New" w:hint="default"/>
      </w:rPr>
    </w:lvl>
    <w:lvl w:ilvl="2" w:tplc="683AE3B4">
      <w:start w:val="1"/>
      <w:numFmt w:val="bullet"/>
      <w:lvlText w:val=""/>
      <w:lvlJc w:val="left"/>
      <w:pPr>
        <w:tabs>
          <w:tab w:val="num" w:pos="3087"/>
        </w:tabs>
        <w:ind w:left="3087" w:hanging="360"/>
      </w:pPr>
      <w:rPr>
        <w:rFonts w:ascii="Wingdings" w:hAnsi="Wingdings" w:hint="default"/>
      </w:rPr>
    </w:lvl>
    <w:lvl w:ilvl="3" w:tplc="1F487746">
      <w:start w:val="1"/>
      <w:numFmt w:val="bullet"/>
      <w:lvlText w:val=""/>
      <w:lvlJc w:val="left"/>
      <w:pPr>
        <w:tabs>
          <w:tab w:val="num" w:pos="3807"/>
        </w:tabs>
        <w:ind w:left="3807" w:hanging="360"/>
      </w:pPr>
      <w:rPr>
        <w:rFonts w:ascii="Symbol" w:hAnsi="Symbol" w:hint="default"/>
      </w:rPr>
    </w:lvl>
    <w:lvl w:ilvl="4" w:tplc="5484B34A">
      <w:start w:val="1"/>
      <w:numFmt w:val="bullet"/>
      <w:lvlText w:val="o"/>
      <w:lvlJc w:val="left"/>
      <w:pPr>
        <w:tabs>
          <w:tab w:val="num" w:pos="4527"/>
        </w:tabs>
        <w:ind w:left="4527" w:hanging="360"/>
      </w:pPr>
      <w:rPr>
        <w:rFonts w:ascii="Courier New" w:hAnsi="Courier New" w:hint="default"/>
      </w:rPr>
    </w:lvl>
    <w:lvl w:ilvl="5" w:tplc="9FBA46DE">
      <w:start w:val="1"/>
      <w:numFmt w:val="bullet"/>
      <w:lvlText w:val=""/>
      <w:lvlJc w:val="left"/>
      <w:pPr>
        <w:tabs>
          <w:tab w:val="num" w:pos="5247"/>
        </w:tabs>
        <w:ind w:left="5247" w:hanging="360"/>
      </w:pPr>
      <w:rPr>
        <w:rFonts w:ascii="Wingdings" w:hAnsi="Wingdings" w:hint="default"/>
      </w:rPr>
    </w:lvl>
    <w:lvl w:ilvl="6" w:tplc="34445DFE">
      <w:start w:val="1"/>
      <w:numFmt w:val="bullet"/>
      <w:lvlText w:val=""/>
      <w:lvlJc w:val="left"/>
      <w:pPr>
        <w:tabs>
          <w:tab w:val="num" w:pos="5967"/>
        </w:tabs>
        <w:ind w:left="5967" w:hanging="360"/>
      </w:pPr>
      <w:rPr>
        <w:rFonts w:ascii="Symbol" w:hAnsi="Symbol" w:hint="default"/>
      </w:rPr>
    </w:lvl>
    <w:lvl w:ilvl="7" w:tplc="4F780194">
      <w:start w:val="1"/>
      <w:numFmt w:val="bullet"/>
      <w:lvlText w:val="o"/>
      <w:lvlJc w:val="left"/>
      <w:pPr>
        <w:tabs>
          <w:tab w:val="num" w:pos="6687"/>
        </w:tabs>
        <w:ind w:left="6687" w:hanging="360"/>
      </w:pPr>
      <w:rPr>
        <w:rFonts w:ascii="Courier New" w:hAnsi="Courier New" w:hint="default"/>
      </w:rPr>
    </w:lvl>
    <w:lvl w:ilvl="8" w:tplc="FC20EF8A">
      <w:start w:val="1"/>
      <w:numFmt w:val="bullet"/>
      <w:lvlText w:val=""/>
      <w:lvlJc w:val="left"/>
      <w:pPr>
        <w:tabs>
          <w:tab w:val="num" w:pos="7407"/>
        </w:tabs>
        <w:ind w:left="7407" w:hanging="360"/>
      </w:pPr>
      <w:rPr>
        <w:rFonts w:ascii="Wingdings" w:hAnsi="Wingdings" w:hint="default"/>
      </w:rPr>
    </w:lvl>
  </w:abstractNum>
  <w:abstractNum w:abstractNumId="17" w15:restartNumberingAfterBreak="0">
    <w:nsid w:val="407D407B"/>
    <w:multiLevelType w:val="multilevel"/>
    <w:tmpl w:val="997225E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A107BC"/>
    <w:multiLevelType w:val="multilevel"/>
    <w:tmpl w:val="A71671F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15:restartNumberingAfterBreak="0">
    <w:nsid w:val="4279562F"/>
    <w:multiLevelType w:val="hybridMultilevel"/>
    <w:tmpl w:val="B386A372"/>
    <w:lvl w:ilvl="0" w:tplc="D4240E3A">
      <w:start w:val="1"/>
      <w:numFmt w:val="bullet"/>
      <w:pStyle w:val="boxedsummary"/>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7AA0E79"/>
    <w:multiLevelType w:val="hybridMultilevel"/>
    <w:tmpl w:val="DDF218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90F04C0"/>
    <w:multiLevelType w:val="hybridMultilevel"/>
    <w:tmpl w:val="59F203A4"/>
    <w:lvl w:ilvl="0" w:tplc="135AE040">
      <w:start w:val="1"/>
      <w:numFmt w:val="bullet"/>
      <w:pStyle w:val="Tableindent"/>
      <w:lvlText w:val=""/>
      <w:lvlJc w:val="left"/>
      <w:pPr>
        <w:tabs>
          <w:tab w:val="num" w:pos="1211"/>
        </w:tabs>
        <w:ind w:left="1211" w:hanging="284"/>
      </w:pPr>
      <w:rPr>
        <w:rFonts w:ascii="Symbol" w:hAnsi="Symbol" w:hint="default"/>
      </w:rPr>
    </w:lvl>
    <w:lvl w:ilvl="1" w:tplc="F4948316">
      <w:start w:val="1"/>
      <w:numFmt w:val="bullet"/>
      <w:lvlText w:val="o"/>
      <w:lvlJc w:val="left"/>
      <w:pPr>
        <w:tabs>
          <w:tab w:val="num" w:pos="2367"/>
        </w:tabs>
        <w:ind w:left="2367" w:hanging="360"/>
      </w:pPr>
      <w:rPr>
        <w:rFonts w:ascii="Courier New" w:hAnsi="Courier New" w:hint="default"/>
      </w:rPr>
    </w:lvl>
    <w:lvl w:ilvl="2" w:tplc="683AE3B4">
      <w:start w:val="1"/>
      <w:numFmt w:val="bullet"/>
      <w:lvlText w:val=""/>
      <w:lvlJc w:val="left"/>
      <w:pPr>
        <w:tabs>
          <w:tab w:val="num" w:pos="3087"/>
        </w:tabs>
        <w:ind w:left="3087" w:hanging="360"/>
      </w:pPr>
      <w:rPr>
        <w:rFonts w:ascii="Wingdings" w:hAnsi="Wingdings" w:hint="default"/>
      </w:rPr>
    </w:lvl>
    <w:lvl w:ilvl="3" w:tplc="1F487746">
      <w:start w:val="1"/>
      <w:numFmt w:val="bullet"/>
      <w:lvlText w:val=""/>
      <w:lvlJc w:val="left"/>
      <w:pPr>
        <w:tabs>
          <w:tab w:val="num" w:pos="3807"/>
        </w:tabs>
        <w:ind w:left="3807" w:hanging="360"/>
      </w:pPr>
      <w:rPr>
        <w:rFonts w:ascii="Symbol" w:hAnsi="Symbol" w:hint="default"/>
      </w:rPr>
    </w:lvl>
    <w:lvl w:ilvl="4" w:tplc="5484B34A">
      <w:start w:val="1"/>
      <w:numFmt w:val="bullet"/>
      <w:lvlText w:val="o"/>
      <w:lvlJc w:val="left"/>
      <w:pPr>
        <w:tabs>
          <w:tab w:val="num" w:pos="4527"/>
        </w:tabs>
        <w:ind w:left="4527" w:hanging="360"/>
      </w:pPr>
      <w:rPr>
        <w:rFonts w:ascii="Courier New" w:hAnsi="Courier New" w:hint="default"/>
      </w:rPr>
    </w:lvl>
    <w:lvl w:ilvl="5" w:tplc="9FBA46DE">
      <w:start w:val="1"/>
      <w:numFmt w:val="bullet"/>
      <w:lvlText w:val=""/>
      <w:lvlJc w:val="left"/>
      <w:pPr>
        <w:tabs>
          <w:tab w:val="num" w:pos="5247"/>
        </w:tabs>
        <w:ind w:left="5247" w:hanging="360"/>
      </w:pPr>
      <w:rPr>
        <w:rFonts w:ascii="Wingdings" w:hAnsi="Wingdings" w:hint="default"/>
      </w:rPr>
    </w:lvl>
    <w:lvl w:ilvl="6" w:tplc="34445DFE">
      <w:start w:val="1"/>
      <w:numFmt w:val="bullet"/>
      <w:lvlText w:val=""/>
      <w:lvlJc w:val="left"/>
      <w:pPr>
        <w:tabs>
          <w:tab w:val="num" w:pos="5967"/>
        </w:tabs>
        <w:ind w:left="5967" w:hanging="360"/>
      </w:pPr>
      <w:rPr>
        <w:rFonts w:ascii="Symbol" w:hAnsi="Symbol" w:hint="default"/>
      </w:rPr>
    </w:lvl>
    <w:lvl w:ilvl="7" w:tplc="4F780194">
      <w:start w:val="1"/>
      <w:numFmt w:val="bullet"/>
      <w:lvlText w:val="o"/>
      <w:lvlJc w:val="left"/>
      <w:pPr>
        <w:tabs>
          <w:tab w:val="num" w:pos="6687"/>
        </w:tabs>
        <w:ind w:left="6687" w:hanging="360"/>
      </w:pPr>
      <w:rPr>
        <w:rFonts w:ascii="Courier New" w:hAnsi="Courier New" w:hint="default"/>
      </w:rPr>
    </w:lvl>
    <w:lvl w:ilvl="8" w:tplc="FC20EF8A">
      <w:start w:val="1"/>
      <w:numFmt w:val="bullet"/>
      <w:lvlText w:val=""/>
      <w:lvlJc w:val="left"/>
      <w:pPr>
        <w:tabs>
          <w:tab w:val="num" w:pos="7407"/>
        </w:tabs>
        <w:ind w:left="7407" w:hanging="360"/>
      </w:pPr>
      <w:rPr>
        <w:rFonts w:ascii="Wingdings" w:hAnsi="Wingdings" w:hint="default"/>
      </w:rPr>
    </w:lvl>
  </w:abstractNum>
  <w:abstractNum w:abstractNumId="22" w15:restartNumberingAfterBreak="0">
    <w:nsid w:val="4A735CBA"/>
    <w:multiLevelType w:val="hybridMultilevel"/>
    <w:tmpl w:val="1A6E6F34"/>
    <w:lvl w:ilvl="0" w:tplc="8ABE44D4">
      <w:start w:val="1"/>
      <w:numFmt w:val="bullet"/>
      <w:lvlText w:val="•"/>
      <w:lvlJc w:val="left"/>
      <w:pPr>
        <w:tabs>
          <w:tab w:val="num" w:pos="720"/>
        </w:tabs>
        <w:ind w:left="720" w:hanging="360"/>
      </w:pPr>
      <w:rPr>
        <w:rFonts w:ascii="Arial" w:hAnsi="Arial" w:hint="default"/>
      </w:rPr>
    </w:lvl>
    <w:lvl w:ilvl="1" w:tplc="DDE648BA" w:tentative="1">
      <w:start w:val="1"/>
      <w:numFmt w:val="bullet"/>
      <w:lvlText w:val="•"/>
      <w:lvlJc w:val="left"/>
      <w:pPr>
        <w:tabs>
          <w:tab w:val="num" w:pos="1440"/>
        </w:tabs>
        <w:ind w:left="1440" w:hanging="360"/>
      </w:pPr>
      <w:rPr>
        <w:rFonts w:ascii="Arial" w:hAnsi="Arial" w:hint="default"/>
      </w:rPr>
    </w:lvl>
    <w:lvl w:ilvl="2" w:tplc="6E205332" w:tentative="1">
      <w:start w:val="1"/>
      <w:numFmt w:val="bullet"/>
      <w:lvlText w:val="•"/>
      <w:lvlJc w:val="left"/>
      <w:pPr>
        <w:tabs>
          <w:tab w:val="num" w:pos="2160"/>
        </w:tabs>
        <w:ind w:left="2160" w:hanging="360"/>
      </w:pPr>
      <w:rPr>
        <w:rFonts w:ascii="Arial" w:hAnsi="Arial" w:hint="default"/>
      </w:rPr>
    </w:lvl>
    <w:lvl w:ilvl="3" w:tplc="0F9AFED0" w:tentative="1">
      <w:start w:val="1"/>
      <w:numFmt w:val="bullet"/>
      <w:lvlText w:val="•"/>
      <w:lvlJc w:val="left"/>
      <w:pPr>
        <w:tabs>
          <w:tab w:val="num" w:pos="2880"/>
        </w:tabs>
        <w:ind w:left="2880" w:hanging="360"/>
      </w:pPr>
      <w:rPr>
        <w:rFonts w:ascii="Arial" w:hAnsi="Arial" w:hint="default"/>
      </w:rPr>
    </w:lvl>
    <w:lvl w:ilvl="4" w:tplc="0304FA0E" w:tentative="1">
      <w:start w:val="1"/>
      <w:numFmt w:val="bullet"/>
      <w:lvlText w:val="•"/>
      <w:lvlJc w:val="left"/>
      <w:pPr>
        <w:tabs>
          <w:tab w:val="num" w:pos="3600"/>
        </w:tabs>
        <w:ind w:left="3600" w:hanging="360"/>
      </w:pPr>
      <w:rPr>
        <w:rFonts w:ascii="Arial" w:hAnsi="Arial" w:hint="default"/>
      </w:rPr>
    </w:lvl>
    <w:lvl w:ilvl="5" w:tplc="899CA314" w:tentative="1">
      <w:start w:val="1"/>
      <w:numFmt w:val="bullet"/>
      <w:lvlText w:val="•"/>
      <w:lvlJc w:val="left"/>
      <w:pPr>
        <w:tabs>
          <w:tab w:val="num" w:pos="4320"/>
        </w:tabs>
        <w:ind w:left="4320" w:hanging="360"/>
      </w:pPr>
      <w:rPr>
        <w:rFonts w:ascii="Arial" w:hAnsi="Arial" w:hint="default"/>
      </w:rPr>
    </w:lvl>
    <w:lvl w:ilvl="6" w:tplc="A7DAF50A" w:tentative="1">
      <w:start w:val="1"/>
      <w:numFmt w:val="bullet"/>
      <w:lvlText w:val="•"/>
      <w:lvlJc w:val="left"/>
      <w:pPr>
        <w:tabs>
          <w:tab w:val="num" w:pos="5040"/>
        </w:tabs>
        <w:ind w:left="5040" w:hanging="360"/>
      </w:pPr>
      <w:rPr>
        <w:rFonts w:ascii="Arial" w:hAnsi="Arial" w:hint="default"/>
      </w:rPr>
    </w:lvl>
    <w:lvl w:ilvl="7" w:tplc="22627AEC" w:tentative="1">
      <w:start w:val="1"/>
      <w:numFmt w:val="bullet"/>
      <w:lvlText w:val="•"/>
      <w:lvlJc w:val="left"/>
      <w:pPr>
        <w:tabs>
          <w:tab w:val="num" w:pos="5760"/>
        </w:tabs>
        <w:ind w:left="5760" w:hanging="360"/>
      </w:pPr>
      <w:rPr>
        <w:rFonts w:ascii="Arial" w:hAnsi="Arial" w:hint="default"/>
      </w:rPr>
    </w:lvl>
    <w:lvl w:ilvl="8" w:tplc="528644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682094"/>
    <w:multiLevelType w:val="hybridMultilevel"/>
    <w:tmpl w:val="E5605A7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F6A6BDF"/>
    <w:multiLevelType w:val="hybridMultilevel"/>
    <w:tmpl w:val="4D6CB646"/>
    <w:lvl w:ilvl="0" w:tplc="2C4810D4">
      <w:start w:val="1"/>
      <w:numFmt w:val="bullet"/>
      <w:lvlText w:val="•"/>
      <w:lvlJc w:val="left"/>
      <w:pPr>
        <w:tabs>
          <w:tab w:val="num" w:pos="720"/>
        </w:tabs>
        <w:ind w:left="720" w:hanging="360"/>
      </w:pPr>
      <w:rPr>
        <w:rFonts w:ascii="Arial" w:hAnsi="Arial" w:hint="default"/>
      </w:rPr>
    </w:lvl>
    <w:lvl w:ilvl="1" w:tplc="D3D2AB6A" w:tentative="1">
      <w:start w:val="1"/>
      <w:numFmt w:val="bullet"/>
      <w:lvlText w:val="•"/>
      <w:lvlJc w:val="left"/>
      <w:pPr>
        <w:tabs>
          <w:tab w:val="num" w:pos="1440"/>
        </w:tabs>
        <w:ind w:left="1440" w:hanging="360"/>
      </w:pPr>
      <w:rPr>
        <w:rFonts w:ascii="Arial" w:hAnsi="Arial" w:hint="default"/>
      </w:rPr>
    </w:lvl>
    <w:lvl w:ilvl="2" w:tplc="748239B4" w:tentative="1">
      <w:start w:val="1"/>
      <w:numFmt w:val="bullet"/>
      <w:lvlText w:val="•"/>
      <w:lvlJc w:val="left"/>
      <w:pPr>
        <w:tabs>
          <w:tab w:val="num" w:pos="2160"/>
        </w:tabs>
        <w:ind w:left="2160" w:hanging="360"/>
      </w:pPr>
      <w:rPr>
        <w:rFonts w:ascii="Arial" w:hAnsi="Arial" w:hint="default"/>
      </w:rPr>
    </w:lvl>
    <w:lvl w:ilvl="3" w:tplc="256CEE72" w:tentative="1">
      <w:start w:val="1"/>
      <w:numFmt w:val="bullet"/>
      <w:lvlText w:val="•"/>
      <w:lvlJc w:val="left"/>
      <w:pPr>
        <w:tabs>
          <w:tab w:val="num" w:pos="2880"/>
        </w:tabs>
        <w:ind w:left="2880" w:hanging="360"/>
      </w:pPr>
      <w:rPr>
        <w:rFonts w:ascii="Arial" w:hAnsi="Arial" w:hint="default"/>
      </w:rPr>
    </w:lvl>
    <w:lvl w:ilvl="4" w:tplc="43CEA644" w:tentative="1">
      <w:start w:val="1"/>
      <w:numFmt w:val="bullet"/>
      <w:lvlText w:val="•"/>
      <w:lvlJc w:val="left"/>
      <w:pPr>
        <w:tabs>
          <w:tab w:val="num" w:pos="3600"/>
        </w:tabs>
        <w:ind w:left="3600" w:hanging="360"/>
      </w:pPr>
      <w:rPr>
        <w:rFonts w:ascii="Arial" w:hAnsi="Arial" w:hint="default"/>
      </w:rPr>
    </w:lvl>
    <w:lvl w:ilvl="5" w:tplc="01B4BAAA" w:tentative="1">
      <w:start w:val="1"/>
      <w:numFmt w:val="bullet"/>
      <w:lvlText w:val="•"/>
      <w:lvlJc w:val="left"/>
      <w:pPr>
        <w:tabs>
          <w:tab w:val="num" w:pos="4320"/>
        </w:tabs>
        <w:ind w:left="4320" w:hanging="360"/>
      </w:pPr>
      <w:rPr>
        <w:rFonts w:ascii="Arial" w:hAnsi="Arial" w:hint="default"/>
      </w:rPr>
    </w:lvl>
    <w:lvl w:ilvl="6" w:tplc="A000D1D2" w:tentative="1">
      <w:start w:val="1"/>
      <w:numFmt w:val="bullet"/>
      <w:lvlText w:val="•"/>
      <w:lvlJc w:val="left"/>
      <w:pPr>
        <w:tabs>
          <w:tab w:val="num" w:pos="5040"/>
        </w:tabs>
        <w:ind w:left="5040" w:hanging="360"/>
      </w:pPr>
      <w:rPr>
        <w:rFonts w:ascii="Arial" w:hAnsi="Arial" w:hint="default"/>
      </w:rPr>
    </w:lvl>
    <w:lvl w:ilvl="7" w:tplc="E88E3054" w:tentative="1">
      <w:start w:val="1"/>
      <w:numFmt w:val="bullet"/>
      <w:lvlText w:val="•"/>
      <w:lvlJc w:val="left"/>
      <w:pPr>
        <w:tabs>
          <w:tab w:val="num" w:pos="5760"/>
        </w:tabs>
        <w:ind w:left="5760" w:hanging="360"/>
      </w:pPr>
      <w:rPr>
        <w:rFonts w:ascii="Arial" w:hAnsi="Arial" w:hint="default"/>
      </w:rPr>
    </w:lvl>
    <w:lvl w:ilvl="8" w:tplc="8DCA07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010605"/>
    <w:multiLevelType w:val="hybridMultilevel"/>
    <w:tmpl w:val="177654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244C02"/>
    <w:multiLevelType w:val="multilevel"/>
    <w:tmpl w:val="D42AFC0A"/>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7" w15:restartNumberingAfterBreak="0">
    <w:nsid w:val="5E577A96"/>
    <w:multiLevelType w:val="hybridMultilevel"/>
    <w:tmpl w:val="18CC92C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11F2AC5"/>
    <w:multiLevelType w:val="multilevel"/>
    <w:tmpl w:val="CBC600FA"/>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9" w15:restartNumberingAfterBreak="0">
    <w:nsid w:val="67FC7AEB"/>
    <w:multiLevelType w:val="multilevel"/>
    <w:tmpl w:val="E104D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51476B"/>
    <w:multiLevelType w:val="hybridMultilevel"/>
    <w:tmpl w:val="DB4EE034"/>
    <w:lvl w:ilvl="0" w:tplc="E42E71FE">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6F473F66"/>
    <w:multiLevelType w:val="hybridMultilevel"/>
    <w:tmpl w:val="F3E05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FB4A94"/>
    <w:multiLevelType w:val="multilevel"/>
    <w:tmpl w:val="652A6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AF398B"/>
    <w:multiLevelType w:val="hybridMultilevel"/>
    <w:tmpl w:val="905A5E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0031DE"/>
    <w:multiLevelType w:val="hybridMultilevel"/>
    <w:tmpl w:val="88DCC1A8"/>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5"/>
  </w:num>
  <w:num w:numId="3">
    <w:abstractNumId w:val="4"/>
  </w:num>
  <w:num w:numId="4">
    <w:abstractNumId w:val="21"/>
  </w:num>
  <w:num w:numId="5">
    <w:abstractNumId w:val="0"/>
  </w:num>
  <w:num w:numId="6">
    <w:abstractNumId w:val="0"/>
  </w:num>
  <w:num w:numId="7">
    <w:abstractNumId w:val="21"/>
  </w:num>
  <w:num w:numId="8">
    <w:abstractNumId w:val="32"/>
  </w:num>
  <w:num w:numId="9">
    <w:abstractNumId w:val="0"/>
  </w:num>
  <w:num w:numId="10">
    <w:abstractNumId w:val="5"/>
  </w:num>
  <w:num w:numId="11">
    <w:abstractNumId w:val="0"/>
  </w:num>
  <w:num w:numId="12">
    <w:abstractNumId w:val="1"/>
  </w:num>
  <w:num w:numId="13">
    <w:abstractNumId w:val="20"/>
  </w:num>
  <w:num w:numId="14">
    <w:abstractNumId w:val="34"/>
  </w:num>
  <w:num w:numId="15">
    <w:abstractNumId w:val="19"/>
  </w:num>
  <w:num w:numId="16">
    <w:abstractNumId w:val="27"/>
  </w:num>
  <w:num w:numId="17">
    <w:abstractNumId w:val="23"/>
  </w:num>
  <w:num w:numId="18">
    <w:abstractNumId w:val="10"/>
  </w:num>
  <w:num w:numId="19">
    <w:abstractNumId w:val="3"/>
  </w:num>
  <w:num w:numId="20">
    <w:abstractNumId w:val="7"/>
  </w:num>
  <w:num w:numId="21">
    <w:abstractNumId w:val="26"/>
  </w:num>
  <w:num w:numId="22">
    <w:abstractNumId w:val="0"/>
  </w:num>
  <w:num w:numId="23">
    <w:abstractNumId w:val="0"/>
  </w:num>
  <w:num w:numId="24">
    <w:abstractNumId w:val="30"/>
  </w:num>
  <w:num w:numId="25">
    <w:abstractNumId w:val="9"/>
  </w:num>
  <w:num w:numId="26">
    <w:abstractNumId w:val="15"/>
  </w:num>
  <w:num w:numId="27">
    <w:abstractNumId w:val="4"/>
    <w:lvlOverride w:ilvl="0">
      <w:startOverride w:val="1"/>
    </w:lvlOverride>
  </w:num>
  <w:num w:numId="28">
    <w:abstractNumId w:val="30"/>
  </w:num>
  <w:num w:numId="29">
    <w:abstractNumId w:val="2"/>
  </w:num>
  <w:num w:numId="30">
    <w:abstractNumId w:val="16"/>
  </w:num>
  <w:num w:numId="31">
    <w:abstractNumId w:val="12"/>
  </w:num>
  <w:num w:numId="32">
    <w:abstractNumId w:val="22"/>
  </w:num>
  <w:num w:numId="33">
    <w:abstractNumId w:val="24"/>
  </w:num>
  <w:num w:numId="34">
    <w:abstractNumId w:val="13"/>
  </w:num>
  <w:num w:numId="35">
    <w:abstractNumId w:val="18"/>
  </w:num>
  <w:num w:numId="36">
    <w:abstractNumId w:val="28"/>
  </w:num>
  <w:num w:numId="37">
    <w:abstractNumId w:val="31"/>
  </w:num>
  <w:num w:numId="38">
    <w:abstractNumId w:val="25"/>
  </w:num>
  <w:num w:numId="39">
    <w:abstractNumId w:val="29"/>
  </w:num>
  <w:num w:numId="40">
    <w:abstractNumId w:val="4"/>
    <w:lvlOverride w:ilvl="0">
      <w:startOverride w:val="1"/>
    </w:lvlOverride>
  </w:num>
  <w:num w:numId="41">
    <w:abstractNumId w:val="8"/>
  </w:num>
  <w:num w:numId="42">
    <w:abstractNumId w:val="6"/>
  </w:num>
  <w:num w:numId="43">
    <w:abstractNumId w:val="17"/>
  </w:num>
  <w:num w:numId="44">
    <w:abstractNumId w:val="21"/>
  </w:num>
  <w:num w:numId="45">
    <w:abstractNumId w:val="14"/>
  </w:num>
  <w:num w:numId="46">
    <w:abstractNumId w:val="11"/>
  </w:num>
  <w:num w:numId="47">
    <w:abstractNumId w:val="0"/>
  </w:num>
  <w:num w:numId="48">
    <w:abstractNumId w:val="0"/>
  </w:num>
  <w:num w:numId="49">
    <w:abstractNumId w:val="33"/>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83"/>
    <w:rsid w:val="00000DDF"/>
    <w:rsid w:val="00000F46"/>
    <w:rsid w:val="000014C8"/>
    <w:rsid w:val="00001986"/>
    <w:rsid w:val="00007F45"/>
    <w:rsid w:val="000103B5"/>
    <w:rsid w:val="000116E9"/>
    <w:rsid w:val="0001380D"/>
    <w:rsid w:val="0001420C"/>
    <w:rsid w:val="00015B4C"/>
    <w:rsid w:val="0001703A"/>
    <w:rsid w:val="000213A7"/>
    <w:rsid w:val="000276E5"/>
    <w:rsid w:val="0003012B"/>
    <w:rsid w:val="000302E9"/>
    <w:rsid w:val="00030A01"/>
    <w:rsid w:val="000330BD"/>
    <w:rsid w:val="000339EE"/>
    <w:rsid w:val="000346C3"/>
    <w:rsid w:val="00035519"/>
    <w:rsid w:val="00035D32"/>
    <w:rsid w:val="00037EAE"/>
    <w:rsid w:val="00037FE3"/>
    <w:rsid w:val="00040DBD"/>
    <w:rsid w:val="0004135C"/>
    <w:rsid w:val="00041A03"/>
    <w:rsid w:val="00042418"/>
    <w:rsid w:val="00043B67"/>
    <w:rsid w:val="00046807"/>
    <w:rsid w:val="00046CFB"/>
    <w:rsid w:val="00047317"/>
    <w:rsid w:val="00051882"/>
    <w:rsid w:val="000525EE"/>
    <w:rsid w:val="00052E62"/>
    <w:rsid w:val="000535DD"/>
    <w:rsid w:val="00053D49"/>
    <w:rsid w:val="00054C75"/>
    <w:rsid w:val="00055F5F"/>
    <w:rsid w:val="00056DB1"/>
    <w:rsid w:val="00057009"/>
    <w:rsid w:val="00057771"/>
    <w:rsid w:val="00061362"/>
    <w:rsid w:val="00061BDD"/>
    <w:rsid w:val="000642FA"/>
    <w:rsid w:val="000648CE"/>
    <w:rsid w:val="00065417"/>
    <w:rsid w:val="00065CEE"/>
    <w:rsid w:val="00070800"/>
    <w:rsid w:val="000708E2"/>
    <w:rsid w:val="00070F4A"/>
    <w:rsid w:val="0007102D"/>
    <w:rsid w:val="00073481"/>
    <w:rsid w:val="0007359E"/>
    <w:rsid w:val="00074106"/>
    <w:rsid w:val="000752C7"/>
    <w:rsid w:val="00075EA1"/>
    <w:rsid w:val="000760A5"/>
    <w:rsid w:val="00076A64"/>
    <w:rsid w:val="00077D03"/>
    <w:rsid w:val="00077F78"/>
    <w:rsid w:val="00082C9C"/>
    <w:rsid w:val="00083063"/>
    <w:rsid w:val="00083B72"/>
    <w:rsid w:val="00085927"/>
    <w:rsid w:val="00087E55"/>
    <w:rsid w:val="000921EF"/>
    <w:rsid w:val="0009685A"/>
    <w:rsid w:val="000974B5"/>
    <w:rsid w:val="000A1366"/>
    <w:rsid w:val="000A2726"/>
    <w:rsid w:val="000A466D"/>
    <w:rsid w:val="000A48DB"/>
    <w:rsid w:val="000A4C50"/>
    <w:rsid w:val="000A781D"/>
    <w:rsid w:val="000A79EF"/>
    <w:rsid w:val="000B1477"/>
    <w:rsid w:val="000B1548"/>
    <w:rsid w:val="000B251A"/>
    <w:rsid w:val="000B4B86"/>
    <w:rsid w:val="000B6ACB"/>
    <w:rsid w:val="000B734A"/>
    <w:rsid w:val="000B7FD9"/>
    <w:rsid w:val="000C0717"/>
    <w:rsid w:val="000C1BD4"/>
    <w:rsid w:val="000C399E"/>
    <w:rsid w:val="000C39EE"/>
    <w:rsid w:val="000C502F"/>
    <w:rsid w:val="000C6CAE"/>
    <w:rsid w:val="000C7E3F"/>
    <w:rsid w:val="000D0A31"/>
    <w:rsid w:val="000D177C"/>
    <w:rsid w:val="000D19E0"/>
    <w:rsid w:val="000D32B4"/>
    <w:rsid w:val="000D3582"/>
    <w:rsid w:val="000D7B8C"/>
    <w:rsid w:val="000E07D9"/>
    <w:rsid w:val="000E1D3B"/>
    <w:rsid w:val="000E2B9F"/>
    <w:rsid w:val="000E3DD7"/>
    <w:rsid w:val="000E5555"/>
    <w:rsid w:val="000E5BE7"/>
    <w:rsid w:val="000E7C19"/>
    <w:rsid w:val="000F074F"/>
    <w:rsid w:val="000F2B79"/>
    <w:rsid w:val="000F499D"/>
    <w:rsid w:val="000F68ED"/>
    <w:rsid w:val="000F6D23"/>
    <w:rsid w:val="001000CE"/>
    <w:rsid w:val="001008F4"/>
    <w:rsid w:val="001012EA"/>
    <w:rsid w:val="00101380"/>
    <w:rsid w:val="0010422E"/>
    <w:rsid w:val="00105D13"/>
    <w:rsid w:val="00105FB5"/>
    <w:rsid w:val="001061E2"/>
    <w:rsid w:val="00107F7E"/>
    <w:rsid w:val="001107C7"/>
    <w:rsid w:val="00110A88"/>
    <w:rsid w:val="00113414"/>
    <w:rsid w:val="00115206"/>
    <w:rsid w:val="00120940"/>
    <w:rsid w:val="0012306F"/>
    <w:rsid w:val="00123341"/>
    <w:rsid w:val="00123756"/>
    <w:rsid w:val="00131021"/>
    <w:rsid w:val="00132CF8"/>
    <w:rsid w:val="0013362D"/>
    <w:rsid w:val="00133972"/>
    <w:rsid w:val="00133B22"/>
    <w:rsid w:val="00133FD2"/>
    <w:rsid w:val="00135F03"/>
    <w:rsid w:val="00140FB8"/>
    <w:rsid w:val="00141059"/>
    <w:rsid w:val="00143466"/>
    <w:rsid w:val="001440A9"/>
    <w:rsid w:val="001445CB"/>
    <w:rsid w:val="00144B25"/>
    <w:rsid w:val="00150DFD"/>
    <w:rsid w:val="00152F1C"/>
    <w:rsid w:val="00152FD6"/>
    <w:rsid w:val="00153334"/>
    <w:rsid w:val="001546E3"/>
    <w:rsid w:val="00156FD2"/>
    <w:rsid w:val="00163FC0"/>
    <w:rsid w:val="00165059"/>
    <w:rsid w:val="00165704"/>
    <w:rsid w:val="0016728C"/>
    <w:rsid w:val="00171055"/>
    <w:rsid w:val="00172158"/>
    <w:rsid w:val="00172A1C"/>
    <w:rsid w:val="00172EF0"/>
    <w:rsid w:val="00175044"/>
    <w:rsid w:val="00177808"/>
    <w:rsid w:val="0018003E"/>
    <w:rsid w:val="00183125"/>
    <w:rsid w:val="0018414E"/>
    <w:rsid w:val="001868CC"/>
    <w:rsid w:val="00191FF8"/>
    <w:rsid w:val="00192231"/>
    <w:rsid w:val="00192AA3"/>
    <w:rsid w:val="00194EE8"/>
    <w:rsid w:val="001953CE"/>
    <w:rsid w:val="00196901"/>
    <w:rsid w:val="00197689"/>
    <w:rsid w:val="001A0C7C"/>
    <w:rsid w:val="001A6958"/>
    <w:rsid w:val="001A6B07"/>
    <w:rsid w:val="001A74DF"/>
    <w:rsid w:val="001B0BD3"/>
    <w:rsid w:val="001B6793"/>
    <w:rsid w:val="001C08A7"/>
    <w:rsid w:val="001C0FDA"/>
    <w:rsid w:val="001C216E"/>
    <w:rsid w:val="001C2DFE"/>
    <w:rsid w:val="001C36B9"/>
    <w:rsid w:val="001C42CF"/>
    <w:rsid w:val="001C44D7"/>
    <w:rsid w:val="001C52D9"/>
    <w:rsid w:val="001C6198"/>
    <w:rsid w:val="001C7275"/>
    <w:rsid w:val="001D0184"/>
    <w:rsid w:val="001D1969"/>
    <w:rsid w:val="001D3005"/>
    <w:rsid w:val="001D41A1"/>
    <w:rsid w:val="001D4F18"/>
    <w:rsid w:val="001D6FC3"/>
    <w:rsid w:val="001D77BD"/>
    <w:rsid w:val="001D7F41"/>
    <w:rsid w:val="001E3A35"/>
    <w:rsid w:val="001E4A00"/>
    <w:rsid w:val="001E507B"/>
    <w:rsid w:val="001E7611"/>
    <w:rsid w:val="001F1F2F"/>
    <w:rsid w:val="001F21D3"/>
    <w:rsid w:val="001F2CC3"/>
    <w:rsid w:val="001F585B"/>
    <w:rsid w:val="001F6E81"/>
    <w:rsid w:val="001F718E"/>
    <w:rsid w:val="00202EBB"/>
    <w:rsid w:val="00204913"/>
    <w:rsid w:val="00206265"/>
    <w:rsid w:val="002071C5"/>
    <w:rsid w:val="002105FE"/>
    <w:rsid w:val="00211D6B"/>
    <w:rsid w:val="00214D08"/>
    <w:rsid w:val="00214D4F"/>
    <w:rsid w:val="00216AA3"/>
    <w:rsid w:val="002172AA"/>
    <w:rsid w:val="00220859"/>
    <w:rsid w:val="002209AE"/>
    <w:rsid w:val="00220E32"/>
    <w:rsid w:val="002218DE"/>
    <w:rsid w:val="00224717"/>
    <w:rsid w:val="0022533F"/>
    <w:rsid w:val="0022637B"/>
    <w:rsid w:val="00227B57"/>
    <w:rsid w:val="00227BA7"/>
    <w:rsid w:val="00233296"/>
    <w:rsid w:val="0023485F"/>
    <w:rsid w:val="00234FD2"/>
    <w:rsid w:val="00236057"/>
    <w:rsid w:val="00236CF4"/>
    <w:rsid w:val="002405C5"/>
    <w:rsid w:val="00241D93"/>
    <w:rsid w:val="0024383B"/>
    <w:rsid w:val="00243986"/>
    <w:rsid w:val="00244D29"/>
    <w:rsid w:val="00245977"/>
    <w:rsid w:val="00247410"/>
    <w:rsid w:val="00247767"/>
    <w:rsid w:val="00250842"/>
    <w:rsid w:val="00251EFD"/>
    <w:rsid w:val="0025314C"/>
    <w:rsid w:val="00253C30"/>
    <w:rsid w:val="00255A1D"/>
    <w:rsid w:val="00257E8B"/>
    <w:rsid w:val="002601C6"/>
    <w:rsid w:val="002625DA"/>
    <w:rsid w:val="0026611B"/>
    <w:rsid w:val="00267AEE"/>
    <w:rsid w:val="00271047"/>
    <w:rsid w:val="0027202C"/>
    <w:rsid w:val="0027250C"/>
    <w:rsid w:val="00272CF4"/>
    <w:rsid w:val="00275DCA"/>
    <w:rsid w:val="00277997"/>
    <w:rsid w:val="002829AF"/>
    <w:rsid w:val="00282F14"/>
    <w:rsid w:val="0028559F"/>
    <w:rsid w:val="00286A99"/>
    <w:rsid w:val="00287297"/>
    <w:rsid w:val="00290D27"/>
    <w:rsid w:val="00290EEE"/>
    <w:rsid w:val="002917F2"/>
    <w:rsid w:val="00291B18"/>
    <w:rsid w:val="002920F2"/>
    <w:rsid w:val="002932BE"/>
    <w:rsid w:val="002948D0"/>
    <w:rsid w:val="00294921"/>
    <w:rsid w:val="002A0A97"/>
    <w:rsid w:val="002A693D"/>
    <w:rsid w:val="002B097E"/>
    <w:rsid w:val="002B1BF9"/>
    <w:rsid w:val="002B2E02"/>
    <w:rsid w:val="002B3C9D"/>
    <w:rsid w:val="002B4C59"/>
    <w:rsid w:val="002B4E7E"/>
    <w:rsid w:val="002B5576"/>
    <w:rsid w:val="002B56A1"/>
    <w:rsid w:val="002B5D88"/>
    <w:rsid w:val="002B6E3A"/>
    <w:rsid w:val="002B77AF"/>
    <w:rsid w:val="002C12E8"/>
    <w:rsid w:val="002C38BA"/>
    <w:rsid w:val="002C4235"/>
    <w:rsid w:val="002C4564"/>
    <w:rsid w:val="002C5E15"/>
    <w:rsid w:val="002C6ABB"/>
    <w:rsid w:val="002C7177"/>
    <w:rsid w:val="002D0EEC"/>
    <w:rsid w:val="002D37E8"/>
    <w:rsid w:val="002D6056"/>
    <w:rsid w:val="002D68DF"/>
    <w:rsid w:val="002D7622"/>
    <w:rsid w:val="002E089F"/>
    <w:rsid w:val="002E5122"/>
    <w:rsid w:val="002E6420"/>
    <w:rsid w:val="002F2A7A"/>
    <w:rsid w:val="002F2C06"/>
    <w:rsid w:val="002F2D3D"/>
    <w:rsid w:val="002F2D61"/>
    <w:rsid w:val="002F3258"/>
    <w:rsid w:val="002F3F03"/>
    <w:rsid w:val="00300AAD"/>
    <w:rsid w:val="00303145"/>
    <w:rsid w:val="00304C2B"/>
    <w:rsid w:val="00305248"/>
    <w:rsid w:val="003071CF"/>
    <w:rsid w:val="0030757D"/>
    <w:rsid w:val="00311306"/>
    <w:rsid w:val="003118DF"/>
    <w:rsid w:val="0031420B"/>
    <w:rsid w:val="00314DDE"/>
    <w:rsid w:val="0031669C"/>
    <w:rsid w:val="003200D7"/>
    <w:rsid w:val="00320232"/>
    <w:rsid w:val="00320CD7"/>
    <w:rsid w:val="003212DB"/>
    <w:rsid w:val="00321DE3"/>
    <w:rsid w:val="00324E95"/>
    <w:rsid w:val="003276DA"/>
    <w:rsid w:val="00327A8C"/>
    <w:rsid w:val="00327D7C"/>
    <w:rsid w:val="00330D20"/>
    <w:rsid w:val="003317DA"/>
    <w:rsid w:val="003333F9"/>
    <w:rsid w:val="00333898"/>
    <w:rsid w:val="0033658A"/>
    <w:rsid w:val="00337181"/>
    <w:rsid w:val="003407AB"/>
    <w:rsid w:val="0034174A"/>
    <w:rsid w:val="00344FF3"/>
    <w:rsid w:val="00347A20"/>
    <w:rsid w:val="00347E71"/>
    <w:rsid w:val="003500FC"/>
    <w:rsid w:val="003500FD"/>
    <w:rsid w:val="0035331B"/>
    <w:rsid w:val="00356E76"/>
    <w:rsid w:val="003574CA"/>
    <w:rsid w:val="00361E08"/>
    <w:rsid w:val="00362C2D"/>
    <w:rsid w:val="00362FC6"/>
    <w:rsid w:val="003638C0"/>
    <w:rsid w:val="0036400E"/>
    <w:rsid w:val="00366387"/>
    <w:rsid w:val="00366549"/>
    <w:rsid w:val="00366998"/>
    <w:rsid w:val="00366B81"/>
    <w:rsid w:val="00367683"/>
    <w:rsid w:val="00367AAF"/>
    <w:rsid w:val="00367DF7"/>
    <w:rsid w:val="0037021C"/>
    <w:rsid w:val="003756D6"/>
    <w:rsid w:val="0037684B"/>
    <w:rsid w:val="00376B73"/>
    <w:rsid w:val="00376CE2"/>
    <w:rsid w:val="00377A1C"/>
    <w:rsid w:val="00383DBA"/>
    <w:rsid w:val="0038475E"/>
    <w:rsid w:val="0038652B"/>
    <w:rsid w:val="00386793"/>
    <w:rsid w:val="003875A9"/>
    <w:rsid w:val="00387F3D"/>
    <w:rsid w:val="0039061E"/>
    <w:rsid w:val="00391A6E"/>
    <w:rsid w:val="003921FF"/>
    <w:rsid w:val="0039260E"/>
    <w:rsid w:val="00393CBA"/>
    <w:rsid w:val="00393D5F"/>
    <w:rsid w:val="00394A13"/>
    <w:rsid w:val="00395448"/>
    <w:rsid w:val="00396B0C"/>
    <w:rsid w:val="00397B79"/>
    <w:rsid w:val="003A139C"/>
    <w:rsid w:val="003A2394"/>
    <w:rsid w:val="003A3F67"/>
    <w:rsid w:val="003A4E26"/>
    <w:rsid w:val="003A6C4C"/>
    <w:rsid w:val="003B5740"/>
    <w:rsid w:val="003B5C9C"/>
    <w:rsid w:val="003B7670"/>
    <w:rsid w:val="003B7FF8"/>
    <w:rsid w:val="003C4E96"/>
    <w:rsid w:val="003C4FCB"/>
    <w:rsid w:val="003C7231"/>
    <w:rsid w:val="003D0DEA"/>
    <w:rsid w:val="003D0F66"/>
    <w:rsid w:val="003D11B7"/>
    <w:rsid w:val="003D1C4D"/>
    <w:rsid w:val="003D2331"/>
    <w:rsid w:val="003D34A0"/>
    <w:rsid w:val="003D42AD"/>
    <w:rsid w:val="003D6ADB"/>
    <w:rsid w:val="003D6CFA"/>
    <w:rsid w:val="003E0007"/>
    <w:rsid w:val="003E12B4"/>
    <w:rsid w:val="003E216A"/>
    <w:rsid w:val="003E577E"/>
    <w:rsid w:val="003E5F04"/>
    <w:rsid w:val="003E78A4"/>
    <w:rsid w:val="003E79CF"/>
    <w:rsid w:val="003F0307"/>
    <w:rsid w:val="003F17E9"/>
    <w:rsid w:val="003F20AF"/>
    <w:rsid w:val="003F2890"/>
    <w:rsid w:val="003F2BEA"/>
    <w:rsid w:val="003F3B8B"/>
    <w:rsid w:val="003F5E8B"/>
    <w:rsid w:val="003F667C"/>
    <w:rsid w:val="004003B6"/>
    <w:rsid w:val="00400CB4"/>
    <w:rsid w:val="004019D6"/>
    <w:rsid w:val="0040306D"/>
    <w:rsid w:val="00404DDC"/>
    <w:rsid w:val="00404F30"/>
    <w:rsid w:val="004050B8"/>
    <w:rsid w:val="00405462"/>
    <w:rsid w:val="00405AB8"/>
    <w:rsid w:val="004063A2"/>
    <w:rsid w:val="004067F4"/>
    <w:rsid w:val="00410457"/>
    <w:rsid w:val="00413869"/>
    <w:rsid w:val="00413DD3"/>
    <w:rsid w:val="004144D4"/>
    <w:rsid w:val="00420BF9"/>
    <w:rsid w:val="00423CC8"/>
    <w:rsid w:val="0042576C"/>
    <w:rsid w:val="0042789A"/>
    <w:rsid w:val="00427A2C"/>
    <w:rsid w:val="00427EEC"/>
    <w:rsid w:val="0043046F"/>
    <w:rsid w:val="004318FA"/>
    <w:rsid w:val="00432740"/>
    <w:rsid w:val="00432C87"/>
    <w:rsid w:val="00437E5A"/>
    <w:rsid w:val="00442475"/>
    <w:rsid w:val="00442DD6"/>
    <w:rsid w:val="00444433"/>
    <w:rsid w:val="00447BBA"/>
    <w:rsid w:val="00450E14"/>
    <w:rsid w:val="00451143"/>
    <w:rsid w:val="00452E2D"/>
    <w:rsid w:val="0045726C"/>
    <w:rsid w:val="0046004F"/>
    <w:rsid w:val="00461678"/>
    <w:rsid w:val="00461DC1"/>
    <w:rsid w:val="004621B2"/>
    <w:rsid w:val="00466F3C"/>
    <w:rsid w:val="00473E2F"/>
    <w:rsid w:val="00475957"/>
    <w:rsid w:val="00476D61"/>
    <w:rsid w:val="004771B1"/>
    <w:rsid w:val="00477368"/>
    <w:rsid w:val="004807F7"/>
    <w:rsid w:val="00481B34"/>
    <w:rsid w:val="00483A00"/>
    <w:rsid w:val="00483D9A"/>
    <w:rsid w:val="0048721D"/>
    <w:rsid w:val="0048744E"/>
    <w:rsid w:val="00487D5B"/>
    <w:rsid w:val="00490224"/>
    <w:rsid w:val="0049282D"/>
    <w:rsid w:val="00495DCD"/>
    <w:rsid w:val="00495FBC"/>
    <w:rsid w:val="004A2BF5"/>
    <w:rsid w:val="004A2D94"/>
    <w:rsid w:val="004A444E"/>
    <w:rsid w:val="004A56D6"/>
    <w:rsid w:val="004A7B57"/>
    <w:rsid w:val="004B0C87"/>
    <w:rsid w:val="004B27FC"/>
    <w:rsid w:val="004B303B"/>
    <w:rsid w:val="004B5227"/>
    <w:rsid w:val="004B5535"/>
    <w:rsid w:val="004B570B"/>
    <w:rsid w:val="004B72D3"/>
    <w:rsid w:val="004C0222"/>
    <w:rsid w:val="004C0918"/>
    <w:rsid w:val="004C29FC"/>
    <w:rsid w:val="004C472F"/>
    <w:rsid w:val="004C6999"/>
    <w:rsid w:val="004D09F8"/>
    <w:rsid w:val="004D4194"/>
    <w:rsid w:val="004D77A4"/>
    <w:rsid w:val="004D7D8A"/>
    <w:rsid w:val="004E095E"/>
    <w:rsid w:val="004E4451"/>
    <w:rsid w:val="004E46E6"/>
    <w:rsid w:val="004E47BE"/>
    <w:rsid w:val="004F11C2"/>
    <w:rsid w:val="004F2788"/>
    <w:rsid w:val="004F290B"/>
    <w:rsid w:val="004F3B52"/>
    <w:rsid w:val="004F683F"/>
    <w:rsid w:val="004F7117"/>
    <w:rsid w:val="00501B34"/>
    <w:rsid w:val="00503BB6"/>
    <w:rsid w:val="00506BE7"/>
    <w:rsid w:val="00507B19"/>
    <w:rsid w:val="005110AA"/>
    <w:rsid w:val="0051179A"/>
    <w:rsid w:val="005147BE"/>
    <w:rsid w:val="00517DA8"/>
    <w:rsid w:val="00520801"/>
    <w:rsid w:val="00520BC1"/>
    <w:rsid w:val="005220DF"/>
    <w:rsid w:val="00522D81"/>
    <w:rsid w:val="00524289"/>
    <w:rsid w:val="0052446F"/>
    <w:rsid w:val="0052510E"/>
    <w:rsid w:val="00526E63"/>
    <w:rsid w:val="00532652"/>
    <w:rsid w:val="00532AED"/>
    <w:rsid w:val="00533045"/>
    <w:rsid w:val="00534704"/>
    <w:rsid w:val="005348F2"/>
    <w:rsid w:val="005349A7"/>
    <w:rsid w:val="005353B5"/>
    <w:rsid w:val="00540879"/>
    <w:rsid w:val="00543F42"/>
    <w:rsid w:val="005445D9"/>
    <w:rsid w:val="00550D47"/>
    <w:rsid w:val="00553942"/>
    <w:rsid w:val="005539B8"/>
    <w:rsid w:val="00554CAF"/>
    <w:rsid w:val="00555BAC"/>
    <w:rsid w:val="005563FA"/>
    <w:rsid w:val="00556597"/>
    <w:rsid w:val="00562077"/>
    <w:rsid w:val="00563F63"/>
    <w:rsid w:val="00564448"/>
    <w:rsid w:val="00570516"/>
    <w:rsid w:val="00570CAF"/>
    <w:rsid w:val="005726EB"/>
    <w:rsid w:val="00572F10"/>
    <w:rsid w:val="00574799"/>
    <w:rsid w:val="00575C34"/>
    <w:rsid w:val="00575DB9"/>
    <w:rsid w:val="0057737C"/>
    <w:rsid w:val="005813CC"/>
    <w:rsid w:val="0058699D"/>
    <w:rsid w:val="0059123C"/>
    <w:rsid w:val="0059272F"/>
    <w:rsid w:val="00594851"/>
    <w:rsid w:val="00595AB0"/>
    <w:rsid w:val="00596260"/>
    <w:rsid w:val="005966D4"/>
    <w:rsid w:val="00597081"/>
    <w:rsid w:val="0059798B"/>
    <w:rsid w:val="005A2A2B"/>
    <w:rsid w:val="005A3043"/>
    <w:rsid w:val="005A4E1C"/>
    <w:rsid w:val="005A4EDE"/>
    <w:rsid w:val="005A5BEC"/>
    <w:rsid w:val="005A65F4"/>
    <w:rsid w:val="005A7B4C"/>
    <w:rsid w:val="005B1AB3"/>
    <w:rsid w:val="005B1F4A"/>
    <w:rsid w:val="005B31E0"/>
    <w:rsid w:val="005B4CF9"/>
    <w:rsid w:val="005B57E9"/>
    <w:rsid w:val="005B5EF6"/>
    <w:rsid w:val="005B6B90"/>
    <w:rsid w:val="005B7A08"/>
    <w:rsid w:val="005B7D8F"/>
    <w:rsid w:val="005C074D"/>
    <w:rsid w:val="005C0E45"/>
    <w:rsid w:val="005C1357"/>
    <w:rsid w:val="005C2606"/>
    <w:rsid w:val="005C35F8"/>
    <w:rsid w:val="005C434F"/>
    <w:rsid w:val="005C54DF"/>
    <w:rsid w:val="005C58CA"/>
    <w:rsid w:val="005C5A4F"/>
    <w:rsid w:val="005C627F"/>
    <w:rsid w:val="005C66B1"/>
    <w:rsid w:val="005D0EC9"/>
    <w:rsid w:val="005D12A6"/>
    <w:rsid w:val="005D5A7E"/>
    <w:rsid w:val="005E054C"/>
    <w:rsid w:val="005E0BD5"/>
    <w:rsid w:val="005E752C"/>
    <w:rsid w:val="005F0736"/>
    <w:rsid w:val="005F3374"/>
    <w:rsid w:val="005F438B"/>
    <w:rsid w:val="005F45F8"/>
    <w:rsid w:val="005F54B5"/>
    <w:rsid w:val="005F668D"/>
    <w:rsid w:val="005F6A7C"/>
    <w:rsid w:val="00600E8E"/>
    <w:rsid w:val="006044A9"/>
    <w:rsid w:val="00606935"/>
    <w:rsid w:val="00606AF4"/>
    <w:rsid w:val="00607518"/>
    <w:rsid w:val="0061101F"/>
    <w:rsid w:val="006112C6"/>
    <w:rsid w:val="00611617"/>
    <w:rsid w:val="006122F0"/>
    <w:rsid w:val="00613CFE"/>
    <w:rsid w:val="0061651F"/>
    <w:rsid w:val="006211A9"/>
    <w:rsid w:val="00622081"/>
    <w:rsid w:val="00623753"/>
    <w:rsid w:val="006243EB"/>
    <w:rsid w:val="0062792E"/>
    <w:rsid w:val="00627DAD"/>
    <w:rsid w:val="00630AFD"/>
    <w:rsid w:val="00631069"/>
    <w:rsid w:val="00633616"/>
    <w:rsid w:val="006339A8"/>
    <w:rsid w:val="00635DA2"/>
    <w:rsid w:val="00636003"/>
    <w:rsid w:val="00636D6A"/>
    <w:rsid w:val="00636E78"/>
    <w:rsid w:val="00640A87"/>
    <w:rsid w:val="00643BB9"/>
    <w:rsid w:val="00644BF1"/>
    <w:rsid w:val="00644F9F"/>
    <w:rsid w:val="00646A5E"/>
    <w:rsid w:val="00651013"/>
    <w:rsid w:val="00651368"/>
    <w:rsid w:val="00651D87"/>
    <w:rsid w:val="00652BEA"/>
    <w:rsid w:val="00655818"/>
    <w:rsid w:val="00663C6A"/>
    <w:rsid w:val="00665BED"/>
    <w:rsid w:val="00666104"/>
    <w:rsid w:val="006664A9"/>
    <w:rsid w:val="00670646"/>
    <w:rsid w:val="0067169E"/>
    <w:rsid w:val="0067338D"/>
    <w:rsid w:val="00673546"/>
    <w:rsid w:val="00681183"/>
    <w:rsid w:val="00682FA4"/>
    <w:rsid w:val="00683B3E"/>
    <w:rsid w:val="00683EAF"/>
    <w:rsid w:val="006844C6"/>
    <w:rsid w:val="0068475C"/>
    <w:rsid w:val="00685076"/>
    <w:rsid w:val="00686314"/>
    <w:rsid w:val="00686B85"/>
    <w:rsid w:val="0068785A"/>
    <w:rsid w:val="00687FB1"/>
    <w:rsid w:val="006909D4"/>
    <w:rsid w:val="00690D66"/>
    <w:rsid w:val="00690DAA"/>
    <w:rsid w:val="00692CC4"/>
    <w:rsid w:val="00692CD4"/>
    <w:rsid w:val="00692DAD"/>
    <w:rsid w:val="006933FB"/>
    <w:rsid w:val="00694532"/>
    <w:rsid w:val="006948DD"/>
    <w:rsid w:val="00694D20"/>
    <w:rsid w:val="00694E52"/>
    <w:rsid w:val="00697302"/>
    <w:rsid w:val="006A16D4"/>
    <w:rsid w:val="006A6CD9"/>
    <w:rsid w:val="006B0C98"/>
    <w:rsid w:val="006B1341"/>
    <w:rsid w:val="006B1A6A"/>
    <w:rsid w:val="006B1FEF"/>
    <w:rsid w:val="006B3ABC"/>
    <w:rsid w:val="006C18E2"/>
    <w:rsid w:val="006C1A83"/>
    <w:rsid w:val="006C2A5B"/>
    <w:rsid w:val="006C2C21"/>
    <w:rsid w:val="006C3DFF"/>
    <w:rsid w:val="006C4596"/>
    <w:rsid w:val="006D069B"/>
    <w:rsid w:val="006D134F"/>
    <w:rsid w:val="006D20EC"/>
    <w:rsid w:val="006D2834"/>
    <w:rsid w:val="006D2E7C"/>
    <w:rsid w:val="006D38AC"/>
    <w:rsid w:val="006D3D10"/>
    <w:rsid w:val="006D4C58"/>
    <w:rsid w:val="006D5EEC"/>
    <w:rsid w:val="006D6B6D"/>
    <w:rsid w:val="006D7F90"/>
    <w:rsid w:val="006E12E7"/>
    <w:rsid w:val="006E1EB4"/>
    <w:rsid w:val="006E3188"/>
    <w:rsid w:val="006E3644"/>
    <w:rsid w:val="006E3AD6"/>
    <w:rsid w:val="006E405C"/>
    <w:rsid w:val="006E479D"/>
    <w:rsid w:val="006E6F8B"/>
    <w:rsid w:val="006F1ED2"/>
    <w:rsid w:val="006F37A3"/>
    <w:rsid w:val="006F4CFD"/>
    <w:rsid w:val="006F6F6E"/>
    <w:rsid w:val="006F741B"/>
    <w:rsid w:val="00703D21"/>
    <w:rsid w:val="007045BE"/>
    <w:rsid w:val="00705F98"/>
    <w:rsid w:val="007108FA"/>
    <w:rsid w:val="00710AC2"/>
    <w:rsid w:val="007132D3"/>
    <w:rsid w:val="0071450E"/>
    <w:rsid w:val="0071476F"/>
    <w:rsid w:val="00714ECC"/>
    <w:rsid w:val="0071506B"/>
    <w:rsid w:val="007166B2"/>
    <w:rsid w:val="00717180"/>
    <w:rsid w:val="00717393"/>
    <w:rsid w:val="0071759A"/>
    <w:rsid w:val="00722F4D"/>
    <w:rsid w:val="00723CDF"/>
    <w:rsid w:val="0072478D"/>
    <w:rsid w:val="007247EF"/>
    <w:rsid w:val="00724A44"/>
    <w:rsid w:val="007253F3"/>
    <w:rsid w:val="00725E5D"/>
    <w:rsid w:val="007262DC"/>
    <w:rsid w:val="00726470"/>
    <w:rsid w:val="00730775"/>
    <w:rsid w:val="007313BD"/>
    <w:rsid w:val="00734483"/>
    <w:rsid w:val="00735384"/>
    <w:rsid w:val="00735C2C"/>
    <w:rsid w:val="00737BFE"/>
    <w:rsid w:val="0074015A"/>
    <w:rsid w:val="00740984"/>
    <w:rsid w:val="00740C8B"/>
    <w:rsid w:val="00741D79"/>
    <w:rsid w:val="00742196"/>
    <w:rsid w:val="00742D8A"/>
    <w:rsid w:val="007436B6"/>
    <w:rsid w:val="007446A4"/>
    <w:rsid w:val="00744A08"/>
    <w:rsid w:val="00745278"/>
    <w:rsid w:val="00745722"/>
    <w:rsid w:val="00746639"/>
    <w:rsid w:val="00746D1A"/>
    <w:rsid w:val="0074760A"/>
    <w:rsid w:val="00752C00"/>
    <w:rsid w:val="00752E18"/>
    <w:rsid w:val="00753E39"/>
    <w:rsid w:val="00756FB2"/>
    <w:rsid w:val="0075740B"/>
    <w:rsid w:val="00760762"/>
    <w:rsid w:val="00760F62"/>
    <w:rsid w:val="00761D70"/>
    <w:rsid w:val="00762921"/>
    <w:rsid w:val="0076501C"/>
    <w:rsid w:val="007657A3"/>
    <w:rsid w:val="00766B87"/>
    <w:rsid w:val="00766E34"/>
    <w:rsid w:val="00770939"/>
    <w:rsid w:val="00770BFE"/>
    <w:rsid w:val="00771BFA"/>
    <w:rsid w:val="00774F44"/>
    <w:rsid w:val="00775380"/>
    <w:rsid w:val="0077582D"/>
    <w:rsid w:val="007771BA"/>
    <w:rsid w:val="00777DC8"/>
    <w:rsid w:val="00782777"/>
    <w:rsid w:val="00782DE9"/>
    <w:rsid w:val="0078580A"/>
    <w:rsid w:val="0078600A"/>
    <w:rsid w:val="0078751A"/>
    <w:rsid w:val="0078773F"/>
    <w:rsid w:val="00787CD6"/>
    <w:rsid w:val="00791C48"/>
    <w:rsid w:val="00797A0B"/>
    <w:rsid w:val="007A0079"/>
    <w:rsid w:val="007A073E"/>
    <w:rsid w:val="007A0D48"/>
    <w:rsid w:val="007A347B"/>
    <w:rsid w:val="007A358D"/>
    <w:rsid w:val="007A53BE"/>
    <w:rsid w:val="007A633D"/>
    <w:rsid w:val="007A764F"/>
    <w:rsid w:val="007B3038"/>
    <w:rsid w:val="007C1F69"/>
    <w:rsid w:val="007C5A66"/>
    <w:rsid w:val="007C5F7D"/>
    <w:rsid w:val="007C6A80"/>
    <w:rsid w:val="007C7087"/>
    <w:rsid w:val="007D0CBD"/>
    <w:rsid w:val="007D0D23"/>
    <w:rsid w:val="007D1309"/>
    <w:rsid w:val="007D2950"/>
    <w:rsid w:val="007D2F6D"/>
    <w:rsid w:val="007D3277"/>
    <w:rsid w:val="007D36E9"/>
    <w:rsid w:val="007D38E9"/>
    <w:rsid w:val="007D6014"/>
    <w:rsid w:val="007D7388"/>
    <w:rsid w:val="007D7957"/>
    <w:rsid w:val="007E215F"/>
    <w:rsid w:val="007E217A"/>
    <w:rsid w:val="007E2DE9"/>
    <w:rsid w:val="007E501E"/>
    <w:rsid w:val="007E5577"/>
    <w:rsid w:val="007E6749"/>
    <w:rsid w:val="007E6FAF"/>
    <w:rsid w:val="007F0452"/>
    <w:rsid w:val="007F0D13"/>
    <w:rsid w:val="007F11A5"/>
    <w:rsid w:val="007F40FD"/>
    <w:rsid w:val="007F746E"/>
    <w:rsid w:val="007F7EFD"/>
    <w:rsid w:val="00801C73"/>
    <w:rsid w:val="008039FF"/>
    <w:rsid w:val="00804015"/>
    <w:rsid w:val="0080757B"/>
    <w:rsid w:val="008078D5"/>
    <w:rsid w:val="00810CE0"/>
    <w:rsid w:val="008145BA"/>
    <w:rsid w:val="008150C2"/>
    <w:rsid w:val="008152CE"/>
    <w:rsid w:val="00815352"/>
    <w:rsid w:val="0082001D"/>
    <w:rsid w:val="0082045B"/>
    <w:rsid w:val="00820C90"/>
    <w:rsid w:val="0082298E"/>
    <w:rsid w:val="00822E5D"/>
    <w:rsid w:val="00823076"/>
    <w:rsid w:val="00825E7A"/>
    <w:rsid w:val="00825E91"/>
    <w:rsid w:val="00827F05"/>
    <w:rsid w:val="00831BB3"/>
    <w:rsid w:val="00831EE2"/>
    <w:rsid w:val="008342DF"/>
    <w:rsid w:val="00834D11"/>
    <w:rsid w:val="00835A5C"/>
    <w:rsid w:val="00835FFA"/>
    <w:rsid w:val="00836CA4"/>
    <w:rsid w:val="00840F32"/>
    <w:rsid w:val="00842B9C"/>
    <w:rsid w:val="00844702"/>
    <w:rsid w:val="0084554B"/>
    <w:rsid w:val="0084682D"/>
    <w:rsid w:val="008468DC"/>
    <w:rsid w:val="00847211"/>
    <w:rsid w:val="0084745A"/>
    <w:rsid w:val="00847BF3"/>
    <w:rsid w:val="00851068"/>
    <w:rsid w:val="008515D3"/>
    <w:rsid w:val="00852891"/>
    <w:rsid w:val="00853768"/>
    <w:rsid w:val="00854603"/>
    <w:rsid w:val="00854BE8"/>
    <w:rsid w:val="00854EA3"/>
    <w:rsid w:val="00856535"/>
    <w:rsid w:val="00861AD8"/>
    <w:rsid w:val="00861E5F"/>
    <w:rsid w:val="0086403C"/>
    <w:rsid w:val="00866E2A"/>
    <w:rsid w:val="008674CF"/>
    <w:rsid w:val="0086750D"/>
    <w:rsid w:val="00875418"/>
    <w:rsid w:val="00875551"/>
    <w:rsid w:val="008775C3"/>
    <w:rsid w:val="00877676"/>
    <w:rsid w:val="00880BC9"/>
    <w:rsid w:val="00882237"/>
    <w:rsid w:val="0088494E"/>
    <w:rsid w:val="008850A7"/>
    <w:rsid w:val="00885D36"/>
    <w:rsid w:val="00892103"/>
    <w:rsid w:val="00892F1B"/>
    <w:rsid w:val="00895C2B"/>
    <w:rsid w:val="00896C6A"/>
    <w:rsid w:val="008978C9"/>
    <w:rsid w:val="008A063B"/>
    <w:rsid w:val="008A1460"/>
    <w:rsid w:val="008A2561"/>
    <w:rsid w:val="008A27F5"/>
    <w:rsid w:val="008A2A97"/>
    <w:rsid w:val="008A4B1F"/>
    <w:rsid w:val="008A4C73"/>
    <w:rsid w:val="008B12AA"/>
    <w:rsid w:val="008B4D6D"/>
    <w:rsid w:val="008B5448"/>
    <w:rsid w:val="008C0B51"/>
    <w:rsid w:val="008C12F8"/>
    <w:rsid w:val="008C233F"/>
    <w:rsid w:val="008C7550"/>
    <w:rsid w:val="008C755A"/>
    <w:rsid w:val="008D0230"/>
    <w:rsid w:val="008D262F"/>
    <w:rsid w:val="008D372D"/>
    <w:rsid w:val="008D4400"/>
    <w:rsid w:val="008D4DEE"/>
    <w:rsid w:val="008E0135"/>
    <w:rsid w:val="008E08B4"/>
    <w:rsid w:val="008E08D3"/>
    <w:rsid w:val="008E603B"/>
    <w:rsid w:val="008E6421"/>
    <w:rsid w:val="008E6F23"/>
    <w:rsid w:val="008E79C5"/>
    <w:rsid w:val="008F0167"/>
    <w:rsid w:val="008F1CF8"/>
    <w:rsid w:val="008F3E1D"/>
    <w:rsid w:val="008F4D9B"/>
    <w:rsid w:val="008F60A2"/>
    <w:rsid w:val="008F62F6"/>
    <w:rsid w:val="0090001C"/>
    <w:rsid w:val="00900EE2"/>
    <w:rsid w:val="0090229C"/>
    <w:rsid w:val="00904B7C"/>
    <w:rsid w:val="0090605C"/>
    <w:rsid w:val="00906681"/>
    <w:rsid w:val="0090794F"/>
    <w:rsid w:val="00910C11"/>
    <w:rsid w:val="00910D75"/>
    <w:rsid w:val="009116FC"/>
    <w:rsid w:val="00911FF6"/>
    <w:rsid w:val="00913509"/>
    <w:rsid w:val="00913D00"/>
    <w:rsid w:val="00913DC2"/>
    <w:rsid w:val="009143E2"/>
    <w:rsid w:val="00914E9B"/>
    <w:rsid w:val="009156AD"/>
    <w:rsid w:val="009168E0"/>
    <w:rsid w:val="009173D8"/>
    <w:rsid w:val="00917A17"/>
    <w:rsid w:val="009202B9"/>
    <w:rsid w:val="0092081C"/>
    <w:rsid w:val="009216B6"/>
    <w:rsid w:val="00921AC6"/>
    <w:rsid w:val="00921D93"/>
    <w:rsid w:val="009236B8"/>
    <w:rsid w:val="00923FD5"/>
    <w:rsid w:val="00924701"/>
    <w:rsid w:val="00924E12"/>
    <w:rsid w:val="00926690"/>
    <w:rsid w:val="00926997"/>
    <w:rsid w:val="00932E78"/>
    <w:rsid w:val="009341ED"/>
    <w:rsid w:val="00934244"/>
    <w:rsid w:val="00935842"/>
    <w:rsid w:val="00935AF6"/>
    <w:rsid w:val="0093767C"/>
    <w:rsid w:val="0094104D"/>
    <w:rsid w:val="00942698"/>
    <w:rsid w:val="00942ABC"/>
    <w:rsid w:val="00942FF2"/>
    <w:rsid w:val="0094545C"/>
    <w:rsid w:val="00945C1E"/>
    <w:rsid w:val="00946E3B"/>
    <w:rsid w:val="0094707E"/>
    <w:rsid w:val="0094768E"/>
    <w:rsid w:val="0095296A"/>
    <w:rsid w:val="00953BC0"/>
    <w:rsid w:val="00954061"/>
    <w:rsid w:val="009548AC"/>
    <w:rsid w:val="00955F67"/>
    <w:rsid w:val="00961D3B"/>
    <w:rsid w:val="00966FA5"/>
    <w:rsid w:val="00967064"/>
    <w:rsid w:val="009675A8"/>
    <w:rsid w:val="00967A64"/>
    <w:rsid w:val="00967D41"/>
    <w:rsid w:val="00970BE8"/>
    <w:rsid w:val="0097118B"/>
    <w:rsid w:val="00971632"/>
    <w:rsid w:val="00976B49"/>
    <w:rsid w:val="009804D6"/>
    <w:rsid w:val="00980D75"/>
    <w:rsid w:val="009816CB"/>
    <w:rsid w:val="00982B40"/>
    <w:rsid w:val="009835DE"/>
    <w:rsid w:val="009838AA"/>
    <w:rsid w:val="00984003"/>
    <w:rsid w:val="00986E28"/>
    <w:rsid w:val="009876BD"/>
    <w:rsid w:val="00987D5D"/>
    <w:rsid w:val="00990977"/>
    <w:rsid w:val="00990E37"/>
    <w:rsid w:val="009911BA"/>
    <w:rsid w:val="009919ED"/>
    <w:rsid w:val="009929A2"/>
    <w:rsid w:val="00993F97"/>
    <w:rsid w:val="00994FFB"/>
    <w:rsid w:val="009973C2"/>
    <w:rsid w:val="009A0B2E"/>
    <w:rsid w:val="009A182D"/>
    <w:rsid w:val="009A2919"/>
    <w:rsid w:val="009A2A70"/>
    <w:rsid w:val="009A43B8"/>
    <w:rsid w:val="009A455D"/>
    <w:rsid w:val="009A7F09"/>
    <w:rsid w:val="009B0EF0"/>
    <w:rsid w:val="009B104A"/>
    <w:rsid w:val="009B1404"/>
    <w:rsid w:val="009B3133"/>
    <w:rsid w:val="009B509C"/>
    <w:rsid w:val="009C3362"/>
    <w:rsid w:val="009C34F9"/>
    <w:rsid w:val="009C47CE"/>
    <w:rsid w:val="009C562D"/>
    <w:rsid w:val="009C6CD9"/>
    <w:rsid w:val="009C6EDB"/>
    <w:rsid w:val="009C7EC3"/>
    <w:rsid w:val="009D3356"/>
    <w:rsid w:val="009D3FCB"/>
    <w:rsid w:val="009D4113"/>
    <w:rsid w:val="009D42D9"/>
    <w:rsid w:val="009D6DEC"/>
    <w:rsid w:val="009D7A70"/>
    <w:rsid w:val="009E1C5F"/>
    <w:rsid w:val="009E4270"/>
    <w:rsid w:val="009E4E08"/>
    <w:rsid w:val="009E5C41"/>
    <w:rsid w:val="009F0026"/>
    <w:rsid w:val="009F1938"/>
    <w:rsid w:val="009F429A"/>
    <w:rsid w:val="009F7CA8"/>
    <w:rsid w:val="00A00CBB"/>
    <w:rsid w:val="00A0136C"/>
    <w:rsid w:val="00A0208F"/>
    <w:rsid w:val="00A02F05"/>
    <w:rsid w:val="00A0349D"/>
    <w:rsid w:val="00A047A3"/>
    <w:rsid w:val="00A07A4A"/>
    <w:rsid w:val="00A10463"/>
    <w:rsid w:val="00A1223D"/>
    <w:rsid w:val="00A12C3F"/>
    <w:rsid w:val="00A16AC0"/>
    <w:rsid w:val="00A16FF3"/>
    <w:rsid w:val="00A2103F"/>
    <w:rsid w:val="00A21E76"/>
    <w:rsid w:val="00A226C7"/>
    <w:rsid w:val="00A23DBF"/>
    <w:rsid w:val="00A243F2"/>
    <w:rsid w:val="00A275B9"/>
    <w:rsid w:val="00A3128B"/>
    <w:rsid w:val="00A318EA"/>
    <w:rsid w:val="00A32093"/>
    <w:rsid w:val="00A32224"/>
    <w:rsid w:val="00A33B79"/>
    <w:rsid w:val="00A34EAD"/>
    <w:rsid w:val="00A3636C"/>
    <w:rsid w:val="00A409AD"/>
    <w:rsid w:val="00A41757"/>
    <w:rsid w:val="00A41A6B"/>
    <w:rsid w:val="00A44434"/>
    <w:rsid w:val="00A45ECB"/>
    <w:rsid w:val="00A46347"/>
    <w:rsid w:val="00A46FCA"/>
    <w:rsid w:val="00A501BD"/>
    <w:rsid w:val="00A517C3"/>
    <w:rsid w:val="00A5226F"/>
    <w:rsid w:val="00A5705B"/>
    <w:rsid w:val="00A57AFD"/>
    <w:rsid w:val="00A61B5A"/>
    <w:rsid w:val="00A65C52"/>
    <w:rsid w:val="00A667BA"/>
    <w:rsid w:val="00A6708E"/>
    <w:rsid w:val="00A67477"/>
    <w:rsid w:val="00A7002E"/>
    <w:rsid w:val="00A70FF8"/>
    <w:rsid w:val="00A7242A"/>
    <w:rsid w:val="00A72951"/>
    <w:rsid w:val="00A73494"/>
    <w:rsid w:val="00A7533A"/>
    <w:rsid w:val="00A8044B"/>
    <w:rsid w:val="00A81239"/>
    <w:rsid w:val="00A83660"/>
    <w:rsid w:val="00A87DE3"/>
    <w:rsid w:val="00A90EB3"/>
    <w:rsid w:val="00A9122E"/>
    <w:rsid w:val="00A922AE"/>
    <w:rsid w:val="00A94996"/>
    <w:rsid w:val="00A9699A"/>
    <w:rsid w:val="00A96B2E"/>
    <w:rsid w:val="00A974AF"/>
    <w:rsid w:val="00A978BF"/>
    <w:rsid w:val="00AA029F"/>
    <w:rsid w:val="00AA249B"/>
    <w:rsid w:val="00AA42FB"/>
    <w:rsid w:val="00AA4EA7"/>
    <w:rsid w:val="00AA5110"/>
    <w:rsid w:val="00AA5B0D"/>
    <w:rsid w:val="00AA5C45"/>
    <w:rsid w:val="00AA7485"/>
    <w:rsid w:val="00AB0B45"/>
    <w:rsid w:val="00AB0BEE"/>
    <w:rsid w:val="00AB4FD8"/>
    <w:rsid w:val="00AB5549"/>
    <w:rsid w:val="00AB6582"/>
    <w:rsid w:val="00AB65C8"/>
    <w:rsid w:val="00AB6986"/>
    <w:rsid w:val="00AB7767"/>
    <w:rsid w:val="00AC0430"/>
    <w:rsid w:val="00AC05BF"/>
    <w:rsid w:val="00AC0ADE"/>
    <w:rsid w:val="00AC6FCB"/>
    <w:rsid w:val="00AC7BE2"/>
    <w:rsid w:val="00AD132D"/>
    <w:rsid w:val="00AD250D"/>
    <w:rsid w:val="00AD31A6"/>
    <w:rsid w:val="00AD33E8"/>
    <w:rsid w:val="00AD495B"/>
    <w:rsid w:val="00AD6633"/>
    <w:rsid w:val="00AD692C"/>
    <w:rsid w:val="00AD79B9"/>
    <w:rsid w:val="00AD7A47"/>
    <w:rsid w:val="00AD7EAC"/>
    <w:rsid w:val="00AE0660"/>
    <w:rsid w:val="00AE2BC4"/>
    <w:rsid w:val="00AE2EF6"/>
    <w:rsid w:val="00AE4C57"/>
    <w:rsid w:val="00AE54D7"/>
    <w:rsid w:val="00AF2EAF"/>
    <w:rsid w:val="00AF408C"/>
    <w:rsid w:val="00AF4FFF"/>
    <w:rsid w:val="00AF6BEE"/>
    <w:rsid w:val="00B027DB"/>
    <w:rsid w:val="00B02AC0"/>
    <w:rsid w:val="00B02B3D"/>
    <w:rsid w:val="00B05680"/>
    <w:rsid w:val="00B105A4"/>
    <w:rsid w:val="00B111D7"/>
    <w:rsid w:val="00B11413"/>
    <w:rsid w:val="00B1173C"/>
    <w:rsid w:val="00B12271"/>
    <w:rsid w:val="00B125E5"/>
    <w:rsid w:val="00B13399"/>
    <w:rsid w:val="00B150CE"/>
    <w:rsid w:val="00B1539E"/>
    <w:rsid w:val="00B153F3"/>
    <w:rsid w:val="00B15AF5"/>
    <w:rsid w:val="00B17462"/>
    <w:rsid w:val="00B179D4"/>
    <w:rsid w:val="00B17EFB"/>
    <w:rsid w:val="00B22D1B"/>
    <w:rsid w:val="00B24575"/>
    <w:rsid w:val="00B25BDD"/>
    <w:rsid w:val="00B2635F"/>
    <w:rsid w:val="00B30D3C"/>
    <w:rsid w:val="00B33153"/>
    <w:rsid w:val="00B3578B"/>
    <w:rsid w:val="00B41C51"/>
    <w:rsid w:val="00B44828"/>
    <w:rsid w:val="00B45702"/>
    <w:rsid w:val="00B47ACC"/>
    <w:rsid w:val="00B5073B"/>
    <w:rsid w:val="00B50E89"/>
    <w:rsid w:val="00B510C7"/>
    <w:rsid w:val="00B5441A"/>
    <w:rsid w:val="00B554E7"/>
    <w:rsid w:val="00B557C2"/>
    <w:rsid w:val="00B56086"/>
    <w:rsid w:val="00B60B22"/>
    <w:rsid w:val="00B62BF7"/>
    <w:rsid w:val="00B63253"/>
    <w:rsid w:val="00B64050"/>
    <w:rsid w:val="00B65940"/>
    <w:rsid w:val="00B65B99"/>
    <w:rsid w:val="00B65C78"/>
    <w:rsid w:val="00B701B5"/>
    <w:rsid w:val="00B7144E"/>
    <w:rsid w:val="00B714E5"/>
    <w:rsid w:val="00B71845"/>
    <w:rsid w:val="00B72552"/>
    <w:rsid w:val="00B7292B"/>
    <w:rsid w:val="00B755FD"/>
    <w:rsid w:val="00B77905"/>
    <w:rsid w:val="00B8008C"/>
    <w:rsid w:val="00B80FA4"/>
    <w:rsid w:val="00B84F4C"/>
    <w:rsid w:val="00B8518B"/>
    <w:rsid w:val="00B85360"/>
    <w:rsid w:val="00B85D76"/>
    <w:rsid w:val="00B906D4"/>
    <w:rsid w:val="00B950B6"/>
    <w:rsid w:val="00B95C08"/>
    <w:rsid w:val="00B95C9D"/>
    <w:rsid w:val="00B975E3"/>
    <w:rsid w:val="00BA0388"/>
    <w:rsid w:val="00BA2713"/>
    <w:rsid w:val="00BA2C58"/>
    <w:rsid w:val="00BA4785"/>
    <w:rsid w:val="00BA57AB"/>
    <w:rsid w:val="00BA6383"/>
    <w:rsid w:val="00BA66D8"/>
    <w:rsid w:val="00BA7FAB"/>
    <w:rsid w:val="00BB101A"/>
    <w:rsid w:val="00BB577B"/>
    <w:rsid w:val="00BB7744"/>
    <w:rsid w:val="00BC0159"/>
    <w:rsid w:val="00BC02BE"/>
    <w:rsid w:val="00BC3077"/>
    <w:rsid w:val="00BC5D8F"/>
    <w:rsid w:val="00BC62FB"/>
    <w:rsid w:val="00BC7AB8"/>
    <w:rsid w:val="00BD039A"/>
    <w:rsid w:val="00BD0C24"/>
    <w:rsid w:val="00BD1565"/>
    <w:rsid w:val="00BD1C06"/>
    <w:rsid w:val="00BD1CBF"/>
    <w:rsid w:val="00BD2F00"/>
    <w:rsid w:val="00BD3C43"/>
    <w:rsid w:val="00BD4B02"/>
    <w:rsid w:val="00BD56AF"/>
    <w:rsid w:val="00BD65CF"/>
    <w:rsid w:val="00BD6BEA"/>
    <w:rsid w:val="00BD76F1"/>
    <w:rsid w:val="00BE262B"/>
    <w:rsid w:val="00BE2819"/>
    <w:rsid w:val="00BE535B"/>
    <w:rsid w:val="00BE5F5A"/>
    <w:rsid w:val="00BF0516"/>
    <w:rsid w:val="00BF342E"/>
    <w:rsid w:val="00BF35B9"/>
    <w:rsid w:val="00BF4772"/>
    <w:rsid w:val="00BF48C1"/>
    <w:rsid w:val="00BF5D92"/>
    <w:rsid w:val="00C0109A"/>
    <w:rsid w:val="00C019F7"/>
    <w:rsid w:val="00C032DE"/>
    <w:rsid w:val="00C0549F"/>
    <w:rsid w:val="00C0600C"/>
    <w:rsid w:val="00C0670F"/>
    <w:rsid w:val="00C074BD"/>
    <w:rsid w:val="00C0758C"/>
    <w:rsid w:val="00C1141A"/>
    <w:rsid w:val="00C11B34"/>
    <w:rsid w:val="00C13E10"/>
    <w:rsid w:val="00C1635B"/>
    <w:rsid w:val="00C1659F"/>
    <w:rsid w:val="00C17417"/>
    <w:rsid w:val="00C17C97"/>
    <w:rsid w:val="00C225E9"/>
    <w:rsid w:val="00C23F4A"/>
    <w:rsid w:val="00C2428C"/>
    <w:rsid w:val="00C2577C"/>
    <w:rsid w:val="00C26F9A"/>
    <w:rsid w:val="00C33E49"/>
    <w:rsid w:val="00C3603E"/>
    <w:rsid w:val="00C365C7"/>
    <w:rsid w:val="00C37218"/>
    <w:rsid w:val="00C401A4"/>
    <w:rsid w:val="00C4081D"/>
    <w:rsid w:val="00C408BB"/>
    <w:rsid w:val="00C4360A"/>
    <w:rsid w:val="00C44E61"/>
    <w:rsid w:val="00C452B8"/>
    <w:rsid w:val="00C4649F"/>
    <w:rsid w:val="00C50D03"/>
    <w:rsid w:val="00C53445"/>
    <w:rsid w:val="00C56C19"/>
    <w:rsid w:val="00C57B50"/>
    <w:rsid w:val="00C61FB8"/>
    <w:rsid w:val="00C631B7"/>
    <w:rsid w:val="00C63E2B"/>
    <w:rsid w:val="00C649E0"/>
    <w:rsid w:val="00C70045"/>
    <w:rsid w:val="00C726B7"/>
    <w:rsid w:val="00C73C21"/>
    <w:rsid w:val="00C74AF6"/>
    <w:rsid w:val="00C7621F"/>
    <w:rsid w:val="00C77811"/>
    <w:rsid w:val="00C829EB"/>
    <w:rsid w:val="00C82B04"/>
    <w:rsid w:val="00C82B3F"/>
    <w:rsid w:val="00C831AF"/>
    <w:rsid w:val="00C8494F"/>
    <w:rsid w:val="00C84962"/>
    <w:rsid w:val="00C85E0E"/>
    <w:rsid w:val="00C8637A"/>
    <w:rsid w:val="00C86E10"/>
    <w:rsid w:val="00C87860"/>
    <w:rsid w:val="00C903C5"/>
    <w:rsid w:val="00C90A30"/>
    <w:rsid w:val="00C90C8F"/>
    <w:rsid w:val="00C9108F"/>
    <w:rsid w:val="00C91DD6"/>
    <w:rsid w:val="00C92185"/>
    <w:rsid w:val="00C924A3"/>
    <w:rsid w:val="00C92B7B"/>
    <w:rsid w:val="00C93528"/>
    <w:rsid w:val="00C953B0"/>
    <w:rsid w:val="00C9606E"/>
    <w:rsid w:val="00C977E7"/>
    <w:rsid w:val="00C97CDA"/>
    <w:rsid w:val="00C97D1D"/>
    <w:rsid w:val="00CA16E7"/>
    <w:rsid w:val="00CA1BB2"/>
    <w:rsid w:val="00CA6446"/>
    <w:rsid w:val="00CA7CF0"/>
    <w:rsid w:val="00CB1863"/>
    <w:rsid w:val="00CB1E6A"/>
    <w:rsid w:val="00CB48FB"/>
    <w:rsid w:val="00CB644D"/>
    <w:rsid w:val="00CC1A9E"/>
    <w:rsid w:val="00CC1E03"/>
    <w:rsid w:val="00CC29C5"/>
    <w:rsid w:val="00CC3CFD"/>
    <w:rsid w:val="00CC41BD"/>
    <w:rsid w:val="00CC4A10"/>
    <w:rsid w:val="00CC4EE8"/>
    <w:rsid w:val="00CC525C"/>
    <w:rsid w:val="00CD03C9"/>
    <w:rsid w:val="00CD0662"/>
    <w:rsid w:val="00CD1A7D"/>
    <w:rsid w:val="00CD365E"/>
    <w:rsid w:val="00CD5825"/>
    <w:rsid w:val="00CE07F7"/>
    <w:rsid w:val="00CE0E51"/>
    <w:rsid w:val="00CE0E6C"/>
    <w:rsid w:val="00CE2960"/>
    <w:rsid w:val="00CE5957"/>
    <w:rsid w:val="00CE7289"/>
    <w:rsid w:val="00CE764F"/>
    <w:rsid w:val="00CF252F"/>
    <w:rsid w:val="00CF3AC8"/>
    <w:rsid w:val="00CF43B9"/>
    <w:rsid w:val="00CF45EA"/>
    <w:rsid w:val="00CF4AF7"/>
    <w:rsid w:val="00CF5B2B"/>
    <w:rsid w:val="00D0059C"/>
    <w:rsid w:val="00D011FE"/>
    <w:rsid w:val="00D02D57"/>
    <w:rsid w:val="00D03271"/>
    <w:rsid w:val="00D0543C"/>
    <w:rsid w:val="00D0555D"/>
    <w:rsid w:val="00D061E4"/>
    <w:rsid w:val="00D135C3"/>
    <w:rsid w:val="00D13C30"/>
    <w:rsid w:val="00D14980"/>
    <w:rsid w:val="00D15041"/>
    <w:rsid w:val="00D1542C"/>
    <w:rsid w:val="00D17166"/>
    <w:rsid w:val="00D20A3F"/>
    <w:rsid w:val="00D20EF7"/>
    <w:rsid w:val="00D245AD"/>
    <w:rsid w:val="00D26232"/>
    <w:rsid w:val="00D26F3F"/>
    <w:rsid w:val="00D3110C"/>
    <w:rsid w:val="00D31850"/>
    <w:rsid w:val="00D36518"/>
    <w:rsid w:val="00D400AD"/>
    <w:rsid w:val="00D43EAA"/>
    <w:rsid w:val="00D446A3"/>
    <w:rsid w:val="00D44E53"/>
    <w:rsid w:val="00D500A1"/>
    <w:rsid w:val="00D50AE1"/>
    <w:rsid w:val="00D50CC0"/>
    <w:rsid w:val="00D50D1A"/>
    <w:rsid w:val="00D510BD"/>
    <w:rsid w:val="00D518B2"/>
    <w:rsid w:val="00D52485"/>
    <w:rsid w:val="00D52DA1"/>
    <w:rsid w:val="00D53685"/>
    <w:rsid w:val="00D544D6"/>
    <w:rsid w:val="00D55318"/>
    <w:rsid w:val="00D563B9"/>
    <w:rsid w:val="00D56D29"/>
    <w:rsid w:val="00D574B1"/>
    <w:rsid w:val="00D6176C"/>
    <w:rsid w:val="00D62183"/>
    <w:rsid w:val="00D67881"/>
    <w:rsid w:val="00D737F8"/>
    <w:rsid w:val="00D73A01"/>
    <w:rsid w:val="00D73C39"/>
    <w:rsid w:val="00D73FB7"/>
    <w:rsid w:val="00D73FC4"/>
    <w:rsid w:val="00D75111"/>
    <w:rsid w:val="00D75207"/>
    <w:rsid w:val="00D7599E"/>
    <w:rsid w:val="00D75FE0"/>
    <w:rsid w:val="00D806CF"/>
    <w:rsid w:val="00D818D0"/>
    <w:rsid w:val="00D82438"/>
    <w:rsid w:val="00D83F21"/>
    <w:rsid w:val="00D84A4D"/>
    <w:rsid w:val="00D85226"/>
    <w:rsid w:val="00D858FF"/>
    <w:rsid w:val="00D87EB1"/>
    <w:rsid w:val="00D90A1D"/>
    <w:rsid w:val="00D91B31"/>
    <w:rsid w:val="00D92202"/>
    <w:rsid w:val="00D931DC"/>
    <w:rsid w:val="00D93A21"/>
    <w:rsid w:val="00D9405E"/>
    <w:rsid w:val="00D95615"/>
    <w:rsid w:val="00D95712"/>
    <w:rsid w:val="00D962E9"/>
    <w:rsid w:val="00D9670C"/>
    <w:rsid w:val="00D96A6F"/>
    <w:rsid w:val="00D97615"/>
    <w:rsid w:val="00D97AA5"/>
    <w:rsid w:val="00DA0C3B"/>
    <w:rsid w:val="00DA1346"/>
    <w:rsid w:val="00DA1358"/>
    <w:rsid w:val="00DA305C"/>
    <w:rsid w:val="00DA39F8"/>
    <w:rsid w:val="00DA3DD4"/>
    <w:rsid w:val="00DA72E8"/>
    <w:rsid w:val="00DA7516"/>
    <w:rsid w:val="00DA7724"/>
    <w:rsid w:val="00DB3E31"/>
    <w:rsid w:val="00DB701C"/>
    <w:rsid w:val="00DB780E"/>
    <w:rsid w:val="00DB78F5"/>
    <w:rsid w:val="00DC0342"/>
    <w:rsid w:val="00DC04D5"/>
    <w:rsid w:val="00DC4890"/>
    <w:rsid w:val="00DC63EE"/>
    <w:rsid w:val="00DD09F2"/>
    <w:rsid w:val="00DD14F5"/>
    <w:rsid w:val="00DD24DA"/>
    <w:rsid w:val="00DD28E7"/>
    <w:rsid w:val="00DD2C7E"/>
    <w:rsid w:val="00DD582F"/>
    <w:rsid w:val="00DD655B"/>
    <w:rsid w:val="00DE21F1"/>
    <w:rsid w:val="00DE3873"/>
    <w:rsid w:val="00DE5240"/>
    <w:rsid w:val="00DE5242"/>
    <w:rsid w:val="00DE7EBD"/>
    <w:rsid w:val="00DF3319"/>
    <w:rsid w:val="00DF430C"/>
    <w:rsid w:val="00DF464B"/>
    <w:rsid w:val="00DF7209"/>
    <w:rsid w:val="00E023EB"/>
    <w:rsid w:val="00E0343A"/>
    <w:rsid w:val="00E03B2C"/>
    <w:rsid w:val="00E03DC0"/>
    <w:rsid w:val="00E05230"/>
    <w:rsid w:val="00E05B0D"/>
    <w:rsid w:val="00E06BB0"/>
    <w:rsid w:val="00E06FF6"/>
    <w:rsid w:val="00E11D3A"/>
    <w:rsid w:val="00E1493B"/>
    <w:rsid w:val="00E16144"/>
    <w:rsid w:val="00E25DEF"/>
    <w:rsid w:val="00E26B3F"/>
    <w:rsid w:val="00E270CC"/>
    <w:rsid w:val="00E3020B"/>
    <w:rsid w:val="00E30609"/>
    <w:rsid w:val="00E30CE1"/>
    <w:rsid w:val="00E32556"/>
    <w:rsid w:val="00E34673"/>
    <w:rsid w:val="00E34F20"/>
    <w:rsid w:val="00E35678"/>
    <w:rsid w:val="00E35BAB"/>
    <w:rsid w:val="00E35FED"/>
    <w:rsid w:val="00E36D1E"/>
    <w:rsid w:val="00E40EAE"/>
    <w:rsid w:val="00E4260A"/>
    <w:rsid w:val="00E455BF"/>
    <w:rsid w:val="00E45DE1"/>
    <w:rsid w:val="00E460AD"/>
    <w:rsid w:val="00E467FF"/>
    <w:rsid w:val="00E47968"/>
    <w:rsid w:val="00E546B7"/>
    <w:rsid w:val="00E55F7F"/>
    <w:rsid w:val="00E60450"/>
    <w:rsid w:val="00E62745"/>
    <w:rsid w:val="00E62B18"/>
    <w:rsid w:val="00E7083B"/>
    <w:rsid w:val="00E7506E"/>
    <w:rsid w:val="00E755AC"/>
    <w:rsid w:val="00E770B2"/>
    <w:rsid w:val="00E81264"/>
    <w:rsid w:val="00E82474"/>
    <w:rsid w:val="00E82754"/>
    <w:rsid w:val="00E82D0A"/>
    <w:rsid w:val="00E841DE"/>
    <w:rsid w:val="00E84DF0"/>
    <w:rsid w:val="00E84E3F"/>
    <w:rsid w:val="00E875B4"/>
    <w:rsid w:val="00E9127C"/>
    <w:rsid w:val="00E91AE8"/>
    <w:rsid w:val="00E9241B"/>
    <w:rsid w:val="00E925E4"/>
    <w:rsid w:val="00E92D14"/>
    <w:rsid w:val="00E93564"/>
    <w:rsid w:val="00E966DA"/>
    <w:rsid w:val="00E96E47"/>
    <w:rsid w:val="00EA7720"/>
    <w:rsid w:val="00EB0282"/>
    <w:rsid w:val="00EB0E9E"/>
    <w:rsid w:val="00EB1C61"/>
    <w:rsid w:val="00EB3183"/>
    <w:rsid w:val="00EB4ABD"/>
    <w:rsid w:val="00EB4BB9"/>
    <w:rsid w:val="00EC1655"/>
    <w:rsid w:val="00EC1C4D"/>
    <w:rsid w:val="00EC2175"/>
    <w:rsid w:val="00EC2F31"/>
    <w:rsid w:val="00EC33F4"/>
    <w:rsid w:val="00EC63BF"/>
    <w:rsid w:val="00ED0E52"/>
    <w:rsid w:val="00ED0E7A"/>
    <w:rsid w:val="00ED15BC"/>
    <w:rsid w:val="00ED1910"/>
    <w:rsid w:val="00ED1A5B"/>
    <w:rsid w:val="00ED204C"/>
    <w:rsid w:val="00ED285F"/>
    <w:rsid w:val="00ED645D"/>
    <w:rsid w:val="00ED7887"/>
    <w:rsid w:val="00ED7AE4"/>
    <w:rsid w:val="00EE14E1"/>
    <w:rsid w:val="00EE1D01"/>
    <w:rsid w:val="00EE43B8"/>
    <w:rsid w:val="00EE5532"/>
    <w:rsid w:val="00EF1F45"/>
    <w:rsid w:val="00EF2344"/>
    <w:rsid w:val="00EF3154"/>
    <w:rsid w:val="00EF3FC9"/>
    <w:rsid w:val="00EF4E46"/>
    <w:rsid w:val="00EF5D76"/>
    <w:rsid w:val="00F0100D"/>
    <w:rsid w:val="00F0143B"/>
    <w:rsid w:val="00F02AB7"/>
    <w:rsid w:val="00F02AB9"/>
    <w:rsid w:val="00F02E8E"/>
    <w:rsid w:val="00F03244"/>
    <w:rsid w:val="00F049F6"/>
    <w:rsid w:val="00F06940"/>
    <w:rsid w:val="00F073AA"/>
    <w:rsid w:val="00F10BA6"/>
    <w:rsid w:val="00F11462"/>
    <w:rsid w:val="00F12F00"/>
    <w:rsid w:val="00F132C0"/>
    <w:rsid w:val="00F13491"/>
    <w:rsid w:val="00F14915"/>
    <w:rsid w:val="00F153C4"/>
    <w:rsid w:val="00F15F00"/>
    <w:rsid w:val="00F17A41"/>
    <w:rsid w:val="00F20803"/>
    <w:rsid w:val="00F20954"/>
    <w:rsid w:val="00F21926"/>
    <w:rsid w:val="00F227A3"/>
    <w:rsid w:val="00F22878"/>
    <w:rsid w:val="00F22F58"/>
    <w:rsid w:val="00F23BE1"/>
    <w:rsid w:val="00F23C74"/>
    <w:rsid w:val="00F253D6"/>
    <w:rsid w:val="00F26187"/>
    <w:rsid w:val="00F27660"/>
    <w:rsid w:val="00F321CC"/>
    <w:rsid w:val="00F322A1"/>
    <w:rsid w:val="00F32A3E"/>
    <w:rsid w:val="00F33BEF"/>
    <w:rsid w:val="00F371AC"/>
    <w:rsid w:val="00F374E9"/>
    <w:rsid w:val="00F4332B"/>
    <w:rsid w:val="00F47709"/>
    <w:rsid w:val="00F51ECA"/>
    <w:rsid w:val="00F536E2"/>
    <w:rsid w:val="00F567EE"/>
    <w:rsid w:val="00F57E60"/>
    <w:rsid w:val="00F60AD5"/>
    <w:rsid w:val="00F614B4"/>
    <w:rsid w:val="00F6182C"/>
    <w:rsid w:val="00F6593B"/>
    <w:rsid w:val="00F65BDE"/>
    <w:rsid w:val="00F6707F"/>
    <w:rsid w:val="00F70ACD"/>
    <w:rsid w:val="00F7106E"/>
    <w:rsid w:val="00F71341"/>
    <w:rsid w:val="00F72879"/>
    <w:rsid w:val="00F72C92"/>
    <w:rsid w:val="00F73D78"/>
    <w:rsid w:val="00F74877"/>
    <w:rsid w:val="00F75889"/>
    <w:rsid w:val="00F84504"/>
    <w:rsid w:val="00F853DE"/>
    <w:rsid w:val="00F867E5"/>
    <w:rsid w:val="00F877EB"/>
    <w:rsid w:val="00F907C4"/>
    <w:rsid w:val="00F92A55"/>
    <w:rsid w:val="00F9328E"/>
    <w:rsid w:val="00F93A36"/>
    <w:rsid w:val="00F948EB"/>
    <w:rsid w:val="00F95EB8"/>
    <w:rsid w:val="00F963CC"/>
    <w:rsid w:val="00F9739E"/>
    <w:rsid w:val="00F97F14"/>
    <w:rsid w:val="00FA06C5"/>
    <w:rsid w:val="00FA0A52"/>
    <w:rsid w:val="00FA1A48"/>
    <w:rsid w:val="00FA2519"/>
    <w:rsid w:val="00FA2926"/>
    <w:rsid w:val="00FA2E29"/>
    <w:rsid w:val="00FA72C0"/>
    <w:rsid w:val="00FB032D"/>
    <w:rsid w:val="00FB1D99"/>
    <w:rsid w:val="00FB46C1"/>
    <w:rsid w:val="00FB4B77"/>
    <w:rsid w:val="00FB5270"/>
    <w:rsid w:val="00FB5BBD"/>
    <w:rsid w:val="00FB6306"/>
    <w:rsid w:val="00FB6A51"/>
    <w:rsid w:val="00FC1816"/>
    <w:rsid w:val="00FC22B4"/>
    <w:rsid w:val="00FC6C15"/>
    <w:rsid w:val="00FD3D3E"/>
    <w:rsid w:val="00FD44AB"/>
    <w:rsid w:val="00FD4640"/>
    <w:rsid w:val="00FD4CA7"/>
    <w:rsid w:val="00FD6479"/>
    <w:rsid w:val="00FD67DB"/>
    <w:rsid w:val="00FD7D08"/>
    <w:rsid w:val="00FE0DF0"/>
    <w:rsid w:val="00FE148A"/>
    <w:rsid w:val="00FE1B68"/>
    <w:rsid w:val="00FE2B89"/>
    <w:rsid w:val="00FF1101"/>
    <w:rsid w:val="00FF33BE"/>
    <w:rsid w:val="00FF3C46"/>
    <w:rsid w:val="00FF4792"/>
    <w:rsid w:val="00FF51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88B2F"/>
  <w15:docId w15:val="{FDD2B8C6-4CA3-F347-BB4C-09A2BCA6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282"/>
    <w:rPr>
      <w:sz w:val="20"/>
      <w:szCs w:val="20"/>
    </w:rPr>
  </w:style>
  <w:style w:type="paragraph" w:styleId="Heading1">
    <w:name w:val="heading 1"/>
    <w:basedOn w:val="Normal"/>
    <w:next w:val="Normal"/>
    <w:link w:val="Heading1Char"/>
    <w:uiPriority w:val="9"/>
    <w:qFormat/>
    <w:rsid w:val="00EB0282"/>
    <w:pPr>
      <w:numPr>
        <w:numId w:val="43"/>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B0282"/>
    <w:pPr>
      <w:numPr>
        <w:ilvl w:val="1"/>
        <w:numId w:val="43"/>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B0282"/>
    <w:pPr>
      <w:numPr>
        <w:ilvl w:val="2"/>
        <w:numId w:val="43"/>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EB028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EB028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EB028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EB028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EB028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B028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28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B0282"/>
    <w:rPr>
      <w:caps/>
      <w:spacing w:val="15"/>
      <w:shd w:val="clear" w:color="auto" w:fill="DBE5F1" w:themeFill="accent1" w:themeFillTint="33"/>
    </w:rPr>
  </w:style>
  <w:style w:type="character" w:customStyle="1" w:styleId="Heading3Char">
    <w:name w:val="Heading 3 Char"/>
    <w:basedOn w:val="DefaultParagraphFont"/>
    <w:link w:val="Heading3"/>
    <w:uiPriority w:val="9"/>
    <w:rsid w:val="00EB0282"/>
    <w:rPr>
      <w:caps/>
      <w:color w:val="243F60" w:themeColor="accent1" w:themeShade="7F"/>
      <w:spacing w:val="15"/>
    </w:rPr>
  </w:style>
  <w:style w:type="paragraph" w:customStyle="1" w:styleId="numberedparas">
    <w:name w:val="numbered paras"/>
    <w:basedOn w:val="Normal"/>
    <w:rsid w:val="00533045"/>
    <w:pPr>
      <w:numPr>
        <w:numId w:val="3"/>
      </w:numPr>
      <w:spacing w:before="120" w:after="120"/>
      <w:jc w:val="both"/>
    </w:pPr>
    <w:rPr>
      <w:rFonts w:eastAsia="Cambria" w:cs="Times New Roman"/>
      <w:lang w:eastAsia="en-GB"/>
    </w:rPr>
  </w:style>
  <w:style w:type="paragraph" w:customStyle="1" w:styleId="Tableindent">
    <w:name w:val="Table indent"/>
    <w:basedOn w:val="Normal"/>
    <w:rsid w:val="00914E9B"/>
    <w:pPr>
      <w:numPr>
        <w:numId w:val="7"/>
      </w:numPr>
      <w:tabs>
        <w:tab w:val="clear" w:pos="1211"/>
        <w:tab w:val="num" w:pos="260"/>
      </w:tabs>
      <w:spacing w:before="60" w:after="60"/>
      <w:ind w:left="260" w:hanging="260"/>
      <w:contextualSpacing/>
    </w:pPr>
    <w:rPr>
      <w:rFonts w:eastAsia="Cambria" w:cs="Times New Roman"/>
      <w:lang w:eastAsia="en-GB"/>
    </w:rPr>
  </w:style>
  <w:style w:type="paragraph" w:customStyle="1" w:styleId="Table">
    <w:name w:val="Table"/>
    <w:basedOn w:val="Normal"/>
    <w:rsid w:val="00450E14"/>
    <w:pPr>
      <w:tabs>
        <w:tab w:val="left" w:pos="567"/>
      </w:tabs>
      <w:spacing w:before="60" w:after="60"/>
    </w:pPr>
    <w:rPr>
      <w:rFonts w:eastAsia="Cambria" w:cstheme="majorHAnsi"/>
      <w:sz w:val="22"/>
      <w:szCs w:val="22"/>
    </w:rPr>
  </w:style>
  <w:style w:type="paragraph" w:styleId="ListBullet">
    <w:name w:val="List Bullet"/>
    <w:basedOn w:val="Normal"/>
    <w:uiPriority w:val="99"/>
    <w:unhideWhenUsed/>
    <w:rsid w:val="003E12B4"/>
    <w:pPr>
      <w:numPr>
        <w:numId w:val="11"/>
      </w:numPr>
      <w:spacing w:before="120" w:after="120"/>
      <w:ind w:left="900"/>
    </w:pPr>
  </w:style>
  <w:style w:type="paragraph" w:customStyle="1" w:styleId="tableindentitalics">
    <w:name w:val="table indent italics"/>
    <w:basedOn w:val="Tableindent"/>
    <w:rsid w:val="00606AF4"/>
    <w:pPr>
      <w:numPr>
        <w:numId w:val="0"/>
      </w:numPr>
    </w:pPr>
    <w:rPr>
      <w:i/>
    </w:rPr>
  </w:style>
  <w:style w:type="table" w:styleId="TableGrid">
    <w:name w:val="Table Grid"/>
    <w:basedOn w:val="TableNormal"/>
    <w:uiPriority w:val="59"/>
    <w:rsid w:val="009D41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summary">
    <w:name w:val="boxed summary"/>
    <w:basedOn w:val="Normal"/>
    <w:rsid w:val="002D7622"/>
    <w:pPr>
      <w:numPr>
        <w:numId w:val="15"/>
      </w:numPr>
      <w:pBdr>
        <w:top w:val="single" w:sz="4" w:space="1" w:color="auto"/>
        <w:left w:val="single" w:sz="4" w:space="4" w:color="auto"/>
        <w:bottom w:val="single" w:sz="4" w:space="1" w:color="auto"/>
        <w:right w:val="single" w:sz="4" w:space="4" w:color="auto"/>
      </w:pBdr>
      <w:spacing w:before="240" w:after="240"/>
      <w:jc w:val="both"/>
    </w:pPr>
    <w:rPr>
      <w:i/>
    </w:rPr>
  </w:style>
  <w:style w:type="paragraph" w:styleId="BalloonText">
    <w:name w:val="Balloon Text"/>
    <w:basedOn w:val="Normal"/>
    <w:link w:val="BalloonTextChar"/>
    <w:uiPriority w:val="99"/>
    <w:semiHidden/>
    <w:unhideWhenUsed/>
    <w:rsid w:val="00E1493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93B"/>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4B72D3"/>
    <w:pPr>
      <w:spacing w:after="0"/>
    </w:pPr>
  </w:style>
  <w:style w:type="character" w:customStyle="1" w:styleId="FootnoteTextChar">
    <w:name w:val="Footnote Text Char"/>
    <w:basedOn w:val="DefaultParagraphFont"/>
    <w:link w:val="FootnoteText"/>
    <w:uiPriority w:val="99"/>
    <w:rsid w:val="004B72D3"/>
    <w:rPr>
      <w:rFonts w:asciiTheme="majorHAnsi" w:hAnsiTheme="majorHAnsi"/>
      <w:sz w:val="20"/>
      <w:szCs w:val="20"/>
      <w:lang w:val="en-GB"/>
    </w:rPr>
  </w:style>
  <w:style w:type="character" w:styleId="FootnoteReference">
    <w:name w:val="footnote reference"/>
    <w:basedOn w:val="DefaultParagraphFont"/>
    <w:uiPriority w:val="99"/>
    <w:unhideWhenUsed/>
    <w:rsid w:val="000B734A"/>
    <w:rPr>
      <w:vertAlign w:val="superscript"/>
    </w:rPr>
  </w:style>
  <w:style w:type="paragraph" w:styleId="Header">
    <w:name w:val="header"/>
    <w:basedOn w:val="Normal"/>
    <w:link w:val="HeaderChar"/>
    <w:uiPriority w:val="99"/>
    <w:unhideWhenUsed/>
    <w:rsid w:val="00644BF1"/>
    <w:pPr>
      <w:tabs>
        <w:tab w:val="center" w:pos="4320"/>
        <w:tab w:val="right" w:pos="8640"/>
      </w:tabs>
      <w:spacing w:after="0"/>
    </w:pPr>
  </w:style>
  <w:style w:type="character" w:customStyle="1" w:styleId="HeaderChar">
    <w:name w:val="Header Char"/>
    <w:basedOn w:val="DefaultParagraphFont"/>
    <w:link w:val="Header"/>
    <w:uiPriority w:val="99"/>
    <w:rsid w:val="00644BF1"/>
    <w:rPr>
      <w:lang w:val="en-GB"/>
    </w:rPr>
  </w:style>
  <w:style w:type="paragraph" w:styleId="Footer">
    <w:name w:val="footer"/>
    <w:basedOn w:val="Normal"/>
    <w:link w:val="FooterChar"/>
    <w:uiPriority w:val="99"/>
    <w:unhideWhenUsed/>
    <w:rsid w:val="00644BF1"/>
    <w:pPr>
      <w:tabs>
        <w:tab w:val="center" w:pos="4320"/>
        <w:tab w:val="right" w:pos="8640"/>
      </w:tabs>
      <w:spacing w:after="0"/>
    </w:pPr>
  </w:style>
  <w:style w:type="character" w:customStyle="1" w:styleId="FooterChar">
    <w:name w:val="Footer Char"/>
    <w:basedOn w:val="DefaultParagraphFont"/>
    <w:link w:val="Footer"/>
    <w:uiPriority w:val="99"/>
    <w:rsid w:val="00644BF1"/>
    <w:rPr>
      <w:lang w:val="en-GB"/>
    </w:rPr>
  </w:style>
  <w:style w:type="character" w:styleId="Hyperlink">
    <w:name w:val="Hyperlink"/>
    <w:basedOn w:val="DefaultParagraphFont"/>
    <w:uiPriority w:val="99"/>
    <w:unhideWhenUsed/>
    <w:rsid w:val="00823076"/>
    <w:rPr>
      <w:color w:val="0000FF" w:themeColor="hyperlink"/>
      <w:u w:val="single"/>
    </w:rPr>
  </w:style>
  <w:style w:type="paragraph" w:customStyle="1" w:styleId="Quotes">
    <w:name w:val="Quotes"/>
    <w:basedOn w:val="numberedparas"/>
    <w:rsid w:val="00913DC2"/>
    <w:pPr>
      <w:numPr>
        <w:numId w:val="0"/>
      </w:numPr>
      <w:ind w:left="990" w:right="900"/>
    </w:pPr>
    <w:rPr>
      <w:i/>
    </w:rPr>
  </w:style>
  <w:style w:type="paragraph" w:customStyle="1" w:styleId="bulletsItalics">
    <w:name w:val="bullets Italics"/>
    <w:basedOn w:val="numberedparas"/>
    <w:qFormat/>
    <w:rsid w:val="00B557C2"/>
    <w:rPr>
      <w:i/>
    </w:rPr>
  </w:style>
  <w:style w:type="paragraph" w:customStyle="1" w:styleId="ESheadings">
    <w:name w:val="ES headings"/>
    <w:basedOn w:val="Heading2"/>
    <w:rsid w:val="0095296A"/>
    <w:pPr>
      <w:numPr>
        <w:ilvl w:val="0"/>
        <w:numId w:val="0"/>
      </w:numPr>
      <w:tabs>
        <w:tab w:val="left" w:pos="1170"/>
      </w:tabs>
      <w:jc w:val="center"/>
    </w:pPr>
  </w:style>
  <w:style w:type="character" w:styleId="CommentReference">
    <w:name w:val="annotation reference"/>
    <w:basedOn w:val="DefaultParagraphFont"/>
    <w:uiPriority w:val="99"/>
    <w:semiHidden/>
    <w:unhideWhenUsed/>
    <w:rsid w:val="00042418"/>
    <w:rPr>
      <w:sz w:val="18"/>
      <w:szCs w:val="18"/>
    </w:rPr>
  </w:style>
  <w:style w:type="paragraph" w:styleId="CommentText">
    <w:name w:val="annotation text"/>
    <w:basedOn w:val="Normal"/>
    <w:link w:val="CommentTextChar"/>
    <w:uiPriority w:val="99"/>
    <w:unhideWhenUsed/>
    <w:rsid w:val="00042418"/>
  </w:style>
  <w:style w:type="character" w:customStyle="1" w:styleId="CommentTextChar">
    <w:name w:val="Comment Text Char"/>
    <w:basedOn w:val="DefaultParagraphFont"/>
    <w:link w:val="CommentText"/>
    <w:uiPriority w:val="99"/>
    <w:rsid w:val="00042418"/>
    <w:rPr>
      <w:lang w:val="en-GB"/>
    </w:rPr>
  </w:style>
  <w:style w:type="paragraph" w:styleId="CommentSubject">
    <w:name w:val="annotation subject"/>
    <w:basedOn w:val="CommentText"/>
    <w:next w:val="CommentText"/>
    <w:link w:val="CommentSubjectChar"/>
    <w:uiPriority w:val="99"/>
    <w:semiHidden/>
    <w:unhideWhenUsed/>
    <w:rsid w:val="00042418"/>
    <w:rPr>
      <w:b/>
      <w:bCs/>
    </w:rPr>
  </w:style>
  <w:style w:type="character" w:customStyle="1" w:styleId="CommentSubjectChar">
    <w:name w:val="Comment Subject Char"/>
    <w:basedOn w:val="CommentTextChar"/>
    <w:link w:val="CommentSubject"/>
    <w:uiPriority w:val="99"/>
    <w:semiHidden/>
    <w:rsid w:val="00042418"/>
    <w:rPr>
      <w:b/>
      <w:bCs/>
      <w:sz w:val="20"/>
      <w:szCs w:val="20"/>
      <w:lang w:val="en-GB"/>
    </w:rPr>
  </w:style>
  <w:style w:type="paragraph" w:customStyle="1" w:styleId="Recommendations">
    <w:name w:val="Recommendations"/>
    <w:basedOn w:val="boxedsummary"/>
    <w:rsid w:val="00481B34"/>
    <w:pPr>
      <w:numPr>
        <w:numId w:val="26"/>
      </w:numPr>
      <w:ind w:left="900" w:hanging="450"/>
    </w:pPr>
    <w:rPr>
      <w:i w:val="0"/>
    </w:rPr>
  </w:style>
  <w:style w:type="paragraph" w:customStyle="1" w:styleId="doubleindent">
    <w:name w:val="double indent"/>
    <w:basedOn w:val="Tableindent"/>
    <w:rsid w:val="00F9739E"/>
    <w:pPr>
      <w:numPr>
        <w:numId w:val="30"/>
      </w:numPr>
    </w:pPr>
    <w:rPr>
      <w:sz w:val="24"/>
    </w:rPr>
  </w:style>
  <w:style w:type="paragraph" w:styleId="NormalWeb">
    <w:name w:val="Normal (Web)"/>
    <w:basedOn w:val="Normal"/>
    <w:uiPriority w:val="99"/>
    <w:unhideWhenUsed/>
    <w:rsid w:val="00EB318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EB0282"/>
    <w:pPr>
      <w:ind w:left="720"/>
      <w:contextualSpacing/>
    </w:pPr>
  </w:style>
  <w:style w:type="character" w:customStyle="1" w:styleId="Heading4Char">
    <w:name w:val="Heading 4 Char"/>
    <w:basedOn w:val="DefaultParagraphFont"/>
    <w:link w:val="Heading4"/>
    <w:uiPriority w:val="9"/>
    <w:semiHidden/>
    <w:rsid w:val="00EB0282"/>
    <w:rPr>
      <w:caps/>
      <w:color w:val="365F91" w:themeColor="accent1" w:themeShade="BF"/>
      <w:spacing w:val="10"/>
    </w:rPr>
  </w:style>
  <w:style w:type="character" w:customStyle="1" w:styleId="Heading5Char">
    <w:name w:val="Heading 5 Char"/>
    <w:basedOn w:val="DefaultParagraphFont"/>
    <w:link w:val="Heading5"/>
    <w:uiPriority w:val="9"/>
    <w:semiHidden/>
    <w:rsid w:val="00EB0282"/>
    <w:rPr>
      <w:caps/>
      <w:color w:val="365F91" w:themeColor="accent1" w:themeShade="BF"/>
      <w:spacing w:val="10"/>
    </w:rPr>
  </w:style>
  <w:style w:type="character" w:customStyle="1" w:styleId="Heading6Char">
    <w:name w:val="Heading 6 Char"/>
    <w:basedOn w:val="DefaultParagraphFont"/>
    <w:link w:val="Heading6"/>
    <w:uiPriority w:val="9"/>
    <w:semiHidden/>
    <w:rsid w:val="00EB0282"/>
    <w:rPr>
      <w:caps/>
      <w:color w:val="365F91" w:themeColor="accent1" w:themeShade="BF"/>
      <w:spacing w:val="10"/>
    </w:rPr>
  </w:style>
  <w:style w:type="character" w:customStyle="1" w:styleId="Heading7Char">
    <w:name w:val="Heading 7 Char"/>
    <w:basedOn w:val="DefaultParagraphFont"/>
    <w:link w:val="Heading7"/>
    <w:uiPriority w:val="9"/>
    <w:semiHidden/>
    <w:rsid w:val="00EB0282"/>
    <w:rPr>
      <w:caps/>
      <w:color w:val="365F91" w:themeColor="accent1" w:themeShade="BF"/>
      <w:spacing w:val="10"/>
    </w:rPr>
  </w:style>
  <w:style w:type="character" w:customStyle="1" w:styleId="Heading8Char">
    <w:name w:val="Heading 8 Char"/>
    <w:basedOn w:val="DefaultParagraphFont"/>
    <w:link w:val="Heading8"/>
    <w:uiPriority w:val="9"/>
    <w:semiHidden/>
    <w:rsid w:val="00EB0282"/>
    <w:rPr>
      <w:caps/>
      <w:spacing w:val="10"/>
      <w:sz w:val="18"/>
      <w:szCs w:val="18"/>
    </w:rPr>
  </w:style>
  <w:style w:type="character" w:customStyle="1" w:styleId="Heading9Char">
    <w:name w:val="Heading 9 Char"/>
    <w:basedOn w:val="DefaultParagraphFont"/>
    <w:link w:val="Heading9"/>
    <w:uiPriority w:val="9"/>
    <w:semiHidden/>
    <w:rsid w:val="00EB0282"/>
    <w:rPr>
      <w:i/>
      <w:caps/>
      <w:spacing w:val="10"/>
      <w:sz w:val="18"/>
      <w:szCs w:val="18"/>
    </w:rPr>
  </w:style>
  <w:style w:type="paragraph" w:styleId="Caption">
    <w:name w:val="caption"/>
    <w:basedOn w:val="Normal"/>
    <w:next w:val="Normal"/>
    <w:uiPriority w:val="35"/>
    <w:unhideWhenUsed/>
    <w:qFormat/>
    <w:rsid w:val="00EB0282"/>
    <w:rPr>
      <w:b/>
      <w:bCs/>
      <w:color w:val="365F91" w:themeColor="accent1" w:themeShade="BF"/>
      <w:sz w:val="16"/>
      <w:szCs w:val="16"/>
    </w:rPr>
  </w:style>
  <w:style w:type="paragraph" w:styleId="TOC1">
    <w:name w:val="toc 1"/>
    <w:basedOn w:val="Normal"/>
    <w:next w:val="Normal"/>
    <w:autoRedefine/>
    <w:uiPriority w:val="39"/>
    <w:unhideWhenUsed/>
    <w:rsid w:val="00A72951"/>
    <w:pPr>
      <w:spacing w:before="360" w:after="0"/>
    </w:pPr>
    <w:rPr>
      <w:rFonts w:cstheme="majorHAnsi"/>
      <w:b/>
      <w:bCs/>
      <w:caps/>
    </w:rPr>
  </w:style>
  <w:style w:type="paragraph" w:styleId="TOC2">
    <w:name w:val="toc 2"/>
    <w:basedOn w:val="Normal"/>
    <w:next w:val="Normal"/>
    <w:autoRedefine/>
    <w:uiPriority w:val="39"/>
    <w:unhideWhenUsed/>
    <w:rsid w:val="00A72951"/>
    <w:pPr>
      <w:spacing w:before="240" w:after="0"/>
    </w:pPr>
    <w:rPr>
      <w:b/>
      <w:bCs/>
    </w:rPr>
  </w:style>
  <w:style w:type="paragraph" w:styleId="TOC3">
    <w:name w:val="toc 3"/>
    <w:basedOn w:val="Normal"/>
    <w:next w:val="Normal"/>
    <w:autoRedefine/>
    <w:uiPriority w:val="39"/>
    <w:unhideWhenUsed/>
    <w:rsid w:val="00A72951"/>
    <w:pPr>
      <w:spacing w:after="0"/>
      <w:ind w:left="240"/>
    </w:pPr>
  </w:style>
  <w:style w:type="paragraph" w:styleId="TOC4">
    <w:name w:val="toc 4"/>
    <w:basedOn w:val="Normal"/>
    <w:next w:val="Normal"/>
    <w:autoRedefine/>
    <w:uiPriority w:val="39"/>
    <w:unhideWhenUsed/>
    <w:rsid w:val="00A72951"/>
    <w:pPr>
      <w:spacing w:after="0"/>
      <w:ind w:left="480"/>
    </w:pPr>
  </w:style>
  <w:style w:type="paragraph" w:styleId="TOC5">
    <w:name w:val="toc 5"/>
    <w:basedOn w:val="Normal"/>
    <w:next w:val="Normal"/>
    <w:autoRedefine/>
    <w:uiPriority w:val="39"/>
    <w:unhideWhenUsed/>
    <w:rsid w:val="00A72951"/>
    <w:pPr>
      <w:spacing w:after="0"/>
      <w:ind w:left="720"/>
    </w:pPr>
  </w:style>
  <w:style w:type="paragraph" w:styleId="TOC6">
    <w:name w:val="toc 6"/>
    <w:basedOn w:val="Normal"/>
    <w:next w:val="Normal"/>
    <w:autoRedefine/>
    <w:uiPriority w:val="39"/>
    <w:unhideWhenUsed/>
    <w:rsid w:val="00A72951"/>
    <w:pPr>
      <w:spacing w:after="0"/>
      <w:ind w:left="960"/>
    </w:pPr>
  </w:style>
  <w:style w:type="paragraph" w:styleId="TOC7">
    <w:name w:val="toc 7"/>
    <w:basedOn w:val="Normal"/>
    <w:next w:val="Normal"/>
    <w:autoRedefine/>
    <w:uiPriority w:val="39"/>
    <w:unhideWhenUsed/>
    <w:rsid w:val="00A72951"/>
    <w:pPr>
      <w:spacing w:after="0"/>
      <w:ind w:left="1200"/>
    </w:pPr>
  </w:style>
  <w:style w:type="paragraph" w:styleId="TOC8">
    <w:name w:val="toc 8"/>
    <w:basedOn w:val="Normal"/>
    <w:next w:val="Normal"/>
    <w:autoRedefine/>
    <w:uiPriority w:val="39"/>
    <w:unhideWhenUsed/>
    <w:rsid w:val="00A72951"/>
    <w:pPr>
      <w:spacing w:after="0"/>
      <w:ind w:left="1440"/>
    </w:pPr>
  </w:style>
  <w:style w:type="paragraph" w:styleId="TOC9">
    <w:name w:val="toc 9"/>
    <w:basedOn w:val="Normal"/>
    <w:next w:val="Normal"/>
    <w:autoRedefine/>
    <w:uiPriority w:val="39"/>
    <w:unhideWhenUsed/>
    <w:rsid w:val="00A72951"/>
    <w:pPr>
      <w:spacing w:after="0"/>
      <w:ind w:left="1680"/>
    </w:pPr>
  </w:style>
  <w:style w:type="paragraph" w:styleId="Title">
    <w:name w:val="Title"/>
    <w:basedOn w:val="Normal"/>
    <w:next w:val="Normal"/>
    <w:link w:val="TitleChar"/>
    <w:uiPriority w:val="10"/>
    <w:qFormat/>
    <w:rsid w:val="00EB028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B0282"/>
    <w:rPr>
      <w:caps/>
      <w:color w:val="4F81BD" w:themeColor="accent1"/>
      <w:spacing w:val="10"/>
      <w:kern w:val="28"/>
      <w:sz w:val="52"/>
      <w:szCs w:val="52"/>
    </w:rPr>
  </w:style>
  <w:style w:type="paragraph" w:styleId="Subtitle">
    <w:name w:val="Subtitle"/>
    <w:basedOn w:val="Normal"/>
    <w:next w:val="Normal"/>
    <w:link w:val="SubtitleChar"/>
    <w:uiPriority w:val="11"/>
    <w:qFormat/>
    <w:rsid w:val="00EB028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B0282"/>
    <w:rPr>
      <w:caps/>
      <w:color w:val="595959" w:themeColor="text1" w:themeTint="A6"/>
      <w:spacing w:val="10"/>
      <w:sz w:val="24"/>
      <w:szCs w:val="24"/>
    </w:rPr>
  </w:style>
  <w:style w:type="character" w:styleId="Strong">
    <w:name w:val="Strong"/>
    <w:uiPriority w:val="22"/>
    <w:qFormat/>
    <w:rsid w:val="00EB0282"/>
    <w:rPr>
      <w:b/>
      <w:bCs/>
    </w:rPr>
  </w:style>
  <w:style w:type="character" w:styleId="Emphasis">
    <w:name w:val="Emphasis"/>
    <w:uiPriority w:val="20"/>
    <w:qFormat/>
    <w:rsid w:val="00EB0282"/>
    <w:rPr>
      <w:caps/>
      <w:color w:val="243F60" w:themeColor="accent1" w:themeShade="7F"/>
      <w:spacing w:val="5"/>
    </w:rPr>
  </w:style>
  <w:style w:type="paragraph" w:styleId="NoSpacing">
    <w:name w:val="No Spacing"/>
    <w:basedOn w:val="Normal"/>
    <w:link w:val="NoSpacingChar"/>
    <w:uiPriority w:val="1"/>
    <w:qFormat/>
    <w:rsid w:val="00EB0282"/>
    <w:pPr>
      <w:spacing w:before="0" w:after="0" w:line="240" w:lineRule="auto"/>
    </w:pPr>
  </w:style>
  <w:style w:type="character" w:customStyle="1" w:styleId="NoSpacingChar">
    <w:name w:val="No Spacing Char"/>
    <w:basedOn w:val="DefaultParagraphFont"/>
    <w:link w:val="NoSpacing"/>
    <w:uiPriority w:val="1"/>
    <w:rsid w:val="00EB0282"/>
    <w:rPr>
      <w:sz w:val="20"/>
      <w:szCs w:val="20"/>
    </w:rPr>
  </w:style>
  <w:style w:type="paragraph" w:styleId="Quote">
    <w:name w:val="Quote"/>
    <w:basedOn w:val="Normal"/>
    <w:next w:val="Normal"/>
    <w:link w:val="QuoteChar"/>
    <w:uiPriority w:val="29"/>
    <w:qFormat/>
    <w:rsid w:val="00EB0282"/>
    <w:rPr>
      <w:i/>
      <w:iCs/>
    </w:rPr>
  </w:style>
  <w:style w:type="character" w:customStyle="1" w:styleId="QuoteChar">
    <w:name w:val="Quote Char"/>
    <w:basedOn w:val="DefaultParagraphFont"/>
    <w:link w:val="Quote"/>
    <w:uiPriority w:val="29"/>
    <w:rsid w:val="00EB0282"/>
    <w:rPr>
      <w:i/>
      <w:iCs/>
      <w:sz w:val="20"/>
      <w:szCs w:val="20"/>
    </w:rPr>
  </w:style>
  <w:style w:type="paragraph" w:styleId="IntenseQuote">
    <w:name w:val="Intense Quote"/>
    <w:basedOn w:val="Normal"/>
    <w:next w:val="Normal"/>
    <w:link w:val="IntenseQuoteChar"/>
    <w:uiPriority w:val="30"/>
    <w:qFormat/>
    <w:rsid w:val="00EB028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B0282"/>
    <w:rPr>
      <w:i/>
      <w:iCs/>
      <w:color w:val="4F81BD" w:themeColor="accent1"/>
      <w:sz w:val="20"/>
      <w:szCs w:val="20"/>
    </w:rPr>
  </w:style>
  <w:style w:type="character" w:styleId="SubtleEmphasis">
    <w:name w:val="Subtle Emphasis"/>
    <w:uiPriority w:val="19"/>
    <w:qFormat/>
    <w:rsid w:val="00EB0282"/>
    <w:rPr>
      <w:i/>
      <w:iCs/>
      <w:color w:val="243F60" w:themeColor="accent1" w:themeShade="7F"/>
    </w:rPr>
  </w:style>
  <w:style w:type="character" w:styleId="IntenseEmphasis">
    <w:name w:val="Intense Emphasis"/>
    <w:uiPriority w:val="21"/>
    <w:qFormat/>
    <w:rsid w:val="00EB0282"/>
    <w:rPr>
      <w:b/>
      <w:bCs/>
      <w:caps/>
      <w:color w:val="243F60" w:themeColor="accent1" w:themeShade="7F"/>
      <w:spacing w:val="10"/>
    </w:rPr>
  </w:style>
  <w:style w:type="character" w:styleId="SubtleReference">
    <w:name w:val="Subtle Reference"/>
    <w:uiPriority w:val="31"/>
    <w:qFormat/>
    <w:rsid w:val="00EB0282"/>
    <w:rPr>
      <w:b/>
      <w:bCs/>
      <w:color w:val="4F81BD" w:themeColor="accent1"/>
    </w:rPr>
  </w:style>
  <w:style w:type="character" w:styleId="IntenseReference">
    <w:name w:val="Intense Reference"/>
    <w:uiPriority w:val="32"/>
    <w:qFormat/>
    <w:rsid w:val="00EB0282"/>
    <w:rPr>
      <w:b/>
      <w:bCs/>
      <w:i/>
      <w:iCs/>
      <w:caps/>
      <w:color w:val="4F81BD" w:themeColor="accent1"/>
    </w:rPr>
  </w:style>
  <w:style w:type="character" w:styleId="BookTitle">
    <w:name w:val="Book Title"/>
    <w:uiPriority w:val="33"/>
    <w:qFormat/>
    <w:rsid w:val="00EB0282"/>
    <w:rPr>
      <w:b/>
      <w:bCs/>
      <w:i/>
      <w:iCs/>
      <w:spacing w:val="9"/>
    </w:rPr>
  </w:style>
  <w:style w:type="paragraph" w:styleId="TOCHeading">
    <w:name w:val="TOC Heading"/>
    <w:basedOn w:val="Heading1"/>
    <w:next w:val="Normal"/>
    <w:uiPriority w:val="39"/>
    <w:semiHidden/>
    <w:unhideWhenUsed/>
    <w:qFormat/>
    <w:rsid w:val="00EB0282"/>
    <w:pPr>
      <w:outlineLvl w:val="9"/>
    </w:pPr>
  </w:style>
  <w:style w:type="paragraph" w:styleId="Revision">
    <w:name w:val="Revision"/>
    <w:hidden/>
    <w:uiPriority w:val="99"/>
    <w:semiHidden/>
    <w:rsid w:val="00AB5549"/>
    <w:pPr>
      <w:spacing w:before="0" w:after="0" w:line="240" w:lineRule="auto"/>
    </w:pPr>
    <w:rPr>
      <w:sz w:val="20"/>
      <w:szCs w:val="20"/>
    </w:rPr>
  </w:style>
  <w:style w:type="character" w:styleId="UnresolvedMention">
    <w:name w:val="Unresolved Mention"/>
    <w:basedOn w:val="DefaultParagraphFont"/>
    <w:uiPriority w:val="99"/>
    <w:semiHidden/>
    <w:unhideWhenUsed/>
    <w:rsid w:val="00807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86">
      <w:bodyDiv w:val="1"/>
      <w:marLeft w:val="0"/>
      <w:marRight w:val="0"/>
      <w:marTop w:val="0"/>
      <w:marBottom w:val="0"/>
      <w:divBdr>
        <w:top w:val="none" w:sz="0" w:space="0" w:color="auto"/>
        <w:left w:val="none" w:sz="0" w:space="0" w:color="auto"/>
        <w:bottom w:val="none" w:sz="0" w:space="0" w:color="auto"/>
        <w:right w:val="none" w:sz="0" w:space="0" w:color="auto"/>
      </w:divBdr>
      <w:divsChild>
        <w:div w:id="581570024">
          <w:marLeft w:val="0"/>
          <w:marRight w:val="0"/>
          <w:marTop w:val="0"/>
          <w:marBottom w:val="0"/>
          <w:divBdr>
            <w:top w:val="none" w:sz="0" w:space="0" w:color="auto"/>
            <w:left w:val="none" w:sz="0" w:space="0" w:color="auto"/>
            <w:bottom w:val="none" w:sz="0" w:space="0" w:color="auto"/>
            <w:right w:val="none" w:sz="0" w:space="0" w:color="auto"/>
          </w:divBdr>
          <w:divsChild>
            <w:div w:id="639119204">
              <w:marLeft w:val="0"/>
              <w:marRight w:val="0"/>
              <w:marTop w:val="0"/>
              <w:marBottom w:val="0"/>
              <w:divBdr>
                <w:top w:val="none" w:sz="0" w:space="0" w:color="auto"/>
                <w:left w:val="none" w:sz="0" w:space="0" w:color="auto"/>
                <w:bottom w:val="none" w:sz="0" w:space="0" w:color="auto"/>
                <w:right w:val="none" w:sz="0" w:space="0" w:color="auto"/>
              </w:divBdr>
              <w:divsChild>
                <w:div w:id="2166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737">
      <w:bodyDiv w:val="1"/>
      <w:marLeft w:val="0"/>
      <w:marRight w:val="0"/>
      <w:marTop w:val="0"/>
      <w:marBottom w:val="0"/>
      <w:divBdr>
        <w:top w:val="none" w:sz="0" w:space="0" w:color="auto"/>
        <w:left w:val="none" w:sz="0" w:space="0" w:color="auto"/>
        <w:bottom w:val="none" w:sz="0" w:space="0" w:color="auto"/>
        <w:right w:val="none" w:sz="0" w:space="0" w:color="auto"/>
      </w:divBdr>
      <w:divsChild>
        <w:div w:id="2013023999">
          <w:marLeft w:val="547"/>
          <w:marRight w:val="0"/>
          <w:marTop w:val="96"/>
          <w:marBottom w:val="0"/>
          <w:divBdr>
            <w:top w:val="none" w:sz="0" w:space="0" w:color="auto"/>
            <w:left w:val="none" w:sz="0" w:space="0" w:color="auto"/>
            <w:bottom w:val="none" w:sz="0" w:space="0" w:color="auto"/>
            <w:right w:val="none" w:sz="0" w:space="0" w:color="auto"/>
          </w:divBdr>
        </w:div>
        <w:div w:id="390663139">
          <w:marLeft w:val="547"/>
          <w:marRight w:val="0"/>
          <w:marTop w:val="96"/>
          <w:marBottom w:val="0"/>
          <w:divBdr>
            <w:top w:val="none" w:sz="0" w:space="0" w:color="auto"/>
            <w:left w:val="none" w:sz="0" w:space="0" w:color="auto"/>
            <w:bottom w:val="none" w:sz="0" w:space="0" w:color="auto"/>
            <w:right w:val="none" w:sz="0" w:space="0" w:color="auto"/>
          </w:divBdr>
        </w:div>
        <w:div w:id="976684655">
          <w:marLeft w:val="547"/>
          <w:marRight w:val="0"/>
          <w:marTop w:val="96"/>
          <w:marBottom w:val="0"/>
          <w:divBdr>
            <w:top w:val="none" w:sz="0" w:space="0" w:color="auto"/>
            <w:left w:val="none" w:sz="0" w:space="0" w:color="auto"/>
            <w:bottom w:val="none" w:sz="0" w:space="0" w:color="auto"/>
            <w:right w:val="none" w:sz="0" w:space="0" w:color="auto"/>
          </w:divBdr>
        </w:div>
        <w:div w:id="2100324888">
          <w:marLeft w:val="547"/>
          <w:marRight w:val="0"/>
          <w:marTop w:val="96"/>
          <w:marBottom w:val="0"/>
          <w:divBdr>
            <w:top w:val="none" w:sz="0" w:space="0" w:color="auto"/>
            <w:left w:val="none" w:sz="0" w:space="0" w:color="auto"/>
            <w:bottom w:val="none" w:sz="0" w:space="0" w:color="auto"/>
            <w:right w:val="none" w:sz="0" w:space="0" w:color="auto"/>
          </w:divBdr>
        </w:div>
        <w:div w:id="102117222">
          <w:marLeft w:val="547"/>
          <w:marRight w:val="0"/>
          <w:marTop w:val="96"/>
          <w:marBottom w:val="0"/>
          <w:divBdr>
            <w:top w:val="none" w:sz="0" w:space="0" w:color="auto"/>
            <w:left w:val="none" w:sz="0" w:space="0" w:color="auto"/>
            <w:bottom w:val="none" w:sz="0" w:space="0" w:color="auto"/>
            <w:right w:val="none" w:sz="0" w:space="0" w:color="auto"/>
          </w:divBdr>
        </w:div>
        <w:div w:id="801192739">
          <w:marLeft w:val="1166"/>
          <w:marRight w:val="0"/>
          <w:marTop w:val="96"/>
          <w:marBottom w:val="0"/>
          <w:divBdr>
            <w:top w:val="none" w:sz="0" w:space="0" w:color="auto"/>
            <w:left w:val="none" w:sz="0" w:space="0" w:color="auto"/>
            <w:bottom w:val="none" w:sz="0" w:space="0" w:color="auto"/>
            <w:right w:val="none" w:sz="0" w:space="0" w:color="auto"/>
          </w:divBdr>
        </w:div>
        <w:div w:id="1931431883">
          <w:marLeft w:val="1166"/>
          <w:marRight w:val="0"/>
          <w:marTop w:val="96"/>
          <w:marBottom w:val="0"/>
          <w:divBdr>
            <w:top w:val="none" w:sz="0" w:space="0" w:color="auto"/>
            <w:left w:val="none" w:sz="0" w:space="0" w:color="auto"/>
            <w:bottom w:val="none" w:sz="0" w:space="0" w:color="auto"/>
            <w:right w:val="none" w:sz="0" w:space="0" w:color="auto"/>
          </w:divBdr>
        </w:div>
        <w:div w:id="2113351932">
          <w:marLeft w:val="1166"/>
          <w:marRight w:val="0"/>
          <w:marTop w:val="96"/>
          <w:marBottom w:val="0"/>
          <w:divBdr>
            <w:top w:val="none" w:sz="0" w:space="0" w:color="auto"/>
            <w:left w:val="none" w:sz="0" w:space="0" w:color="auto"/>
            <w:bottom w:val="none" w:sz="0" w:space="0" w:color="auto"/>
            <w:right w:val="none" w:sz="0" w:space="0" w:color="auto"/>
          </w:divBdr>
        </w:div>
        <w:div w:id="271134192">
          <w:marLeft w:val="1166"/>
          <w:marRight w:val="0"/>
          <w:marTop w:val="96"/>
          <w:marBottom w:val="0"/>
          <w:divBdr>
            <w:top w:val="none" w:sz="0" w:space="0" w:color="auto"/>
            <w:left w:val="none" w:sz="0" w:space="0" w:color="auto"/>
            <w:bottom w:val="none" w:sz="0" w:space="0" w:color="auto"/>
            <w:right w:val="none" w:sz="0" w:space="0" w:color="auto"/>
          </w:divBdr>
        </w:div>
        <w:div w:id="1649629554">
          <w:marLeft w:val="1166"/>
          <w:marRight w:val="0"/>
          <w:marTop w:val="96"/>
          <w:marBottom w:val="0"/>
          <w:divBdr>
            <w:top w:val="none" w:sz="0" w:space="0" w:color="auto"/>
            <w:left w:val="none" w:sz="0" w:space="0" w:color="auto"/>
            <w:bottom w:val="none" w:sz="0" w:space="0" w:color="auto"/>
            <w:right w:val="none" w:sz="0" w:space="0" w:color="auto"/>
          </w:divBdr>
        </w:div>
      </w:divsChild>
    </w:div>
    <w:div w:id="151795237">
      <w:bodyDiv w:val="1"/>
      <w:marLeft w:val="0"/>
      <w:marRight w:val="0"/>
      <w:marTop w:val="0"/>
      <w:marBottom w:val="0"/>
      <w:divBdr>
        <w:top w:val="none" w:sz="0" w:space="0" w:color="auto"/>
        <w:left w:val="none" w:sz="0" w:space="0" w:color="auto"/>
        <w:bottom w:val="none" w:sz="0" w:space="0" w:color="auto"/>
        <w:right w:val="none" w:sz="0" w:space="0" w:color="auto"/>
      </w:divBdr>
      <w:divsChild>
        <w:div w:id="1653173736">
          <w:marLeft w:val="0"/>
          <w:marRight w:val="0"/>
          <w:marTop w:val="0"/>
          <w:marBottom w:val="0"/>
          <w:divBdr>
            <w:top w:val="none" w:sz="0" w:space="0" w:color="auto"/>
            <w:left w:val="none" w:sz="0" w:space="0" w:color="auto"/>
            <w:bottom w:val="none" w:sz="0" w:space="0" w:color="auto"/>
            <w:right w:val="none" w:sz="0" w:space="0" w:color="auto"/>
          </w:divBdr>
          <w:divsChild>
            <w:div w:id="1048071976">
              <w:marLeft w:val="0"/>
              <w:marRight w:val="0"/>
              <w:marTop w:val="0"/>
              <w:marBottom w:val="0"/>
              <w:divBdr>
                <w:top w:val="none" w:sz="0" w:space="0" w:color="auto"/>
                <w:left w:val="none" w:sz="0" w:space="0" w:color="auto"/>
                <w:bottom w:val="none" w:sz="0" w:space="0" w:color="auto"/>
                <w:right w:val="none" w:sz="0" w:space="0" w:color="auto"/>
              </w:divBdr>
              <w:divsChild>
                <w:div w:id="620114258">
                  <w:marLeft w:val="0"/>
                  <w:marRight w:val="0"/>
                  <w:marTop w:val="0"/>
                  <w:marBottom w:val="0"/>
                  <w:divBdr>
                    <w:top w:val="none" w:sz="0" w:space="0" w:color="auto"/>
                    <w:left w:val="none" w:sz="0" w:space="0" w:color="auto"/>
                    <w:bottom w:val="none" w:sz="0" w:space="0" w:color="auto"/>
                    <w:right w:val="none" w:sz="0" w:space="0" w:color="auto"/>
                  </w:divBdr>
                  <w:divsChild>
                    <w:div w:id="4673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6320">
      <w:bodyDiv w:val="1"/>
      <w:marLeft w:val="0"/>
      <w:marRight w:val="0"/>
      <w:marTop w:val="0"/>
      <w:marBottom w:val="0"/>
      <w:divBdr>
        <w:top w:val="none" w:sz="0" w:space="0" w:color="auto"/>
        <w:left w:val="none" w:sz="0" w:space="0" w:color="auto"/>
        <w:bottom w:val="none" w:sz="0" w:space="0" w:color="auto"/>
        <w:right w:val="none" w:sz="0" w:space="0" w:color="auto"/>
      </w:divBdr>
      <w:divsChild>
        <w:div w:id="16781323">
          <w:marLeft w:val="547"/>
          <w:marRight w:val="0"/>
          <w:marTop w:val="91"/>
          <w:marBottom w:val="0"/>
          <w:divBdr>
            <w:top w:val="none" w:sz="0" w:space="0" w:color="auto"/>
            <w:left w:val="none" w:sz="0" w:space="0" w:color="auto"/>
            <w:bottom w:val="none" w:sz="0" w:space="0" w:color="auto"/>
            <w:right w:val="none" w:sz="0" w:space="0" w:color="auto"/>
          </w:divBdr>
        </w:div>
        <w:div w:id="380136040">
          <w:marLeft w:val="547"/>
          <w:marRight w:val="0"/>
          <w:marTop w:val="91"/>
          <w:marBottom w:val="0"/>
          <w:divBdr>
            <w:top w:val="none" w:sz="0" w:space="0" w:color="auto"/>
            <w:left w:val="none" w:sz="0" w:space="0" w:color="auto"/>
            <w:bottom w:val="none" w:sz="0" w:space="0" w:color="auto"/>
            <w:right w:val="none" w:sz="0" w:space="0" w:color="auto"/>
          </w:divBdr>
        </w:div>
        <w:div w:id="154761274">
          <w:marLeft w:val="547"/>
          <w:marRight w:val="0"/>
          <w:marTop w:val="91"/>
          <w:marBottom w:val="0"/>
          <w:divBdr>
            <w:top w:val="none" w:sz="0" w:space="0" w:color="auto"/>
            <w:left w:val="none" w:sz="0" w:space="0" w:color="auto"/>
            <w:bottom w:val="none" w:sz="0" w:space="0" w:color="auto"/>
            <w:right w:val="none" w:sz="0" w:space="0" w:color="auto"/>
          </w:divBdr>
        </w:div>
        <w:div w:id="433786813">
          <w:marLeft w:val="547"/>
          <w:marRight w:val="0"/>
          <w:marTop w:val="91"/>
          <w:marBottom w:val="0"/>
          <w:divBdr>
            <w:top w:val="none" w:sz="0" w:space="0" w:color="auto"/>
            <w:left w:val="none" w:sz="0" w:space="0" w:color="auto"/>
            <w:bottom w:val="none" w:sz="0" w:space="0" w:color="auto"/>
            <w:right w:val="none" w:sz="0" w:space="0" w:color="auto"/>
          </w:divBdr>
        </w:div>
        <w:div w:id="1441146651">
          <w:marLeft w:val="547"/>
          <w:marRight w:val="0"/>
          <w:marTop w:val="91"/>
          <w:marBottom w:val="0"/>
          <w:divBdr>
            <w:top w:val="none" w:sz="0" w:space="0" w:color="auto"/>
            <w:left w:val="none" w:sz="0" w:space="0" w:color="auto"/>
            <w:bottom w:val="none" w:sz="0" w:space="0" w:color="auto"/>
            <w:right w:val="none" w:sz="0" w:space="0" w:color="auto"/>
          </w:divBdr>
        </w:div>
        <w:div w:id="633218091">
          <w:marLeft w:val="547"/>
          <w:marRight w:val="0"/>
          <w:marTop w:val="91"/>
          <w:marBottom w:val="0"/>
          <w:divBdr>
            <w:top w:val="none" w:sz="0" w:space="0" w:color="auto"/>
            <w:left w:val="none" w:sz="0" w:space="0" w:color="auto"/>
            <w:bottom w:val="none" w:sz="0" w:space="0" w:color="auto"/>
            <w:right w:val="none" w:sz="0" w:space="0" w:color="auto"/>
          </w:divBdr>
        </w:div>
      </w:divsChild>
    </w:div>
    <w:div w:id="366226625">
      <w:bodyDiv w:val="1"/>
      <w:marLeft w:val="0"/>
      <w:marRight w:val="0"/>
      <w:marTop w:val="0"/>
      <w:marBottom w:val="0"/>
      <w:divBdr>
        <w:top w:val="none" w:sz="0" w:space="0" w:color="auto"/>
        <w:left w:val="none" w:sz="0" w:space="0" w:color="auto"/>
        <w:bottom w:val="none" w:sz="0" w:space="0" w:color="auto"/>
        <w:right w:val="none" w:sz="0" w:space="0" w:color="auto"/>
      </w:divBdr>
      <w:divsChild>
        <w:div w:id="457455383">
          <w:marLeft w:val="0"/>
          <w:marRight w:val="0"/>
          <w:marTop w:val="0"/>
          <w:marBottom w:val="0"/>
          <w:divBdr>
            <w:top w:val="none" w:sz="0" w:space="0" w:color="auto"/>
            <w:left w:val="none" w:sz="0" w:space="0" w:color="auto"/>
            <w:bottom w:val="none" w:sz="0" w:space="0" w:color="auto"/>
            <w:right w:val="none" w:sz="0" w:space="0" w:color="auto"/>
          </w:divBdr>
          <w:divsChild>
            <w:div w:id="1382905935">
              <w:marLeft w:val="0"/>
              <w:marRight w:val="0"/>
              <w:marTop w:val="0"/>
              <w:marBottom w:val="0"/>
              <w:divBdr>
                <w:top w:val="none" w:sz="0" w:space="0" w:color="auto"/>
                <w:left w:val="none" w:sz="0" w:space="0" w:color="auto"/>
                <w:bottom w:val="none" w:sz="0" w:space="0" w:color="auto"/>
                <w:right w:val="none" w:sz="0" w:space="0" w:color="auto"/>
              </w:divBdr>
              <w:divsChild>
                <w:div w:id="597837064">
                  <w:marLeft w:val="0"/>
                  <w:marRight w:val="0"/>
                  <w:marTop w:val="0"/>
                  <w:marBottom w:val="0"/>
                  <w:divBdr>
                    <w:top w:val="none" w:sz="0" w:space="0" w:color="auto"/>
                    <w:left w:val="none" w:sz="0" w:space="0" w:color="auto"/>
                    <w:bottom w:val="none" w:sz="0" w:space="0" w:color="auto"/>
                    <w:right w:val="none" w:sz="0" w:space="0" w:color="auto"/>
                  </w:divBdr>
                  <w:divsChild>
                    <w:div w:id="8157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2321">
      <w:bodyDiv w:val="1"/>
      <w:marLeft w:val="0"/>
      <w:marRight w:val="0"/>
      <w:marTop w:val="0"/>
      <w:marBottom w:val="0"/>
      <w:divBdr>
        <w:top w:val="none" w:sz="0" w:space="0" w:color="auto"/>
        <w:left w:val="none" w:sz="0" w:space="0" w:color="auto"/>
        <w:bottom w:val="none" w:sz="0" w:space="0" w:color="auto"/>
        <w:right w:val="none" w:sz="0" w:space="0" w:color="auto"/>
      </w:divBdr>
    </w:div>
    <w:div w:id="664434974">
      <w:bodyDiv w:val="1"/>
      <w:marLeft w:val="0"/>
      <w:marRight w:val="0"/>
      <w:marTop w:val="0"/>
      <w:marBottom w:val="0"/>
      <w:divBdr>
        <w:top w:val="none" w:sz="0" w:space="0" w:color="auto"/>
        <w:left w:val="none" w:sz="0" w:space="0" w:color="auto"/>
        <w:bottom w:val="none" w:sz="0" w:space="0" w:color="auto"/>
        <w:right w:val="none" w:sz="0" w:space="0" w:color="auto"/>
      </w:divBdr>
      <w:divsChild>
        <w:div w:id="501822205">
          <w:marLeft w:val="0"/>
          <w:marRight w:val="0"/>
          <w:marTop w:val="0"/>
          <w:marBottom w:val="0"/>
          <w:divBdr>
            <w:top w:val="none" w:sz="0" w:space="0" w:color="auto"/>
            <w:left w:val="none" w:sz="0" w:space="0" w:color="auto"/>
            <w:bottom w:val="none" w:sz="0" w:space="0" w:color="auto"/>
            <w:right w:val="none" w:sz="0" w:space="0" w:color="auto"/>
          </w:divBdr>
          <w:divsChild>
            <w:div w:id="1120731600">
              <w:marLeft w:val="0"/>
              <w:marRight w:val="0"/>
              <w:marTop w:val="0"/>
              <w:marBottom w:val="0"/>
              <w:divBdr>
                <w:top w:val="none" w:sz="0" w:space="0" w:color="auto"/>
                <w:left w:val="none" w:sz="0" w:space="0" w:color="auto"/>
                <w:bottom w:val="none" w:sz="0" w:space="0" w:color="auto"/>
                <w:right w:val="none" w:sz="0" w:space="0" w:color="auto"/>
              </w:divBdr>
              <w:divsChild>
                <w:div w:id="8335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0519">
      <w:bodyDiv w:val="1"/>
      <w:marLeft w:val="0"/>
      <w:marRight w:val="0"/>
      <w:marTop w:val="0"/>
      <w:marBottom w:val="0"/>
      <w:divBdr>
        <w:top w:val="none" w:sz="0" w:space="0" w:color="auto"/>
        <w:left w:val="none" w:sz="0" w:space="0" w:color="auto"/>
        <w:bottom w:val="none" w:sz="0" w:space="0" w:color="auto"/>
        <w:right w:val="none" w:sz="0" w:space="0" w:color="auto"/>
      </w:divBdr>
      <w:divsChild>
        <w:div w:id="986520439">
          <w:marLeft w:val="0"/>
          <w:marRight w:val="0"/>
          <w:marTop w:val="0"/>
          <w:marBottom w:val="0"/>
          <w:divBdr>
            <w:top w:val="none" w:sz="0" w:space="0" w:color="auto"/>
            <w:left w:val="none" w:sz="0" w:space="0" w:color="auto"/>
            <w:bottom w:val="none" w:sz="0" w:space="0" w:color="auto"/>
            <w:right w:val="none" w:sz="0" w:space="0" w:color="auto"/>
          </w:divBdr>
          <w:divsChild>
            <w:div w:id="1345598279">
              <w:marLeft w:val="0"/>
              <w:marRight w:val="0"/>
              <w:marTop w:val="0"/>
              <w:marBottom w:val="0"/>
              <w:divBdr>
                <w:top w:val="none" w:sz="0" w:space="0" w:color="auto"/>
                <w:left w:val="none" w:sz="0" w:space="0" w:color="auto"/>
                <w:bottom w:val="none" w:sz="0" w:space="0" w:color="auto"/>
                <w:right w:val="none" w:sz="0" w:space="0" w:color="auto"/>
              </w:divBdr>
              <w:divsChild>
                <w:div w:id="1838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6561">
      <w:bodyDiv w:val="1"/>
      <w:marLeft w:val="0"/>
      <w:marRight w:val="0"/>
      <w:marTop w:val="0"/>
      <w:marBottom w:val="0"/>
      <w:divBdr>
        <w:top w:val="none" w:sz="0" w:space="0" w:color="auto"/>
        <w:left w:val="none" w:sz="0" w:space="0" w:color="auto"/>
        <w:bottom w:val="none" w:sz="0" w:space="0" w:color="auto"/>
        <w:right w:val="none" w:sz="0" w:space="0" w:color="auto"/>
      </w:divBdr>
      <w:divsChild>
        <w:div w:id="1238439993">
          <w:marLeft w:val="547"/>
          <w:marRight w:val="0"/>
          <w:marTop w:val="96"/>
          <w:marBottom w:val="0"/>
          <w:divBdr>
            <w:top w:val="none" w:sz="0" w:space="0" w:color="auto"/>
            <w:left w:val="none" w:sz="0" w:space="0" w:color="auto"/>
            <w:bottom w:val="none" w:sz="0" w:space="0" w:color="auto"/>
            <w:right w:val="none" w:sz="0" w:space="0" w:color="auto"/>
          </w:divBdr>
        </w:div>
        <w:div w:id="1821263196">
          <w:marLeft w:val="1166"/>
          <w:marRight w:val="0"/>
          <w:marTop w:val="96"/>
          <w:marBottom w:val="0"/>
          <w:divBdr>
            <w:top w:val="none" w:sz="0" w:space="0" w:color="auto"/>
            <w:left w:val="none" w:sz="0" w:space="0" w:color="auto"/>
            <w:bottom w:val="none" w:sz="0" w:space="0" w:color="auto"/>
            <w:right w:val="none" w:sz="0" w:space="0" w:color="auto"/>
          </w:divBdr>
        </w:div>
        <w:div w:id="2048065621">
          <w:marLeft w:val="1166"/>
          <w:marRight w:val="0"/>
          <w:marTop w:val="96"/>
          <w:marBottom w:val="0"/>
          <w:divBdr>
            <w:top w:val="none" w:sz="0" w:space="0" w:color="auto"/>
            <w:left w:val="none" w:sz="0" w:space="0" w:color="auto"/>
            <w:bottom w:val="none" w:sz="0" w:space="0" w:color="auto"/>
            <w:right w:val="none" w:sz="0" w:space="0" w:color="auto"/>
          </w:divBdr>
        </w:div>
        <w:div w:id="780950613">
          <w:marLeft w:val="1166"/>
          <w:marRight w:val="0"/>
          <w:marTop w:val="96"/>
          <w:marBottom w:val="0"/>
          <w:divBdr>
            <w:top w:val="none" w:sz="0" w:space="0" w:color="auto"/>
            <w:left w:val="none" w:sz="0" w:space="0" w:color="auto"/>
            <w:bottom w:val="none" w:sz="0" w:space="0" w:color="auto"/>
            <w:right w:val="none" w:sz="0" w:space="0" w:color="auto"/>
          </w:divBdr>
        </w:div>
        <w:div w:id="113983729">
          <w:marLeft w:val="1166"/>
          <w:marRight w:val="0"/>
          <w:marTop w:val="96"/>
          <w:marBottom w:val="0"/>
          <w:divBdr>
            <w:top w:val="none" w:sz="0" w:space="0" w:color="auto"/>
            <w:left w:val="none" w:sz="0" w:space="0" w:color="auto"/>
            <w:bottom w:val="none" w:sz="0" w:space="0" w:color="auto"/>
            <w:right w:val="none" w:sz="0" w:space="0" w:color="auto"/>
          </w:divBdr>
        </w:div>
        <w:div w:id="542593179">
          <w:marLeft w:val="1166"/>
          <w:marRight w:val="0"/>
          <w:marTop w:val="96"/>
          <w:marBottom w:val="0"/>
          <w:divBdr>
            <w:top w:val="none" w:sz="0" w:space="0" w:color="auto"/>
            <w:left w:val="none" w:sz="0" w:space="0" w:color="auto"/>
            <w:bottom w:val="none" w:sz="0" w:space="0" w:color="auto"/>
            <w:right w:val="none" w:sz="0" w:space="0" w:color="auto"/>
          </w:divBdr>
        </w:div>
        <w:div w:id="366297428">
          <w:marLeft w:val="1166"/>
          <w:marRight w:val="0"/>
          <w:marTop w:val="96"/>
          <w:marBottom w:val="0"/>
          <w:divBdr>
            <w:top w:val="none" w:sz="0" w:space="0" w:color="auto"/>
            <w:left w:val="none" w:sz="0" w:space="0" w:color="auto"/>
            <w:bottom w:val="none" w:sz="0" w:space="0" w:color="auto"/>
            <w:right w:val="none" w:sz="0" w:space="0" w:color="auto"/>
          </w:divBdr>
        </w:div>
        <w:div w:id="1315527134">
          <w:marLeft w:val="1166"/>
          <w:marRight w:val="0"/>
          <w:marTop w:val="96"/>
          <w:marBottom w:val="0"/>
          <w:divBdr>
            <w:top w:val="none" w:sz="0" w:space="0" w:color="auto"/>
            <w:left w:val="none" w:sz="0" w:space="0" w:color="auto"/>
            <w:bottom w:val="none" w:sz="0" w:space="0" w:color="auto"/>
            <w:right w:val="none" w:sz="0" w:space="0" w:color="auto"/>
          </w:divBdr>
        </w:div>
        <w:div w:id="1964460085">
          <w:marLeft w:val="1166"/>
          <w:marRight w:val="0"/>
          <w:marTop w:val="96"/>
          <w:marBottom w:val="0"/>
          <w:divBdr>
            <w:top w:val="none" w:sz="0" w:space="0" w:color="auto"/>
            <w:left w:val="none" w:sz="0" w:space="0" w:color="auto"/>
            <w:bottom w:val="none" w:sz="0" w:space="0" w:color="auto"/>
            <w:right w:val="none" w:sz="0" w:space="0" w:color="auto"/>
          </w:divBdr>
        </w:div>
      </w:divsChild>
    </w:div>
    <w:div w:id="1132014767">
      <w:bodyDiv w:val="1"/>
      <w:marLeft w:val="0"/>
      <w:marRight w:val="0"/>
      <w:marTop w:val="0"/>
      <w:marBottom w:val="0"/>
      <w:divBdr>
        <w:top w:val="none" w:sz="0" w:space="0" w:color="auto"/>
        <w:left w:val="none" w:sz="0" w:space="0" w:color="auto"/>
        <w:bottom w:val="none" w:sz="0" w:space="0" w:color="auto"/>
        <w:right w:val="none" w:sz="0" w:space="0" w:color="auto"/>
      </w:divBdr>
      <w:divsChild>
        <w:div w:id="1757167052">
          <w:marLeft w:val="0"/>
          <w:marRight w:val="0"/>
          <w:marTop w:val="0"/>
          <w:marBottom w:val="0"/>
          <w:divBdr>
            <w:top w:val="none" w:sz="0" w:space="0" w:color="auto"/>
            <w:left w:val="none" w:sz="0" w:space="0" w:color="auto"/>
            <w:bottom w:val="none" w:sz="0" w:space="0" w:color="auto"/>
            <w:right w:val="none" w:sz="0" w:space="0" w:color="auto"/>
          </w:divBdr>
          <w:divsChild>
            <w:div w:id="1176456917">
              <w:marLeft w:val="0"/>
              <w:marRight w:val="0"/>
              <w:marTop w:val="0"/>
              <w:marBottom w:val="0"/>
              <w:divBdr>
                <w:top w:val="none" w:sz="0" w:space="0" w:color="auto"/>
                <w:left w:val="none" w:sz="0" w:space="0" w:color="auto"/>
                <w:bottom w:val="none" w:sz="0" w:space="0" w:color="auto"/>
                <w:right w:val="none" w:sz="0" w:space="0" w:color="auto"/>
              </w:divBdr>
              <w:divsChild>
                <w:div w:id="7247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818">
      <w:bodyDiv w:val="1"/>
      <w:marLeft w:val="0"/>
      <w:marRight w:val="0"/>
      <w:marTop w:val="0"/>
      <w:marBottom w:val="0"/>
      <w:divBdr>
        <w:top w:val="none" w:sz="0" w:space="0" w:color="auto"/>
        <w:left w:val="none" w:sz="0" w:space="0" w:color="auto"/>
        <w:bottom w:val="none" w:sz="0" w:space="0" w:color="auto"/>
        <w:right w:val="none" w:sz="0" w:space="0" w:color="auto"/>
      </w:divBdr>
      <w:divsChild>
        <w:div w:id="1533229142">
          <w:marLeft w:val="0"/>
          <w:marRight w:val="0"/>
          <w:marTop w:val="0"/>
          <w:marBottom w:val="0"/>
          <w:divBdr>
            <w:top w:val="none" w:sz="0" w:space="0" w:color="auto"/>
            <w:left w:val="none" w:sz="0" w:space="0" w:color="auto"/>
            <w:bottom w:val="none" w:sz="0" w:space="0" w:color="auto"/>
            <w:right w:val="none" w:sz="0" w:space="0" w:color="auto"/>
          </w:divBdr>
          <w:divsChild>
            <w:div w:id="511146188">
              <w:marLeft w:val="0"/>
              <w:marRight w:val="0"/>
              <w:marTop w:val="0"/>
              <w:marBottom w:val="0"/>
              <w:divBdr>
                <w:top w:val="none" w:sz="0" w:space="0" w:color="auto"/>
                <w:left w:val="none" w:sz="0" w:space="0" w:color="auto"/>
                <w:bottom w:val="none" w:sz="0" w:space="0" w:color="auto"/>
                <w:right w:val="none" w:sz="0" w:space="0" w:color="auto"/>
              </w:divBdr>
              <w:divsChild>
                <w:div w:id="7425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4745">
      <w:bodyDiv w:val="1"/>
      <w:marLeft w:val="0"/>
      <w:marRight w:val="0"/>
      <w:marTop w:val="0"/>
      <w:marBottom w:val="0"/>
      <w:divBdr>
        <w:top w:val="none" w:sz="0" w:space="0" w:color="auto"/>
        <w:left w:val="none" w:sz="0" w:space="0" w:color="auto"/>
        <w:bottom w:val="none" w:sz="0" w:space="0" w:color="auto"/>
        <w:right w:val="none" w:sz="0" w:space="0" w:color="auto"/>
      </w:divBdr>
    </w:div>
    <w:div w:id="1878201378">
      <w:bodyDiv w:val="1"/>
      <w:marLeft w:val="0"/>
      <w:marRight w:val="0"/>
      <w:marTop w:val="0"/>
      <w:marBottom w:val="0"/>
      <w:divBdr>
        <w:top w:val="none" w:sz="0" w:space="0" w:color="auto"/>
        <w:left w:val="none" w:sz="0" w:space="0" w:color="auto"/>
        <w:bottom w:val="none" w:sz="0" w:space="0" w:color="auto"/>
        <w:right w:val="none" w:sz="0" w:space="0" w:color="auto"/>
      </w:divBdr>
      <w:divsChild>
        <w:div w:id="354041456">
          <w:marLeft w:val="0"/>
          <w:marRight w:val="0"/>
          <w:marTop w:val="0"/>
          <w:marBottom w:val="0"/>
          <w:divBdr>
            <w:top w:val="none" w:sz="0" w:space="0" w:color="auto"/>
            <w:left w:val="none" w:sz="0" w:space="0" w:color="auto"/>
            <w:bottom w:val="none" w:sz="0" w:space="0" w:color="auto"/>
            <w:right w:val="none" w:sz="0" w:space="0" w:color="auto"/>
          </w:divBdr>
          <w:divsChild>
            <w:div w:id="1909725506">
              <w:marLeft w:val="0"/>
              <w:marRight w:val="0"/>
              <w:marTop w:val="0"/>
              <w:marBottom w:val="0"/>
              <w:divBdr>
                <w:top w:val="none" w:sz="0" w:space="0" w:color="auto"/>
                <w:left w:val="none" w:sz="0" w:space="0" w:color="auto"/>
                <w:bottom w:val="none" w:sz="0" w:space="0" w:color="auto"/>
                <w:right w:val="none" w:sz="0" w:space="0" w:color="auto"/>
              </w:divBdr>
              <w:divsChild>
                <w:div w:id="395127383">
                  <w:marLeft w:val="0"/>
                  <w:marRight w:val="0"/>
                  <w:marTop w:val="0"/>
                  <w:marBottom w:val="0"/>
                  <w:divBdr>
                    <w:top w:val="none" w:sz="0" w:space="0" w:color="auto"/>
                    <w:left w:val="none" w:sz="0" w:space="0" w:color="auto"/>
                    <w:bottom w:val="none" w:sz="0" w:space="0" w:color="auto"/>
                    <w:right w:val="none" w:sz="0" w:space="0" w:color="auto"/>
                  </w:divBdr>
                  <w:divsChild>
                    <w:div w:id="20338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1606">
      <w:bodyDiv w:val="1"/>
      <w:marLeft w:val="0"/>
      <w:marRight w:val="0"/>
      <w:marTop w:val="0"/>
      <w:marBottom w:val="0"/>
      <w:divBdr>
        <w:top w:val="none" w:sz="0" w:space="0" w:color="auto"/>
        <w:left w:val="none" w:sz="0" w:space="0" w:color="auto"/>
        <w:bottom w:val="none" w:sz="0" w:space="0" w:color="auto"/>
        <w:right w:val="none" w:sz="0" w:space="0" w:color="auto"/>
      </w:divBdr>
      <w:divsChild>
        <w:div w:id="1837333009">
          <w:marLeft w:val="547"/>
          <w:marRight w:val="0"/>
          <w:marTop w:val="96"/>
          <w:marBottom w:val="0"/>
          <w:divBdr>
            <w:top w:val="none" w:sz="0" w:space="0" w:color="auto"/>
            <w:left w:val="none" w:sz="0" w:space="0" w:color="auto"/>
            <w:bottom w:val="none" w:sz="0" w:space="0" w:color="auto"/>
            <w:right w:val="none" w:sz="0" w:space="0" w:color="auto"/>
          </w:divBdr>
        </w:div>
        <w:div w:id="596257293">
          <w:marLeft w:val="1166"/>
          <w:marRight w:val="0"/>
          <w:marTop w:val="96"/>
          <w:marBottom w:val="0"/>
          <w:divBdr>
            <w:top w:val="none" w:sz="0" w:space="0" w:color="auto"/>
            <w:left w:val="none" w:sz="0" w:space="0" w:color="auto"/>
            <w:bottom w:val="none" w:sz="0" w:space="0" w:color="auto"/>
            <w:right w:val="none" w:sz="0" w:space="0" w:color="auto"/>
          </w:divBdr>
        </w:div>
        <w:div w:id="1445728292">
          <w:marLeft w:val="1166"/>
          <w:marRight w:val="0"/>
          <w:marTop w:val="96"/>
          <w:marBottom w:val="0"/>
          <w:divBdr>
            <w:top w:val="none" w:sz="0" w:space="0" w:color="auto"/>
            <w:left w:val="none" w:sz="0" w:space="0" w:color="auto"/>
            <w:bottom w:val="none" w:sz="0" w:space="0" w:color="auto"/>
            <w:right w:val="none" w:sz="0" w:space="0" w:color="auto"/>
          </w:divBdr>
        </w:div>
        <w:div w:id="1331449031">
          <w:marLeft w:val="1166"/>
          <w:marRight w:val="0"/>
          <w:marTop w:val="96"/>
          <w:marBottom w:val="0"/>
          <w:divBdr>
            <w:top w:val="none" w:sz="0" w:space="0" w:color="auto"/>
            <w:left w:val="none" w:sz="0" w:space="0" w:color="auto"/>
            <w:bottom w:val="none" w:sz="0" w:space="0" w:color="auto"/>
            <w:right w:val="none" w:sz="0" w:space="0" w:color="auto"/>
          </w:divBdr>
        </w:div>
        <w:div w:id="1332610243">
          <w:marLeft w:val="1166"/>
          <w:marRight w:val="0"/>
          <w:marTop w:val="96"/>
          <w:marBottom w:val="0"/>
          <w:divBdr>
            <w:top w:val="none" w:sz="0" w:space="0" w:color="auto"/>
            <w:left w:val="none" w:sz="0" w:space="0" w:color="auto"/>
            <w:bottom w:val="none" w:sz="0" w:space="0" w:color="auto"/>
            <w:right w:val="none" w:sz="0" w:space="0" w:color="auto"/>
          </w:divBdr>
        </w:div>
        <w:div w:id="1832137743">
          <w:marLeft w:val="1166"/>
          <w:marRight w:val="0"/>
          <w:marTop w:val="96"/>
          <w:marBottom w:val="0"/>
          <w:divBdr>
            <w:top w:val="none" w:sz="0" w:space="0" w:color="auto"/>
            <w:left w:val="none" w:sz="0" w:space="0" w:color="auto"/>
            <w:bottom w:val="none" w:sz="0" w:space="0" w:color="auto"/>
            <w:right w:val="none" w:sz="0" w:space="0" w:color="auto"/>
          </w:divBdr>
        </w:div>
        <w:div w:id="1183587520">
          <w:marLeft w:val="1166"/>
          <w:marRight w:val="0"/>
          <w:marTop w:val="96"/>
          <w:marBottom w:val="0"/>
          <w:divBdr>
            <w:top w:val="none" w:sz="0" w:space="0" w:color="auto"/>
            <w:left w:val="none" w:sz="0" w:space="0" w:color="auto"/>
            <w:bottom w:val="none" w:sz="0" w:space="0" w:color="auto"/>
            <w:right w:val="none" w:sz="0" w:space="0" w:color="auto"/>
          </w:divBdr>
        </w:div>
        <w:div w:id="74717308">
          <w:marLeft w:val="1166"/>
          <w:marRight w:val="0"/>
          <w:marTop w:val="96"/>
          <w:marBottom w:val="0"/>
          <w:divBdr>
            <w:top w:val="none" w:sz="0" w:space="0" w:color="auto"/>
            <w:left w:val="none" w:sz="0" w:space="0" w:color="auto"/>
            <w:bottom w:val="none" w:sz="0" w:space="0" w:color="auto"/>
            <w:right w:val="none" w:sz="0" w:space="0" w:color="auto"/>
          </w:divBdr>
        </w:div>
        <w:div w:id="2091384905">
          <w:marLeft w:val="1166"/>
          <w:marRight w:val="0"/>
          <w:marTop w:val="96"/>
          <w:marBottom w:val="0"/>
          <w:divBdr>
            <w:top w:val="none" w:sz="0" w:space="0" w:color="auto"/>
            <w:left w:val="none" w:sz="0" w:space="0" w:color="auto"/>
            <w:bottom w:val="none" w:sz="0" w:space="0" w:color="auto"/>
            <w:right w:val="none" w:sz="0" w:space="0" w:color="auto"/>
          </w:divBdr>
        </w:div>
      </w:divsChild>
    </w:div>
    <w:div w:id="2095852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pempa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879C-C611-1840-9BE0-AA6B86C3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4995</Words>
  <Characters>27775</Characters>
  <Application>Microsoft Office Word</Application>
  <DocSecurity>0</DocSecurity>
  <Lines>661</Lines>
  <Paragraphs>360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Richard Maggs</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Maggs</dc:creator>
  <cp:keywords/>
  <dc:description/>
  <cp:lastModifiedBy>Richard Maggs</cp:lastModifiedBy>
  <cp:revision>5</cp:revision>
  <cp:lastPrinted>2018-12-07T20:13:00Z</cp:lastPrinted>
  <dcterms:created xsi:type="dcterms:W3CDTF">2019-03-06T13:57:00Z</dcterms:created>
  <dcterms:modified xsi:type="dcterms:W3CDTF">2019-03-06T14:16:00Z</dcterms:modified>
</cp:coreProperties>
</file>