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BCA" w:rsidRPr="008877B1" w:rsidRDefault="00D45CBF" w:rsidP="007A046B">
      <w:pPr>
        <w:jc w:val="left"/>
        <w:rPr>
          <w:rFonts w:ascii="Cambria" w:hAnsi="Cambria"/>
          <w:b/>
          <w:sz w:val="36"/>
        </w:rPr>
      </w:pPr>
      <w:bookmarkStart w:id="0" w:name="_GoBack"/>
      <w:bookmarkEnd w:id="0"/>
      <w:r>
        <w:rPr>
          <w:noProof/>
          <w:lang w:val="ru-RU" w:eastAsia="ru-RU"/>
        </w:rPr>
        <mc:AlternateContent>
          <mc:Choice Requires="wps">
            <w:drawing>
              <wp:anchor distT="0" distB="0" distL="114300" distR="114300" simplePos="0" relativeHeight="251656704" behindDoc="0" locked="0" layoutInCell="1" allowOverlap="1">
                <wp:simplePos x="0" y="0"/>
                <wp:positionH relativeFrom="margin">
                  <wp:posOffset>4829810</wp:posOffset>
                </wp:positionH>
                <wp:positionV relativeFrom="page">
                  <wp:posOffset>293370</wp:posOffset>
                </wp:positionV>
                <wp:extent cx="574040" cy="1044575"/>
                <wp:effectExtent l="0" t="0" r="0" b="0"/>
                <wp:wrapNone/>
                <wp:docPr id="132" name="Dreptunghi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4040" cy="1044575"/>
                        </a:xfrm>
                        <a:prstGeom prst="rect">
                          <a:avLst/>
                        </a:prstGeom>
                        <a:solidFill>
                          <a:srgbClr val="4F81BD"/>
                        </a:solidFill>
                        <a:ln w="25400" cap="flat" cmpd="sng" algn="ctr">
                          <a:noFill/>
                          <a:prstDash val="solid"/>
                        </a:ln>
                        <a:effectLst/>
                      </wps:spPr>
                      <wps:txbx>
                        <w:txbxContent>
                          <w:p w:rsidR="00295BCA" w:rsidRPr="0093416A" w:rsidRDefault="00295BCA">
                            <w:pPr>
                              <w:pStyle w:val="14"/>
                              <w:jc w:val="right"/>
                              <w:rPr>
                                <w:color w:val="0070C0"/>
                                <w:sz w:val="24"/>
                                <w:szCs w:val="24"/>
                              </w:rPr>
                            </w:pPr>
                            <w:r>
                              <w:rPr>
                                <w:color w:val="0070C0"/>
                                <w:sz w:val="24"/>
                                <w:szCs w:val="24"/>
                              </w:rPr>
                              <w:t xml:space="preserve">     </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Dreptunghi 132" o:spid="_x0000_s1026" style="position:absolute;margin-left:380.3pt;margin-top:23.1pt;width:45.2pt;height:82.25pt;z-index:251656704;visibility:visible;mso-wrap-style:square;mso-width-percent:76;mso-height-percent:98;mso-wrap-distance-left:9pt;mso-wrap-distance-top:0;mso-wrap-distance-right:9pt;mso-wrap-distance-bottom:0;mso-position-horizontal:absolute;mso-position-horizontal-relative:margin;mso-position-vertical:absolute;mso-position-vertical-relative:page;mso-width-percent:76;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" fillcolor="#4f81bd" stroked="f" strokeweight="2pt">
                <v:path arrowok="t"/>
                <o:lock v:ext="edit" aspectratio="t"/>
                <v:textbox inset="3.6pt,,3.6pt">
                  <w:txbxContent>
                    <w:p w:rsidR="00295BCA" w:rsidRPr="0093416A" w:rsidRDefault="00295BCA">
                      <w:pPr>
                        <w:pStyle w:val="14"/>
                        <w:jc w:val="right"/>
                        <w:rPr>
                          <w:color w:val="0070C0"/>
                          <w:sz w:val="24"/>
                          <w:szCs w:val="24"/>
                        </w:rPr>
                      </w:pPr>
                      <w:r>
                        <w:rPr>
                          <w:color w:val="0070C0"/>
                          <w:sz w:val="24"/>
                          <w:szCs w:val="24"/>
                        </w:rPr>
                        <w:t xml:space="preserve">     </w:t>
                      </w:r>
                    </w:p>
                  </w:txbxContent>
                </v:textbox>
                <w10:wrap anchorx="margin" anchory="page"/>
              </v:rect>
            </w:pict>
          </mc:Fallback>
        </mc:AlternateContent>
      </w:r>
      <w:r w:rsidR="008877B1">
        <w:t xml:space="preserve">                                                                                                   </w:t>
      </w:r>
      <w:r w:rsidR="008877B1">
        <w:rPr>
          <w:rFonts w:ascii="Cambria" w:hAnsi="Cambria"/>
          <w:b/>
          <w:sz w:val="36"/>
        </w:rPr>
        <w:t>PRILOG 1.</w:t>
      </w:r>
    </w:p>
    <w:p w:rsidR="00295BCA" w:rsidRPr="00295BCA" w:rsidRDefault="00D45CBF">
      <w:pPr>
        <w:spacing w:after="0"/>
        <w:jc w:val="left"/>
        <w:rPr>
          <w:b/>
          <w:sz w:val="32"/>
        </w:rPr>
      </w:pPr>
      <w:r>
        <w:rPr>
          <w:noProof/>
          <w:lang w:val="ru-RU" w:eastAsia="ru-RU"/>
        </w:rPr>
        <mc:AlternateContent>
          <mc:Choice Requires="wps">
            <w:drawing>
              <wp:anchor distT="0" distB="0" distL="114300" distR="114300" simplePos="0" relativeHeight="251658752" behindDoc="0" locked="0" layoutInCell="1" allowOverlap="1">
                <wp:simplePos x="0" y="0"/>
                <wp:positionH relativeFrom="column">
                  <wp:posOffset>-100330</wp:posOffset>
                </wp:positionH>
                <wp:positionV relativeFrom="paragraph">
                  <wp:posOffset>5952490</wp:posOffset>
                </wp:positionV>
                <wp:extent cx="4382770" cy="882650"/>
                <wp:effectExtent l="0" t="0" r="0" b="0"/>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2770" cy="882650"/>
                        </a:xfrm>
                        <a:prstGeom prst="rect">
                          <a:avLst/>
                        </a:prstGeom>
                        <a:solidFill>
                          <a:sysClr val="window" lastClr="FFFFFF"/>
                        </a:solidFill>
                        <a:ln w="6350">
                          <a:noFill/>
                        </a:ln>
                      </wps:spPr>
                      <wps:txbx>
                        <w:txbxContent>
                          <w:p w:rsidR="00F43328" w:rsidRPr="0093416A" w:rsidRDefault="00F43328" w:rsidP="00F43328">
                            <w:pPr>
                              <w:pStyle w:val="14"/>
                              <w:spacing w:before="40" w:after="40"/>
                              <w:rPr>
                                <w:b/>
                                <w:color w:val="0070C0"/>
                                <w:sz w:val="36"/>
                                <w:szCs w:val="40"/>
                              </w:rPr>
                            </w:pPr>
                            <w:r>
                              <w:rPr>
                                <w:b/>
                                <w:color w:val="0070C0"/>
                                <w:sz w:val="36"/>
                                <w:szCs w:val="40"/>
                              </w:rPr>
                              <w:t>Datum: …travanj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2" o:spid="_x0000_s1027" type="#_x0000_t202" style="position:absolute;margin-left:-7.9pt;margin-top:468.7pt;width:345.1pt;height:6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" fillcolor="window" stroked="f" strokeweight=".5pt">
                <v:path arrowok="t"/>
                <v:textbox>
                  <w:txbxContent>
                    <w:p w:rsidR="00F43328" w:rsidRPr="0093416A" w:rsidRDefault="00F43328" w:rsidP="00F43328">
                      <w:pPr>
                        <w:pStyle w:val="14"/>
                        <w:spacing w:before="40" w:after="40"/>
                        <w:rPr>
                          <w:b/>
                          <w:color w:val="0070C0"/>
                          <w:sz w:val="36"/>
                          <w:szCs w:val="40"/>
                        </w:rPr>
                      </w:pPr>
                      <w:r>
                        <w:rPr>
                          <w:b/>
                          <w:color w:val="0070C0"/>
                          <w:sz w:val="36"/>
                          <w:szCs w:val="40"/>
                        </w:rPr>
                        <w:t>Datum: …travanj 2019…………………</w:t>
                      </w:r>
                    </w:p>
                  </w:txbxContent>
                </v:textbox>
              </v:shape>
            </w:pict>
          </mc:Fallback>
        </mc:AlternateContent>
      </w:r>
      <w:r>
        <w:rPr>
          <w:noProof/>
          <w:lang w:val="ru-RU" w:eastAsia="ru-RU"/>
        </w:rPr>
        <mc:AlternateContent>
          <mc:Choice Requires="wps">
            <w:drawing>
              <wp:anchor distT="0" distB="0" distL="182880" distR="182880" simplePos="0" relativeHeight="251657728" behindDoc="0" locked="0" layoutInCell="1" allowOverlap="1">
                <wp:simplePos x="0" y="0"/>
                <wp:positionH relativeFrom="margin">
                  <wp:align>left</wp:align>
                </wp:positionH>
                <wp:positionV relativeFrom="page">
                  <wp:posOffset>2695575</wp:posOffset>
                </wp:positionV>
                <wp:extent cx="5833110" cy="6226810"/>
                <wp:effectExtent l="0" t="0" r="0" b="0"/>
                <wp:wrapSquare wrapText="bothSides"/>
                <wp:docPr id="131" name="Casetă tex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3110" cy="6226810"/>
                        </a:xfrm>
                        <a:prstGeom prst="rect">
                          <a:avLst/>
                        </a:prstGeom>
                        <a:noFill/>
                        <a:ln w="6350">
                          <a:noFill/>
                        </a:ln>
                        <a:effectLst/>
                      </wps:spPr>
                      <wps:txbx>
                        <w:txbxContent>
                          <w:p w:rsidR="00295BCA" w:rsidRPr="008877B1" w:rsidRDefault="00295BCA" w:rsidP="00295BCA">
                            <w:pPr>
                              <w:pStyle w:val="14"/>
                              <w:spacing w:before="40" w:after="560" w:line="216" w:lineRule="auto"/>
                              <w:jc w:val="center"/>
                              <w:rPr>
                                <w:b/>
                                <w:color w:val="4F81BD"/>
                                <w:sz w:val="72"/>
                                <w:szCs w:val="72"/>
                              </w:rPr>
                            </w:pPr>
                            <w:r>
                              <w:rPr>
                                <w:rFonts w:ascii="Cambria" w:hAnsi="Cambria"/>
                                <w:b/>
                                <w:smallCaps/>
                                <w:color w:val="0070C0"/>
                                <w:sz w:val="48"/>
                                <w:szCs w:val="20"/>
                              </w:rPr>
                              <w:t>Memorandum o planiranju angažmana</w:t>
                            </w:r>
                          </w:p>
                          <w:p w:rsidR="00295BCA" w:rsidRPr="008877B1" w:rsidRDefault="00295BCA">
                            <w:pPr>
                              <w:pStyle w:val="14"/>
                              <w:spacing w:before="40" w:after="40"/>
                              <w:rPr>
                                <w:b/>
                                <w:caps/>
                                <w:color w:val="215868"/>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rsidP="00295BCA">
                            <w:pPr>
                              <w:pStyle w:val="14"/>
                              <w:spacing w:before="40" w:after="40"/>
                              <w:rPr>
                                <w:b/>
                                <w:caps/>
                                <w:color w:val="215868"/>
                                <w:sz w:val="48"/>
                                <w:szCs w:val="72"/>
                              </w:rPr>
                            </w:pPr>
                            <w:r>
                              <w:rPr>
                                <w:b/>
                                <w:color w:val="0070C0"/>
                                <w:sz w:val="36"/>
                                <w:szCs w:val="40"/>
                              </w:rPr>
                              <w:t>Revizijski angažman: ...Revizija IT-a........................................</w:t>
                            </w:r>
                            <w:r w:rsidR="00034B53">
                              <w:rPr>
                                <w:b/>
                                <w:color w:val="0070C0"/>
                                <w:sz w:val="36"/>
                                <w:szCs w:val="40"/>
                              </w:rPr>
                              <w:t>.</w:t>
                            </w:r>
                          </w:p>
                          <w:p w:rsidR="00295BCA" w:rsidRPr="008877B1" w:rsidRDefault="00295BCA">
                            <w:pPr>
                              <w:pStyle w:val="14"/>
                              <w:spacing w:before="80" w:after="40"/>
                              <w:rPr>
                                <w:b/>
                                <w:caps/>
                                <w:color w:val="4BACC6"/>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asetă text 131" o:spid="_x0000_s1028" type="#_x0000_t202" style="position:absolute;margin-left:0;margin-top:212.25pt;width:459.3pt;height:490.3pt;z-index:251657728;visibility:visible;mso-wrap-style:square;mso-width-percent:0;mso-height-percent:0;mso-wrap-distance-left:14.4pt;mso-wrap-distance-top:0;mso-wrap-distance-right:14.4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" filled="f" stroked="f" strokeweight=".5pt">
                <v:path arrowok="t"/>
                <v:textbox inset="0,0,0,0">
                  <w:txbxContent>
                    <w:p w:rsidR="00295BCA" w:rsidRPr="008877B1" w:rsidRDefault="00295BCA" w:rsidP="00295BCA">
                      <w:pPr>
                        <w:pStyle w:val="14"/>
                        <w:spacing w:before="40" w:after="560" w:line="216" w:lineRule="auto"/>
                        <w:jc w:val="center"/>
                        <w:rPr>
                          <w:b/>
                          <w:color w:val="4F81BD"/>
                          <w:sz w:val="72"/>
                          <w:szCs w:val="72"/>
                        </w:rPr>
                      </w:pPr>
                      <w:r>
                        <w:rPr>
                          <w:rFonts w:ascii="Cambria" w:hAnsi="Cambria"/>
                          <w:b/>
                          <w:smallCaps/>
                          <w:color w:val="0070C0"/>
                          <w:sz w:val="48"/>
                          <w:szCs w:val="20"/>
                        </w:rPr>
                        <w:t>Memorandum o planiranju angažmana</w:t>
                      </w:r>
                    </w:p>
                    <w:p w:rsidR="00295BCA" w:rsidRPr="008877B1" w:rsidRDefault="00295BCA">
                      <w:pPr>
                        <w:pStyle w:val="14"/>
                        <w:spacing w:before="40" w:after="40"/>
                        <w:rPr>
                          <w:b/>
                          <w:caps/>
                          <w:color w:val="215868"/>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pPr>
                        <w:pStyle w:val="14"/>
                        <w:spacing w:before="80" w:after="40"/>
                        <w:rPr>
                          <w:b/>
                          <w:caps/>
                          <w:color w:val="4BACC6"/>
                          <w:sz w:val="72"/>
                          <w:szCs w:val="72"/>
                        </w:rPr>
                      </w:pPr>
                    </w:p>
                    <w:p w:rsidR="00295BCA" w:rsidRPr="008877B1" w:rsidRDefault="00295BCA" w:rsidP="00295BCA">
                      <w:pPr>
                        <w:pStyle w:val="14"/>
                        <w:spacing w:before="40" w:after="40"/>
                        <w:rPr>
                          <w:b/>
                          <w:caps/>
                          <w:color w:val="215868"/>
                          <w:sz w:val="48"/>
                          <w:szCs w:val="72"/>
                        </w:rPr>
                      </w:pPr>
                      <w:r>
                        <w:rPr>
                          <w:b/>
                          <w:color w:val="0070C0"/>
                          <w:sz w:val="36"/>
                          <w:szCs w:val="40"/>
                        </w:rPr>
                        <w:t>Revizijski angažman: ...Revizija IT-a........................................</w:t>
                      </w:r>
                      <w:r w:rsidR="00034B53">
                        <w:rPr>
                          <w:b/>
                          <w:color w:val="0070C0"/>
                          <w:sz w:val="36"/>
                          <w:szCs w:val="40"/>
                        </w:rPr>
                        <w:t>.</w:t>
                      </w:r>
                    </w:p>
                    <w:p w:rsidR="00295BCA" w:rsidRPr="008877B1" w:rsidRDefault="00295BCA">
                      <w:pPr>
                        <w:pStyle w:val="14"/>
                        <w:spacing w:before="80" w:after="40"/>
                        <w:rPr>
                          <w:b/>
                          <w:caps/>
                          <w:color w:val="4BACC6"/>
                          <w:sz w:val="72"/>
                          <w:szCs w:val="72"/>
                        </w:rPr>
                      </w:pPr>
                    </w:p>
                  </w:txbxContent>
                </v:textbox>
                <w10:wrap type="square" anchorx="margin" anchory="page"/>
              </v:shape>
            </w:pict>
          </mc:Fallback>
        </mc:AlternateContent>
      </w:r>
      <w:r w:rsidR="008877B1">
        <w:br w:type="page"/>
      </w:r>
    </w:p>
    <w:p w:rsidR="00322905" w:rsidRPr="008877B1" w:rsidRDefault="00322905" w:rsidP="008F5DD2">
      <w:pPr>
        <w:pStyle w:val="1"/>
        <w:numPr>
          <w:ilvl w:val="0"/>
          <w:numId w:val="29"/>
        </w:numPr>
        <w:rPr>
          <w:rFonts w:ascii="Cambria" w:hAnsi="Cambria"/>
        </w:rPr>
      </w:pPr>
      <w:r>
        <w:rPr>
          <w:rFonts w:ascii="Cambria" w:hAnsi="Cambria"/>
        </w:rPr>
        <w:lastRenderedPageBreak/>
        <w:t>Svrha i opravdanost angažmana</w:t>
      </w:r>
    </w:p>
    <w:p w:rsidR="00E411A0" w:rsidRPr="00E411A0" w:rsidRDefault="00E411A0" w:rsidP="00E411A0">
      <w:pPr>
        <w:rPr>
          <w:i/>
          <w:szCs w:val="24"/>
        </w:rPr>
      </w:pPr>
      <w:r>
        <w:rPr>
          <w:i/>
          <w:szCs w:val="24"/>
        </w:rPr>
        <w:t xml:space="preserve">Rok za provedbu novog sustava za upravljanje resursima SAP-HR u Ministarstvu gospodarstva jest 1. srpnja 2019. Posljednjih je godina nekoliko manjih i većih IT projekata u našem javnom sektoru završilo neuspjehom ili je proizvelo nekoliko nepredviđenih problema (financijskih, operativnih i organizacijskih). Glavni tajnik Ministarstva želi spriječiti takve neuspjehe u budućnosti. Novi sustav SAP stoga će se uvesti samo ako bude postojala razumna razina sigurnosti da će sustav ispuniti očekivanja te da će potencijalni nedostaci i rizici biti izbjegnuti koliko je god moguće. Glavni tajnik zatražio je od odjela za reviziju dodatna uvjerenja u pogledu tih pitanja, kao i u pogledu upravljanja provedbom samog projekta.  </w:t>
      </w:r>
    </w:p>
    <w:p w:rsidR="00322905" w:rsidRPr="008877B1" w:rsidRDefault="00322905" w:rsidP="00BD027D">
      <w:pPr>
        <w:pStyle w:val="1"/>
        <w:spacing w:before="0"/>
        <w:ind w:left="482" w:hanging="482"/>
        <w:rPr>
          <w:rFonts w:ascii="Cambria" w:hAnsi="Cambria"/>
        </w:rPr>
      </w:pPr>
      <w:r>
        <w:rPr>
          <w:rFonts w:ascii="Cambria" w:hAnsi="Cambria"/>
        </w:rPr>
        <w:t>Opis aktivnosti subjekta i postupka nad kojim se provodi revizija</w:t>
      </w:r>
    </w:p>
    <w:p w:rsidR="00322905" w:rsidRPr="008877B1" w:rsidRDefault="00322905" w:rsidP="00752FDC">
      <w:pPr>
        <w:pStyle w:val="20"/>
        <w:numPr>
          <w:ilvl w:val="0"/>
          <w:numId w:val="0"/>
        </w:numPr>
        <w:ind w:left="862" w:hanging="720"/>
        <w:rPr>
          <w:rFonts w:ascii="Cambria" w:hAnsi="Cambria"/>
        </w:rPr>
      </w:pPr>
      <w:r>
        <w:rPr>
          <w:rFonts w:ascii="Cambria" w:hAnsi="Cambria"/>
        </w:rPr>
        <w:t>Postupak nad kojim se provodi revizija</w:t>
      </w:r>
    </w:p>
    <w:p w:rsidR="00251629" w:rsidRPr="00646D61" w:rsidRDefault="00251629" w:rsidP="00251629">
      <w:pPr>
        <w:rPr>
          <w:i/>
          <w:szCs w:val="24"/>
        </w:rPr>
      </w:pPr>
      <w:r>
        <w:rPr>
          <w:i/>
          <w:szCs w:val="24"/>
        </w:rPr>
        <w:t xml:space="preserve">Sustav SAP-HR uvest će se putem privremene organizacije projekta odgovorne za besprijekornu provedbu. Novi sustav SAP-HR integrirat će sljedeće postupke:  obračun plaće, administracija zaposlenika, vremenska organizacija, organizacija putovanja, pravno izvještavanje. </w:t>
      </w:r>
    </w:p>
    <w:p w:rsidR="00251629" w:rsidRPr="00646D61" w:rsidRDefault="00251629" w:rsidP="00251629">
      <w:pPr>
        <w:rPr>
          <w:i/>
          <w:szCs w:val="24"/>
        </w:rPr>
      </w:pPr>
      <w:r>
        <w:rPr>
          <w:i/>
          <w:szCs w:val="24"/>
        </w:rPr>
        <w:t xml:space="preserve">Projektni tim čine voditelj projekta, zaposlenici odjela IT-a i vanjski savjetnik za SAP. Voditelj informacijskog odjela snosi potpunu odgovornost za projekt. Prema planu projekta, projekt je osmišljen u skladu s načelima upravljanja metode Prince-2 (Projekti u kontroliranim uvjetima 2). </w:t>
      </w:r>
    </w:p>
    <w:p w:rsidR="00251629" w:rsidRPr="00646D61" w:rsidRDefault="00251629" w:rsidP="00251629">
      <w:pPr>
        <w:rPr>
          <w:i/>
          <w:szCs w:val="24"/>
        </w:rPr>
      </w:pPr>
      <w:r>
        <w:rPr>
          <w:i/>
          <w:szCs w:val="24"/>
        </w:rPr>
        <w:t xml:space="preserve">Provedba se planira kroz sljedeće faze: </w:t>
      </w:r>
    </w:p>
    <w:p w:rsidR="00251629" w:rsidRPr="00646D61" w:rsidRDefault="00251629" w:rsidP="00251629">
      <w:pPr>
        <w:pStyle w:val="ColorfulList-Accent11"/>
        <w:numPr>
          <w:ilvl w:val="0"/>
          <w:numId w:val="41"/>
        </w:numPr>
        <w:spacing w:after="160" w:line="259" w:lineRule="auto"/>
        <w:jc w:val="left"/>
        <w:rPr>
          <w:i/>
          <w:szCs w:val="24"/>
        </w:rPr>
      </w:pPr>
      <w:r>
        <w:rPr>
          <w:i/>
          <w:szCs w:val="24"/>
        </w:rPr>
        <w:t>ocjena trenutačne situacije;</w:t>
      </w:r>
    </w:p>
    <w:p w:rsidR="00251629" w:rsidRPr="00646D61" w:rsidRDefault="00251629" w:rsidP="00251629">
      <w:pPr>
        <w:pStyle w:val="ColorfulList-Accent11"/>
        <w:numPr>
          <w:ilvl w:val="0"/>
          <w:numId w:val="41"/>
        </w:numPr>
        <w:spacing w:after="160" w:line="259" w:lineRule="auto"/>
        <w:jc w:val="left"/>
        <w:rPr>
          <w:i/>
          <w:szCs w:val="24"/>
        </w:rPr>
      </w:pPr>
      <w:r>
        <w:rPr>
          <w:i/>
          <w:szCs w:val="24"/>
        </w:rPr>
        <w:t>promjena plana upravljanja (+plan kontinuiteta);</w:t>
      </w:r>
    </w:p>
    <w:p w:rsidR="00251629" w:rsidRPr="00646D61" w:rsidRDefault="00251629" w:rsidP="00251629">
      <w:pPr>
        <w:pStyle w:val="ColorfulList-Accent11"/>
        <w:numPr>
          <w:ilvl w:val="0"/>
          <w:numId w:val="41"/>
        </w:numPr>
        <w:spacing w:after="160" w:line="259" w:lineRule="auto"/>
        <w:jc w:val="left"/>
        <w:rPr>
          <w:i/>
          <w:szCs w:val="24"/>
        </w:rPr>
      </w:pPr>
      <w:r>
        <w:rPr>
          <w:i/>
          <w:szCs w:val="24"/>
        </w:rPr>
        <w:t>izvršenje faze testiranja;</w:t>
      </w:r>
    </w:p>
    <w:p w:rsidR="00251629" w:rsidRPr="00646D61" w:rsidRDefault="00251629" w:rsidP="00251629">
      <w:pPr>
        <w:pStyle w:val="ColorfulList-Accent11"/>
        <w:numPr>
          <w:ilvl w:val="0"/>
          <w:numId w:val="41"/>
        </w:numPr>
        <w:spacing w:after="160" w:line="259" w:lineRule="auto"/>
        <w:jc w:val="left"/>
        <w:rPr>
          <w:i/>
          <w:szCs w:val="24"/>
        </w:rPr>
      </w:pPr>
      <w:r>
        <w:rPr>
          <w:i/>
          <w:szCs w:val="24"/>
        </w:rPr>
        <w:t>premještaj na novi sustav: pokretanje sustava 1. srpnja.</w:t>
      </w:r>
    </w:p>
    <w:p w:rsidR="00251629" w:rsidRPr="00646D61" w:rsidRDefault="00251629" w:rsidP="00251629">
      <w:pPr>
        <w:rPr>
          <w:i/>
          <w:szCs w:val="24"/>
        </w:rPr>
      </w:pPr>
      <w:r>
        <w:rPr>
          <w:i/>
          <w:szCs w:val="24"/>
        </w:rPr>
        <w:t xml:space="preserve">Ključni ciljevi utvrđeni za prijelaz na novi sustav jesu: </w:t>
      </w:r>
    </w:p>
    <w:p w:rsidR="00251629" w:rsidRPr="00646D61" w:rsidRDefault="00251629" w:rsidP="00251629">
      <w:pPr>
        <w:autoSpaceDE w:val="0"/>
        <w:autoSpaceDN w:val="0"/>
        <w:adjustRightInd w:val="0"/>
        <w:spacing w:after="0"/>
        <w:rPr>
          <w:i/>
          <w:szCs w:val="24"/>
        </w:rPr>
      </w:pPr>
      <w:r>
        <w:rPr>
          <w:i/>
          <w:szCs w:val="24"/>
        </w:rPr>
        <w:t>•• poboljšati usluge koje pruža odjel ljudskih resursa;</w:t>
      </w:r>
    </w:p>
    <w:p w:rsidR="00251629" w:rsidRPr="00646D61" w:rsidRDefault="00251629" w:rsidP="00251629">
      <w:pPr>
        <w:autoSpaceDE w:val="0"/>
        <w:autoSpaceDN w:val="0"/>
        <w:adjustRightInd w:val="0"/>
        <w:spacing w:after="0"/>
        <w:rPr>
          <w:i/>
          <w:szCs w:val="24"/>
        </w:rPr>
      </w:pPr>
      <w:r>
        <w:rPr>
          <w:i/>
          <w:szCs w:val="24"/>
        </w:rPr>
        <w:t>•• donositi bolje odluke na učinkovitiji način (cilj uprave);</w:t>
      </w:r>
    </w:p>
    <w:p w:rsidR="00251629" w:rsidRPr="00646D61" w:rsidRDefault="00251629" w:rsidP="00251629">
      <w:pPr>
        <w:autoSpaceDE w:val="0"/>
        <w:autoSpaceDN w:val="0"/>
        <w:adjustRightInd w:val="0"/>
        <w:spacing w:after="0"/>
        <w:rPr>
          <w:i/>
          <w:szCs w:val="24"/>
        </w:rPr>
      </w:pPr>
      <w:r>
        <w:rPr>
          <w:i/>
          <w:szCs w:val="24"/>
        </w:rPr>
        <w:t>•• poboljšati protok informacija među različitim odjelima;</w:t>
      </w:r>
    </w:p>
    <w:p w:rsidR="00251629" w:rsidRPr="00646D61" w:rsidRDefault="00251629" w:rsidP="00251629">
      <w:pPr>
        <w:autoSpaceDE w:val="0"/>
        <w:autoSpaceDN w:val="0"/>
        <w:adjustRightInd w:val="0"/>
        <w:spacing w:after="0"/>
        <w:rPr>
          <w:i/>
          <w:szCs w:val="24"/>
        </w:rPr>
      </w:pPr>
      <w:r>
        <w:rPr>
          <w:i/>
          <w:szCs w:val="24"/>
        </w:rPr>
        <w:t>•• modernizirati IT platformu za postupke povezane s ljudskim resursima;</w:t>
      </w:r>
    </w:p>
    <w:p w:rsidR="00251629" w:rsidRPr="00646D61" w:rsidRDefault="00251629" w:rsidP="00251629">
      <w:pPr>
        <w:autoSpaceDE w:val="0"/>
        <w:autoSpaceDN w:val="0"/>
        <w:adjustRightInd w:val="0"/>
        <w:spacing w:after="0"/>
        <w:rPr>
          <w:i/>
          <w:szCs w:val="24"/>
        </w:rPr>
      </w:pPr>
      <w:r>
        <w:rPr>
          <w:i/>
          <w:szCs w:val="24"/>
        </w:rPr>
        <w:t>•• jedinstvena točka pristupa i informacije za podatke o ljudskim resursima;</w:t>
      </w:r>
    </w:p>
    <w:p w:rsidR="00251629" w:rsidRPr="00646D61" w:rsidRDefault="00251629" w:rsidP="00251629">
      <w:pPr>
        <w:autoSpaceDE w:val="0"/>
        <w:autoSpaceDN w:val="0"/>
        <w:adjustRightInd w:val="0"/>
        <w:spacing w:after="0"/>
        <w:rPr>
          <w:i/>
          <w:szCs w:val="24"/>
        </w:rPr>
      </w:pPr>
      <w:r>
        <w:rPr>
          <w:i/>
          <w:szCs w:val="24"/>
        </w:rPr>
        <w:t>•• uklanjanje zadataka koji se obavljaju ručno, manje pogrešaka;</w:t>
      </w:r>
    </w:p>
    <w:p w:rsidR="00251629" w:rsidRPr="00646D61" w:rsidRDefault="00251629" w:rsidP="00251629">
      <w:pPr>
        <w:autoSpaceDE w:val="0"/>
        <w:autoSpaceDN w:val="0"/>
        <w:adjustRightInd w:val="0"/>
        <w:spacing w:after="0"/>
        <w:rPr>
          <w:i/>
          <w:szCs w:val="24"/>
        </w:rPr>
      </w:pPr>
      <w:r>
        <w:rPr>
          <w:i/>
          <w:szCs w:val="24"/>
        </w:rPr>
        <w:t>•• bolja integracija i transparentnost postupaka;</w:t>
      </w:r>
    </w:p>
    <w:p w:rsidR="00251629" w:rsidRPr="00646D61" w:rsidRDefault="00251629" w:rsidP="00251629">
      <w:pPr>
        <w:autoSpaceDE w:val="0"/>
        <w:autoSpaceDN w:val="0"/>
        <w:adjustRightInd w:val="0"/>
        <w:spacing w:after="0"/>
        <w:rPr>
          <w:i/>
          <w:szCs w:val="24"/>
        </w:rPr>
      </w:pPr>
      <w:r>
        <w:rPr>
          <w:i/>
          <w:szCs w:val="24"/>
        </w:rPr>
        <w:t>•• više produktivnosti i učinkovitosti;</w:t>
      </w:r>
    </w:p>
    <w:p w:rsidR="00251629" w:rsidRPr="00646D61" w:rsidRDefault="00251629" w:rsidP="00251629">
      <w:pPr>
        <w:autoSpaceDE w:val="0"/>
        <w:autoSpaceDN w:val="0"/>
        <w:adjustRightInd w:val="0"/>
        <w:spacing w:after="0"/>
        <w:rPr>
          <w:i/>
          <w:szCs w:val="24"/>
        </w:rPr>
      </w:pPr>
      <w:r>
        <w:rPr>
          <w:i/>
          <w:szCs w:val="24"/>
        </w:rPr>
        <w:t>•• manji operativni troškovi uklanjanjem zastarjelih sustava.</w:t>
      </w:r>
    </w:p>
    <w:p w:rsidR="00752FDC" w:rsidRPr="00646D61" w:rsidRDefault="00752FDC" w:rsidP="00752FDC">
      <w:pPr>
        <w:pStyle w:val="1"/>
        <w:numPr>
          <w:ilvl w:val="0"/>
          <w:numId w:val="0"/>
        </w:numPr>
        <w:spacing w:before="0"/>
        <w:ind w:left="482"/>
        <w:rPr>
          <w:rFonts w:ascii="Cambria" w:hAnsi="Cambria"/>
          <w:i/>
          <w:lang w:val="en-US"/>
        </w:rPr>
      </w:pPr>
    </w:p>
    <w:p w:rsidR="00322905" w:rsidRDefault="00322905" w:rsidP="00752FDC">
      <w:pPr>
        <w:pStyle w:val="1"/>
      </w:pPr>
      <w:r>
        <w:t>Glavni rizici povezani s postupcima nad kojima se provodi revizija</w:t>
      </w:r>
    </w:p>
    <w:p w:rsidR="00752FDC" w:rsidRPr="00646D61" w:rsidRDefault="00752FDC" w:rsidP="00752FDC">
      <w:pPr>
        <w:autoSpaceDE w:val="0"/>
        <w:autoSpaceDN w:val="0"/>
        <w:adjustRightInd w:val="0"/>
        <w:spacing w:after="0"/>
        <w:rPr>
          <w:i/>
          <w:szCs w:val="24"/>
        </w:rPr>
      </w:pPr>
      <w:r>
        <w:rPr>
          <w:i/>
          <w:szCs w:val="24"/>
        </w:rPr>
        <w:t xml:space="preserve">Tipični rizici u provedbi sličnih sustava (i prijelazu na njih) obično se definiraju s pomoću triju načela ovlaštenih unutarnjih revizora: </w:t>
      </w:r>
      <w:r w:rsidRPr="007773E5">
        <w:rPr>
          <w:b/>
          <w:i/>
          <w:szCs w:val="24"/>
        </w:rPr>
        <w:t>p</w:t>
      </w:r>
      <w:r>
        <w:rPr>
          <w:i/>
          <w:szCs w:val="24"/>
        </w:rPr>
        <w:t xml:space="preserve">ovjerljivost (rizik od gubitka/odavanja ključnih ili privatnih informacija trećim osobama), </w:t>
      </w:r>
      <w:r w:rsidRPr="007773E5">
        <w:rPr>
          <w:b/>
          <w:i/>
          <w:szCs w:val="24"/>
        </w:rPr>
        <w:t>i</w:t>
      </w:r>
      <w:r>
        <w:rPr>
          <w:i/>
          <w:szCs w:val="24"/>
        </w:rPr>
        <w:t xml:space="preserve">ntegritet (vjerodostojnost podataka koje pruža sustav) i </w:t>
      </w:r>
      <w:r w:rsidRPr="007773E5">
        <w:rPr>
          <w:b/>
          <w:i/>
          <w:szCs w:val="24"/>
        </w:rPr>
        <w:t>d</w:t>
      </w:r>
      <w:r>
        <w:rPr>
          <w:i/>
          <w:szCs w:val="24"/>
        </w:rPr>
        <w:t>ostupnost (kontinuitet, sigurnosno kopiranje i oporavak itd.). Općenito, trebala bi se uspostaviti dovoljna kombinacija kontrola aplikacije i općih kontrola radi suočavanja s rizicima koji su povezani s tim trima načelima.</w:t>
      </w:r>
    </w:p>
    <w:p w:rsidR="00752FDC" w:rsidRPr="00646D61" w:rsidRDefault="00752FDC" w:rsidP="00752FDC">
      <w:pPr>
        <w:autoSpaceDE w:val="0"/>
        <w:autoSpaceDN w:val="0"/>
        <w:adjustRightInd w:val="0"/>
        <w:spacing w:after="0"/>
        <w:rPr>
          <w:i/>
          <w:szCs w:val="24"/>
        </w:rPr>
      </w:pPr>
      <w:r>
        <w:rPr>
          <w:i/>
          <w:szCs w:val="24"/>
        </w:rPr>
        <w:lastRenderedPageBreak/>
        <w:t>Drugi se rizici povezuju s pristupom na temelju vrste faze strukture projekta koji bi trebao otvoriti put uspješnoj provedbi novog sustava: rizici u pogledu odgovarajućih aranžmana upravljanja samog projekta IT-a.</w:t>
      </w:r>
    </w:p>
    <w:p w:rsidR="00752FDC" w:rsidRPr="00752FDC" w:rsidRDefault="00752FDC" w:rsidP="00752FDC">
      <w:pPr>
        <w:pStyle w:val="Text1"/>
      </w:pPr>
    </w:p>
    <w:p w:rsidR="00322905" w:rsidRPr="008877B1" w:rsidRDefault="00322905" w:rsidP="00AC70EB">
      <w:pPr>
        <w:pStyle w:val="1"/>
        <w:spacing w:before="0"/>
        <w:rPr>
          <w:rFonts w:ascii="Cambria" w:hAnsi="Cambria"/>
        </w:rPr>
      </w:pPr>
      <w:r>
        <w:rPr>
          <w:rFonts w:ascii="Cambria" w:hAnsi="Cambria"/>
        </w:rPr>
        <w:t>Cilj(evi) i obuhvat revizijskog angažmana</w:t>
      </w:r>
    </w:p>
    <w:p w:rsidR="00E411A0" w:rsidRPr="00646D61" w:rsidRDefault="00E411A0" w:rsidP="00E411A0">
      <w:pPr>
        <w:autoSpaceDE w:val="0"/>
        <w:autoSpaceDN w:val="0"/>
        <w:adjustRightInd w:val="0"/>
        <w:spacing w:after="0"/>
        <w:rPr>
          <w:i/>
          <w:szCs w:val="24"/>
        </w:rPr>
      </w:pPr>
      <w:r>
        <w:rPr>
          <w:i/>
          <w:szCs w:val="24"/>
        </w:rPr>
        <w:t>Cilj je revizije dati razumno uvjerenje za sljedeća ključna pitanja revizije:</w:t>
      </w:r>
    </w:p>
    <w:p w:rsidR="00E411A0" w:rsidRPr="00646D61" w:rsidRDefault="00E411A0" w:rsidP="00E411A0">
      <w:pPr>
        <w:autoSpaceDE w:val="0"/>
        <w:autoSpaceDN w:val="0"/>
        <w:adjustRightInd w:val="0"/>
        <w:spacing w:after="0"/>
        <w:rPr>
          <w:i/>
          <w:szCs w:val="24"/>
        </w:rPr>
      </w:pPr>
    </w:p>
    <w:p w:rsidR="00E411A0" w:rsidRPr="00646D61" w:rsidRDefault="00E411A0" w:rsidP="00E411A0">
      <w:pPr>
        <w:pStyle w:val="ColorfulList-Accent11"/>
        <w:numPr>
          <w:ilvl w:val="0"/>
          <w:numId w:val="42"/>
        </w:numPr>
        <w:autoSpaceDE w:val="0"/>
        <w:autoSpaceDN w:val="0"/>
        <w:adjustRightInd w:val="0"/>
        <w:spacing w:after="0"/>
        <w:jc w:val="left"/>
        <w:rPr>
          <w:i/>
          <w:szCs w:val="24"/>
        </w:rPr>
      </w:pPr>
      <w:r>
        <w:rPr>
          <w:i/>
          <w:szCs w:val="24"/>
        </w:rPr>
        <w:t xml:space="preserve">Je li </w:t>
      </w:r>
      <w:r>
        <w:rPr>
          <w:b/>
          <w:i/>
          <w:szCs w:val="24"/>
        </w:rPr>
        <w:t>upravljanje</w:t>
      </w:r>
      <w:r>
        <w:rPr>
          <w:i/>
          <w:szCs w:val="24"/>
        </w:rPr>
        <w:t xml:space="preserve"> projektom osmišljeno i funkcionira li tako da otvara put uspješnom prelasku na SAP-HR i njegovoj provedbi u Ministarstvu gospodarstva?</w:t>
      </w:r>
    </w:p>
    <w:p w:rsidR="00E411A0" w:rsidRPr="00646D61" w:rsidRDefault="00E411A0" w:rsidP="00E411A0">
      <w:pPr>
        <w:pStyle w:val="ColorfulList-Accent11"/>
        <w:numPr>
          <w:ilvl w:val="0"/>
          <w:numId w:val="42"/>
        </w:numPr>
        <w:autoSpaceDE w:val="0"/>
        <w:autoSpaceDN w:val="0"/>
        <w:adjustRightInd w:val="0"/>
        <w:spacing w:after="0"/>
        <w:jc w:val="left"/>
        <w:rPr>
          <w:i/>
          <w:szCs w:val="24"/>
        </w:rPr>
      </w:pPr>
      <w:r>
        <w:rPr>
          <w:i/>
          <w:szCs w:val="24"/>
        </w:rPr>
        <w:t xml:space="preserve">Je li </w:t>
      </w:r>
      <w:r>
        <w:rPr>
          <w:b/>
          <w:i/>
          <w:szCs w:val="24"/>
        </w:rPr>
        <w:t>prikladnost</w:t>
      </w:r>
      <w:r>
        <w:rPr>
          <w:i/>
          <w:szCs w:val="24"/>
        </w:rPr>
        <w:t xml:space="preserve"> kontrola aplikacije i općih kontrola </w:t>
      </w:r>
      <w:r>
        <w:rPr>
          <w:b/>
          <w:i/>
          <w:szCs w:val="24"/>
        </w:rPr>
        <w:t>dovoljna</w:t>
      </w:r>
      <w:r>
        <w:rPr>
          <w:i/>
          <w:szCs w:val="24"/>
        </w:rPr>
        <w:t xml:space="preserve"> u pogledu povjerljivosti podataka, njihova integriteta i dostupnosti važnih informacija sustava povezanih s ljudskim resursima tijekom faze projekta, faze prijelaza i provedbe projekta?</w:t>
      </w:r>
    </w:p>
    <w:p w:rsidR="00322905" w:rsidRPr="00646D61" w:rsidRDefault="00E411A0" w:rsidP="00E411A0">
      <w:pPr>
        <w:pStyle w:val="20"/>
        <w:numPr>
          <w:ilvl w:val="0"/>
          <w:numId w:val="42"/>
        </w:numPr>
        <w:rPr>
          <w:rFonts w:ascii="Cambria" w:hAnsi="Cambria"/>
          <w:b w:val="0"/>
          <w:i/>
        </w:rPr>
      </w:pPr>
      <w:r>
        <w:rPr>
          <w:b w:val="0"/>
          <w:i/>
          <w:szCs w:val="24"/>
        </w:rPr>
        <w:t xml:space="preserve">Izjave o uvjerenju o pravilnom upravljanju projektom, kao i o prikladnosti kontrola povezanih s povjerljivošću, integritetom i dostupnošću na razini aplikacije i općoj razini bit će popraćene preporukama ako bude potrebno i primjenjivo. </w:t>
      </w:r>
      <w:r>
        <w:rPr>
          <w:rFonts w:ascii="Cambria" w:hAnsi="Cambria"/>
          <w:b w:val="0"/>
          <w:i/>
        </w:rPr>
        <w:t>Mogući nalazi i preporuke.</w:t>
      </w:r>
    </w:p>
    <w:p w:rsidR="00752FDC" w:rsidRPr="00646D61" w:rsidRDefault="00752FDC" w:rsidP="00752FDC">
      <w:pPr>
        <w:autoSpaceDE w:val="0"/>
        <w:autoSpaceDN w:val="0"/>
        <w:adjustRightInd w:val="0"/>
        <w:spacing w:after="0"/>
        <w:rPr>
          <w:i/>
          <w:szCs w:val="24"/>
        </w:rPr>
      </w:pPr>
      <w:r>
        <w:rPr>
          <w:i/>
          <w:szCs w:val="24"/>
        </w:rPr>
        <w:t>Kriteriji koji se trebaju upotrebljavati u reviziji izdvojit će se iz sljedećih revizijskih referentnih okvira:</w:t>
      </w:r>
    </w:p>
    <w:p w:rsidR="00752FDC" w:rsidRPr="00646D61" w:rsidRDefault="00752FDC" w:rsidP="00752FDC">
      <w:pPr>
        <w:autoSpaceDE w:val="0"/>
        <w:autoSpaceDN w:val="0"/>
        <w:adjustRightInd w:val="0"/>
        <w:spacing w:after="0"/>
        <w:rPr>
          <w:i/>
          <w:szCs w:val="24"/>
        </w:rPr>
      </w:pPr>
    </w:p>
    <w:p w:rsidR="00752FDC" w:rsidRPr="00646D61" w:rsidRDefault="00752FDC" w:rsidP="00752FDC">
      <w:pPr>
        <w:pStyle w:val="ColorfulList-Accent11"/>
        <w:numPr>
          <w:ilvl w:val="0"/>
          <w:numId w:val="47"/>
        </w:numPr>
        <w:autoSpaceDE w:val="0"/>
        <w:autoSpaceDN w:val="0"/>
        <w:adjustRightInd w:val="0"/>
        <w:spacing w:after="0"/>
        <w:jc w:val="left"/>
        <w:rPr>
          <w:i/>
          <w:szCs w:val="24"/>
        </w:rPr>
      </w:pPr>
      <w:r>
        <w:rPr>
          <w:b/>
          <w:i/>
          <w:szCs w:val="24"/>
        </w:rPr>
        <w:t>Prince2</w:t>
      </w:r>
      <w:r>
        <w:rPr>
          <w:i/>
          <w:szCs w:val="24"/>
        </w:rPr>
        <w:t>: sljedeća načela Prince2 vodeća su za procjenu pravilnog upravljanja projektom: poslovni slučaj (kontinuirana poslovna opravdanost), utvrđene uloge i odgovornosti u skladu sa strukturom Prince2, upravljanje prema fazama (pristup po fazama, uključujući upravljanje rizikom) i usmjerenost na proizvode u skladu s prethodno utvrđenim razinama tolerancije. Ukupni skup normi u pogledu tih načela opisan je u prilogu;</w:t>
      </w:r>
    </w:p>
    <w:p w:rsidR="00752FDC" w:rsidRPr="00646D61" w:rsidRDefault="00752FDC" w:rsidP="00752FDC">
      <w:pPr>
        <w:pStyle w:val="ColorfulList-Accent11"/>
        <w:numPr>
          <w:ilvl w:val="0"/>
          <w:numId w:val="47"/>
        </w:numPr>
        <w:autoSpaceDE w:val="0"/>
        <w:autoSpaceDN w:val="0"/>
        <w:adjustRightInd w:val="0"/>
        <w:spacing w:after="0"/>
        <w:jc w:val="left"/>
        <w:rPr>
          <w:i/>
          <w:szCs w:val="24"/>
        </w:rPr>
      </w:pPr>
      <w:r>
        <w:rPr>
          <w:b/>
          <w:i/>
          <w:szCs w:val="24"/>
        </w:rPr>
        <w:t>COBIT5:</w:t>
      </w:r>
      <w:r>
        <w:rPr>
          <w:i/>
          <w:szCs w:val="24"/>
        </w:rPr>
        <w:t xml:space="preserve"> Kriteriji triju načela ovlaštenih unutarnjih revizora proizlaze iz sljedećih modula Kontrolnih ciljeva za informacijske i srodne tehnologije (COBIT-5): uskladiti/planirati/organizirati (APO), izraditi/dobiti/provesti (BAI), pružiti/održavati/podržavati (DSS) i pratiti/ocijeniti/procijeniti (MEA). Moduli COBIT-5 opisuju kriterije za svaku fazu od planiranja do potpune provedbe sustava IT-a u bilo kojoj vrsti organizacije. Ključni kriteriji po modulu, kao što je raspravljeno s voditeljem informacijskog odjela, vodit će do izjave o uvjerenju o prikladnosti općih kontrola i kontrola aplikacije u svakoj fazi na putu prema provedbi;</w:t>
      </w:r>
    </w:p>
    <w:p w:rsidR="00752FDC" w:rsidRPr="00646D61" w:rsidRDefault="00752FDC" w:rsidP="00752FDC">
      <w:pPr>
        <w:pStyle w:val="ColorfulList-Accent11"/>
        <w:numPr>
          <w:ilvl w:val="0"/>
          <w:numId w:val="47"/>
        </w:numPr>
        <w:autoSpaceDE w:val="0"/>
        <w:autoSpaceDN w:val="0"/>
        <w:adjustRightInd w:val="0"/>
        <w:spacing w:after="0"/>
        <w:jc w:val="left"/>
        <w:rPr>
          <w:i/>
          <w:szCs w:val="24"/>
        </w:rPr>
      </w:pPr>
      <w:r>
        <w:rPr>
          <w:i/>
          <w:szCs w:val="24"/>
        </w:rPr>
        <w:t xml:space="preserve">Postojeći organizacijski </w:t>
      </w:r>
      <w:r>
        <w:rPr>
          <w:b/>
          <w:i/>
          <w:szCs w:val="24"/>
        </w:rPr>
        <w:t>postupci i propisi</w:t>
      </w:r>
      <w:r>
        <w:rPr>
          <w:i/>
          <w:szCs w:val="24"/>
        </w:rPr>
        <w:t xml:space="preserve"> koji su važni za postupak prijelaza na novi sustav SAP-HR. Ako su ti postupci i propisi u sukobu sa zahtjevima Prince2 i/ili COBIT-5, to će se navesti kao nalaz revizije.</w:t>
      </w:r>
    </w:p>
    <w:p w:rsidR="00752FDC" w:rsidRPr="00752FDC" w:rsidRDefault="00752FDC" w:rsidP="00752FDC">
      <w:pPr>
        <w:pStyle w:val="Text2"/>
      </w:pPr>
    </w:p>
    <w:p w:rsidR="00322905" w:rsidRPr="008877B1" w:rsidRDefault="00322905" w:rsidP="00752FDC">
      <w:pPr>
        <w:pStyle w:val="20"/>
        <w:numPr>
          <w:ilvl w:val="0"/>
          <w:numId w:val="0"/>
        </w:numPr>
        <w:ind w:left="862" w:hanging="720"/>
        <w:rPr>
          <w:rFonts w:ascii="Cambria" w:hAnsi="Cambria"/>
        </w:rPr>
      </w:pPr>
      <w:r>
        <w:rPr>
          <w:rFonts w:ascii="Cambria" w:hAnsi="Cambria"/>
        </w:rPr>
        <w:t>Obuhvat</w:t>
      </w:r>
    </w:p>
    <w:p w:rsidR="00752FDC" w:rsidRPr="00646D61" w:rsidRDefault="00752FDC" w:rsidP="00752FDC">
      <w:pPr>
        <w:autoSpaceDE w:val="0"/>
        <w:autoSpaceDN w:val="0"/>
        <w:adjustRightInd w:val="0"/>
        <w:spacing w:after="0"/>
        <w:rPr>
          <w:i/>
          <w:szCs w:val="24"/>
        </w:rPr>
      </w:pPr>
      <w:r>
        <w:rPr>
          <w:i/>
          <w:szCs w:val="24"/>
        </w:rPr>
        <w:t xml:space="preserve">Revizija neće proširiti svoj obuhvat procjenom ključnih ciljeva utvrđenih za prijelaz na novi sustav. </w:t>
      </w:r>
    </w:p>
    <w:p w:rsidR="00752FDC" w:rsidRDefault="00752FDC" w:rsidP="00752FDC">
      <w:pPr>
        <w:autoSpaceDE w:val="0"/>
        <w:autoSpaceDN w:val="0"/>
        <w:adjustRightInd w:val="0"/>
        <w:spacing w:after="0"/>
        <w:rPr>
          <w:szCs w:val="24"/>
        </w:rPr>
      </w:pPr>
    </w:p>
    <w:p w:rsidR="00752FDC" w:rsidRDefault="00752FDC" w:rsidP="00752FDC">
      <w:pPr>
        <w:autoSpaceDE w:val="0"/>
        <w:autoSpaceDN w:val="0"/>
        <w:adjustRightInd w:val="0"/>
        <w:spacing w:after="0"/>
        <w:rPr>
          <w:szCs w:val="24"/>
        </w:rPr>
      </w:pPr>
    </w:p>
    <w:p w:rsidR="00322905" w:rsidRPr="008877B1" w:rsidRDefault="00322905" w:rsidP="00322905">
      <w:pPr>
        <w:pStyle w:val="1"/>
        <w:rPr>
          <w:rFonts w:ascii="Cambria" w:hAnsi="Cambria"/>
        </w:rPr>
      </w:pPr>
      <w:r>
        <w:rPr>
          <w:rFonts w:ascii="Cambria" w:hAnsi="Cambria"/>
        </w:rPr>
        <w:t>Metodologija revizije</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1559"/>
        <w:gridCol w:w="3074"/>
        <w:gridCol w:w="3330"/>
      </w:tblGrid>
      <w:tr w:rsidR="00752FDC" w:rsidRPr="00E21FC8" w:rsidTr="00547719">
        <w:tc>
          <w:tcPr>
            <w:tcW w:w="2202" w:type="dxa"/>
            <w:shd w:val="clear" w:color="auto" w:fill="F2F2F2"/>
          </w:tcPr>
          <w:p w:rsidR="00752FDC" w:rsidRPr="00E21FC8" w:rsidRDefault="00752FDC" w:rsidP="00547719">
            <w:pPr>
              <w:spacing w:after="0"/>
            </w:pPr>
            <w:r>
              <w:t>Cilj revizije / pitanje</w:t>
            </w:r>
          </w:p>
        </w:tc>
        <w:tc>
          <w:tcPr>
            <w:tcW w:w="1559" w:type="dxa"/>
            <w:shd w:val="clear" w:color="auto" w:fill="F2F2F2"/>
          </w:tcPr>
          <w:p w:rsidR="00752FDC" w:rsidRPr="00E21FC8" w:rsidRDefault="00752FDC" w:rsidP="00547719">
            <w:pPr>
              <w:spacing w:after="0"/>
            </w:pPr>
            <w:r>
              <w:t>Ključni aspekti</w:t>
            </w:r>
          </w:p>
        </w:tc>
        <w:tc>
          <w:tcPr>
            <w:tcW w:w="3074" w:type="dxa"/>
            <w:shd w:val="clear" w:color="auto" w:fill="F2F2F2"/>
          </w:tcPr>
          <w:p w:rsidR="00752FDC" w:rsidRPr="00E21FC8" w:rsidRDefault="00752FDC" w:rsidP="00547719">
            <w:pPr>
              <w:spacing w:after="0"/>
            </w:pPr>
            <w:r>
              <w:t>Kriteriji</w:t>
            </w:r>
          </w:p>
        </w:tc>
        <w:tc>
          <w:tcPr>
            <w:tcW w:w="3330" w:type="dxa"/>
            <w:shd w:val="clear" w:color="auto" w:fill="F2F2F2"/>
          </w:tcPr>
          <w:p w:rsidR="00752FDC" w:rsidRDefault="00752FDC" w:rsidP="00547719">
            <w:pPr>
              <w:spacing w:after="0"/>
            </w:pPr>
            <w:r>
              <w:t>Metodologija</w:t>
            </w:r>
          </w:p>
          <w:p w:rsidR="00752FDC" w:rsidRPr="00E21FC8" w:rsidRDefault="00752FDC" w:rsidP="00547719">
            <w:pPr>
              <w:spacing w:after="0"/>
            </w:pPr>
            <w:r>
              <w:t>(Instrumenti za reviziju)</w:t>
            </w:r>
          </w:p>
        </w:tc>
      </w:tr>
      <w:tr w:rsidR="00752FDC" w:rsidRPr="00E21FC8" w:rsidTr="00547719">
        <w:tc>
          <w:tcPr>
            <w:tcW w:w="2202" w:type="dxa"/>
            <w:vMerge w:val="restart"/>
            <w:shd w:val="clear" w:color="auto" w:fill="auto"/>
          </w:tcPr>
          <w:p w:rsidR="00752FDC" w:rsidRPr="00E21FC8" w:rsidRDefault="00752FDC" w:rsidP="00547719">
            <w:pPr>
              <w:autoSpaceDE w:val="0"/>
              <w:autoSpaceDN w:val="0"/>
              <w:adjustRightInd w:val="0"/>
              <w:spacing w:after="0"/>
              <w:rPr>
                <w:szCs w:val="24"/>
              </w:rPr>
            </w:pPr>
            <w:r>
              <w:rPr>
                <w:b/>
              </w:rPr>
              <w:t xml:space="preserve">Pravilno </w:t>
            </w:r>
            <w:r>
              <w:rPr>
                <w:b/>
              </w:rPr>
              <w:lastRenderedPageBreak/>
              <w:t>upravljanje</w:t>
            </w:r>
            <w:r>
              <w:t>: je li projekt usklađen s načelima Prince-2 u pogledu dizajna i rada u svakoj fazi projekta?</w:t>
            </w:r>
          </w:p>
          <w:p w:rsidR="00752FDC" w:rsidRPr="00E21FC8" w:rsidRDefault="00752FDC" w:rsidP="00547719">
            <w:pPr>
              <w:spacing w:after="0"/>
            </w:pPr>
          </w:p>
          <w:p w:rsidR="00752FDC" w:rsidRPr="00E21FC8" w:rsidRDefault="00752FDC" w:rsidP="00547719">
            <w:pPr>
              <w:spacing w:after="0"/>
              <w:rPr>
                <w:b/>
                <w:szCs w:val="24"/>
              </w:rPr>
            </w:pPr>
          </w:p>
        </w:tc>
        <w:tc>
          <w:tcPr>
            <w:tcW w:w="1559" w:type="dxa"/>
            <w:shd w:val="clear" w:color="auto" w:fill="auto"/>
          </w:tcPr>
          <w:p w:rsidR="00752FDC" w:rsidRPr="00E21FC8" w:rsidRDefault="00752FDC" w:rsidP="00547719">
            <w:pPr>
              <w:spacing w:after="0"/>
            </w:pPr>
            <w:r>
              <w:lastRenderedPageBreak/>
              <w:t xml:space="preserve">Poslovni </w:t>
            </w:r>
            <w:r>
              <w:lastRenderedPageBreak/>
              <w:t>slučaj (PS)</w:t>
            </w:r>
          </w:p>
        </w:tc>
        <w:tc>
          <w:tcPr>
            <w:tcW w:w="3074" w:type="dxa"/>
            <w:shd w:val="clear" w:color="auto" w:fill="auto"/>
          </w:tcPr>
          <w:p w:rsidR="00752FDC" w:rsidRPr="00E21FC8" w:rsidRDefault="00752FDC" w:rsidP="00752FDC">
            <w:pPr>
              <w:numPr>
                <w:ilvl w:val="0"/>
                <w:numId w:val="43"/>
              </w:numPr>
              <w:spacing w:after="0"/>
              <w:ind w:left="148" w:hanging="148"/>
              <w:jc w:val="left"/>
            </w:pPr>
            <w:r>
              <w:lastRenderedPageBreak/>
              <w:t xml:space="preserve">PS se ažurira u svakoj fazi </w:t>
            </w:r>
            <w:r>
              <w:lastRenderedPageBreak/>
              <w:t>projekta.</w:t>
            </w:r>
          </w:p>
          <w:p w:rsidR="00752FDC" w:rsidRPr="00E21FC8" w:rsidRDefault="00752FDC" w:rsidP="00752FDC">
            <w:pPr>
              <w:numPr>
                <w:ilvl w:val="0"/>
                <w:numId w:val="43"/>
              </w:numPr>
              <w:spacing w:after="0"/>
              <w:ind w:left="148" w:hanging="148"/>
              <w:jc w:val="left"/>
            </w:pPr>
            <w:r>
              <w:t>Razlozi za provedbu projekta moraju biti sukladni organizacijskoj strategiji i strategiji programa.</w:t>
            </w:r>
          </w:p>
          <w:p w:rsidR="00752FDC" w:rsidRPr="00E21FC8" w:rsidRDefault="00752FDC" w:rsidP="00752FDC">
            <w:pPr>
              <w:numPr>
                <w:ilvl w:val="0"/>
                <w:numId w:val="43"/>
              </w:numPr>
              <w:spacing w:after="0"/>
              <w:ind w:left="148" w:hanging="148"/>
              <w:jc w:val="left"/>
            </w:pPr>
            <w:r>
              <w:t>Plan projekta i PS moraju biti usklađeni.</w:t>
            </w:r>
          </w:p>
          <w:p w:rsidR="00752FDC" w:rsidRPr="00E21FC8" w:rsidRDefault="00752FDC" w:rsidP="00752FDC">
            <w:pPr>
              <w:numPr>
                <w:ilvl w:val="0"/>
                <w:numId w:val="43"/>
              </w:numPr>
              <w:spacing w:after="0"/>
              <w:ind w:left="148" w:hanging="148"/>
              <w:jc w:val="left"/>
            </w:pPr>
            <w:r>
              <w:t>Prednosti treba jasno utvrditi i opravdati.</w:t>
            </w:r>
          </w:p>
          <w:p w:rsidR="00752FDC" w:rsidRPr="00E21FC8" w:rsidRDefault="00752FDC" w:rsidP="00752FDC">
            <w:pPr>
              <w:numPr>
                <w:ilvl w:val="0"/>
                <w:numId w:val="43"/>
              </w:numPr>
              <w:spacing w:after="0"/>
              <w:ind w:left="148" w:hanging="148"/>
              <w:jc w:val="left"/>
            </w:pPr>
            <w:r>
              <w:t>Treba biti jasno kako ostvariti prednosti.</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vMerge/>
            <w:shd w:val="clear" w:color="auto" w:fill="auto"/>
          </w:tcPr>
          <w:p w:rsidR="00752FDC" w:rsidRPr="00E21FC8" w:rsidRDefault="00752FDC" w:rsidP="00547719">
            <w:pPr>
              <w:spacing w:after="0"/>
            </w:pPr>
          </w:p>
        </w:tc>
        <w:tc>
          <w:tcPr>
            <w:tcW w:w="1559" w:type="dxa"/>
            <w:shd w:val="clear" w:color="auto" w:fill="auto"/>
          </w:tcPr>
          <w:p w:rsidR="00752FDC" w:rsidRPr="00E21FC8" w:rsidRDefault="00752FDC" w:rsidP="00547719">
            <w:pPr>
              <w:spacing w:after="0"/>
            </w:pPr>
            <w:r>
              <w:t>Uloge i odgovornosti</w:t>
            </w:r>
          </w:p>
        </w:tc>
        <w:tc>
          <w:tcPr>
            <w:tcW w:w="3074" w:type="dxa"/>
            <w:shd w:val="clear" w:color="auto" w:fill="auto"/>
          </w:tcPr>
          <w:p w:rsidR="00752FDC" w:rsidRPr="00E21FC8" w:rsidRDefault="00752FDC" w:rsidP="00752FDC">
            <w:pPr>
              <w:numPr>
                <w:ilvl w:val="0"/>
                <w:numId w:val="44"/>
              </w:numPr>
              <w:spacing w:after="0"/>
              <w:ind w:left="173" w:hanging="180"/>
              <w:jc w:val="left"/>
            </w:pPr>
            <w:r>
              <w:t>Izvršne uloge i uloge upravljanja projektom jasno su razgraničene.</w:t>
            </w:r>
          </w:p>
          <w:p w:rsidR="00752FDC" w:rsidRPr="00E21FC8" w:rsidRDefault="00752FDC" w:rsidP="00752FDC">
            <w:pPr>
              <w:numPr>
                <w:ilvl w:val="0"/>
                <w:numId w:val="44"/>
              </w:numPr>
              <w:spacing w:after="0"/>
              <w:ind w:left="173" w:hanging="180"/>
              <w:jc w:val="left"/>
            </w:pPr>
            <w:r>
              <w:t xml:space="preserve">itd. </w:t>
            </w: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Pr>
                <w:b/>
              </w:rPr>
              <w:t>Dovoljno općih kontrola</w:t>
            </w:r>
            <w:r>
              <w:t>: je li ukupno upravljanje ključnim postupcima IT-a dobro kontrolirano/organizirano unutar organizacije?</w:t>
            </w:r>
          </w:p>
        </w:tc>
        <w:tc>
          <w:tcPr>
            <w:tcW w:w="1559" w:type="dxa"/>
            <w:shd w:val="clear" w:color="auto" w:fill="auto"/>
          </w:tcPr>
          <w:p w:rsidR="00752FDC" w:rsidRPr="00E21FC8" w:rsidRDefault="00752FDC" w:rsidP="00547719">
            <w:pPr>
              <w:spacing w:after="0"/>
            </w:pPr>
            <w:r>
              <w:t>COBIT/APO12</w:t>
            </w:r>
          </w:p>
          <w:p w:rsidR="00752FDC" w:rsidRPr="00E21FC8" w:rsidRDefault="00752FDC" w:rsidP="00547719">
            <w:pPr>
              <w:spacing w:after="0"/>
            </w:pPr>
            <w:r>
              <w:t>Upravljanje rizicima</w:t>
            </w:r>
          </w:p>
        </w:tc>
        <w:tc>
          <w:tcPr>
            <w:tcW w:w="3074" w:type="dxa"/>
            <w:shd w:val="clear" w:color="auto" w:fill="auto"/>
          </w:tcPr>
          <w:p w:rsidR="00752FDC" w:rsidRPr="00E21FC8" w:rsidRDefault="00752FDC" w:rsidP="00752FDC">
            <w:pPr>
              <w:numPr>
                <w:ilvl w:val="0"/>
                <w:numId w:val="45"/>
              </w:numPr>
              <w:spacing w:after="0"/>
              <w:ind w:left="173" w:hanging="173"/>
              <w:jc w:val="left"/>
            </w:pPr>
            <w:r>
              <w:t>Provedena je procjena rizika punog opsega u pogledu prijelaza na SAP-HR.</w:t>
            </w:r>
          </w:p>
          <w:p w:rsidR="00752FDC" w:rsidRPr="00E21FC8" w:rsidRDefault="00752FDC" w:rsidP="00752FDC">
            <w:pPr>
              <w:numPr>
                <w:ilvl w:val="0"/>
                <w:numId w:val="45"/>
              </w:numPr>
              <w:spacing w:after="0"/>
              <w:ind w:left="173" w:hanging="173"/>
              <w:jc w:val="left"/>
            </w:pPr>
            <w:r>
              <w:t>Stavak o riziku u dokumentu o planu/izradi obuhvaća prava pitanja.</w:t>
            </w:r>
          </w:p>
          <w:p w:rsidR="00752FDC" w:rsidRPr="00E21FC8" w:rsidRDefault="00752FDC" w:rsidP="00752FDC">
            <w:pPr>
              <w:numPr>
                <w:ilvl w:val="0"/>
                <w:numId w:val="45"/>
              </w:numPr>
              <w:spacing w:after="0"/>
              <w:ind w:left="173" w:hanging="173"/>
              <w:jc w:val="left"/>
            </w:pPr>
            <w:r>
              <w:t>itd.</w:t>
            </w:r>
          </w:p>
          <w:p w:rsidR="00752FDC" w:rsidRPr="00E21FC8" w:rsidRDefault="00752FDC" w:rsidP="00547719">
            <w:pPr>
              <w:spacing w:after="0"/>
            </w:pPr>
          </w:p>
        </w:tc>
        <w:tc>
          <w:tcPr>
            <w:tcW w:w="3330" w:type="dxa"/>
            <w:shd w:val="clear" w:color="auto" w:fill="auto"/>
          </w:tcPr>
          <w:p w:rsidR="00752FDC" w:rsidRPr="00E21FC8" w:rsidRDefault="00752FDC" w:rsidP="00547719">
            <w:pPr>
              <w:spacing w:after="0"/>
            </w:pPr>
          </w:p>
        </w:tc>
      </w:tr>
      <w:tr w:rsidR="00752FDC" w:rsidRPr="00E21FC8" w:rsidTr="00547719">
        <w:tc>
          <w:tcPr>
            <w:tcW w:w="2202" w:type="dxa"/>
            <w:shd w:val="clear" w:color="auto" w:fill="auto"/>
          </w:tcPr>
          <w:p w:rsidR="00752FDC" w:rsidRPr="00E21FC8" w:rsidRDefault="00752FDC" w:rsidP="00547719">
            <w:pPr>
              <w:autoSpaceDE w:val="0"/>
              <w:autoSpaceDN w:val="0"/>
              <w:adjustRightInd w:val="0"/>
              <w:spacing w:after="0"/>
              <w:rPr>
                <w:szCs w:val="24"/>
              </w:rPr>
            </w:pPr>
            <w:r>
              <w:rPr>
                <w:b/>
              </w:rPr>
              <w:t>Dovoljne kontrole aplikacije</w:t>
            </w:r>
            <w:r>
              <w:t>: jesu li kontrole obuhvaćene u novom sustavu koji se treba provesti (u samom sustavu i u kombinaciji s drugim sustavima tijekom faze prijelaza) dovoljne kako bi se izbjegli rizici koji se odnose na tri načela ovlaštenih unutarnjih revizora?</w:t>
            </w:r>
          </w:p>
        </w:tc>
        <w:tc>
          <w:tcPr>
            <w:tcW w:w="1559" w:type="dxa"/>
            <w:shd w:val="clear" w:color="auto" w:fill="auto"/>
          </w:tcPr>
          <w:p w:rsidR="00752FDC" w:rsidRPr="00E21FC8" w:rsidRDefault="00752FDC" w:rsidP="00547719">
            <w:pPr>
              <w:spacing w:after="0"/>
            </w:pPr>
            <w:r>
              <w:t>COBIT/DSS04</w:t>
            </w:r>
          </w:p>
          <w:p w:rsidR="00752FDC" w:rsidRPr="00E21FC8" w:rsidRDefault="00752FDC" w:rsidP="00547719">
            <w:pPr>
              <w:spacing w:after="0"/>
            </w:pPr>
            <w:r>
              <w:t>Upravljanje kontinuitetom</w:t>
            </w:r>
          </w:p>
        </w:tc>
        <w:tc>
          <w:tcPr>
            <w:tcW w:w="3074" w:type="dxa"/>
            <w:shd w:val="clear" w:color="auto" w:fill="auto"/>
          </w:tcPr>
          <w:p w:rsidR="00752FDC" w:rsidRPr="00E21FC8" w:rsidRDefault="00752FDC" w:rsidP="00752FDC">
            <w:pPr>
              <w:numPr>
                <w:ilvl w:val="0"/>
                <w:numId w:val="46"/>
              </w:numPr>
              <w:spacing w:after="0"/>
              <w:ind w:left="176" w:hanging="180"/>
              <w:jc w:val="left"/>
            </w:pPr>
            <w:r>
              <w:t>Postupci sigurnosnog kopiranja i oporavka provode se u programu koji radi za vrijeme prelaska.</w:t>
            </w:r>
          </w:p>
          <w:p w:rsidR="00752FDC" w:rsidRPr="00E21FC8" w:rsidRDefault="00752FDC" w:rsidP="00752FDC">
            <w:pPr>
              <w:numPr>
                <w:ilvl w:val="0"/>
                <w:numId w:val="46"/>
              </w:numPr>
              <w:spacing w:after="0"/>
              <w:ind w:left="176" w:hanging="180"/>
              <w:jc w:val="left"/>
            </w:pPr>
            <w:r>
              <w:t>Program sadržava automatizirano pružanje usluga u slučaju smetnji.</w:t>
            </w:r>
          </w:p>
        </w:tc>
        <w:tc>
          <w:tcPr>
            <w:tcW w:w="3330" w:type="dxa"/>
            <w:shd w:val="clear" w:color="auto" w:fill="auto"/>
          </w:tcPr>
          <w:p w:rsidR="00752FDC" w:rsidRPr="00E21FC8" w:rsidRDefault="00752FDC" w:rsidP="00547719">
            <w:pPr>
              <w:spacing w:after="0"/>
            </w:pPr>
          </w:p>
        </w:tc>
      </w:tr>
    </w:tbl>
    <w:p w:rsidR="00390BDF" w:rsidRDefault="00390BDF" w:rsidP="00390BDF">
      <w:pPr>
        <w:pStyle w:val="20"/>
        <w:numPr>
          <w:ilvl w:val="0"/>
          <w:numId w:val="0"/>
        </w:numPr>
        <w:ind w:left="862"/>
        <w:rPr>
          <w:rFonts w:ascii="Cambria" w:hAnsi="Cambria"/>
          <w:lang w:val="en-US"/>
        </w:rPr>
      </w:pPr>
    </w:p>
    <w:p w:rsidR="00390BDF" w:rsidRDefault="00390BDF" w:rsidP="00390BDF">
      <w:pPr>
        <w:pStyle w:val="Text2"/>
      </w:pPr>
    </w:p>
    <w:p w:rsidR="00390BDF" w:rsidRPr="00390BDF" w:rsidRDefault="00390BDF" w:rsidP="00390BDF">
      <w:pPr>
        <w:pStyle w:val="Text2"/>
      </w:pPr>
    </w:p>
    <w:p w:rsidR="00322905" w:rsidRPr="008877B1" w:rsidRDefault="00322905" w:rsidP="00390BDF">
      <w:pPr>
        <w:pStyle w:val="20"/>
        <w:numPr>
          <w:ilvl w:val="0"/>
          <w:numId w:val="0"/>
        </w:numPr>
        <w:ind w:left="862"/>
        <w:rPr>
          <w:rFonts w:ascii="Cambria" w:hAnsi="Cambria"/>
        </w:rPr>
      </w:pPr>
      <w:r>
        <w:rPr>
          <w:rFonts w:ascii="Cambria" w:hAnsi="Cambria"/>
        </w:rPr>
        <w:t>Program revizije</w:t>
      </w:r>
    </w:p>
    <w:p w:rsidR="00390BDF" w:rsidRPr="00646D61" w:rsidRDefault="00390BDF" w:rsidP="00390BDF">
      <w:pPr>
        <w:autoSpaceDE w:val="0"/>
        <w:autoSpaceDN w:val="0"/>
        <w:adjustRightInd w:val="0"/>
        <w:spacing w:after="0"/>
        <w:rPr>
          <w:i/>
          <w:szCs w:val="24"/>
        </w:rPr>
      </w:pPr>
      <w:r>
        <w:rPr>
          <w:i/>
          <w:szCs w:val="24"/>
        </w:rPr>
        <w:t>Ova će se revizija provesti kroz dva usporedna niza aktivnosti:</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Pr>
          <w:b/>
          <w:i/>
          <w:szCs w:val="24"/>
        </w:rPr>
        <w:lastRenderedPageBreak/>
        <w:t>Aktivnosti koje se odnose na davanje razumnog uvjerenja o upravljanju projektom:</w:t>
      </w:r>
      <w:r>
        <w:rPr>
          <w:i/>
          <w:szCs w:val="24"/>
        </w:rPr>
        <w:t>revizorski tim provest će aktivnosti revizije u stvarnom vremenu koje su vremenski uzastopne fazama projekta nad kojim se provodi revizija. Svaku fazu projekta (četiri faze) mora odobriti revizorski tim prije početka sljedeće faze. Revizorski će tim kontinuirano pratiti i ocjenjivati usklađenost s načelima Prince2. Svi dokumenti sastavljeni tijekom projekta bit će / mogu biti dio revizijskih dokaza. Povremeni razgovori održavat će se s članovima projektnog tima, upravom (voditelj informacijskog odjela) i drugim relevantnim dionicima (npr. odjel za ljudske resurse, odjel za IT).</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Pr>
          <w:b/>
          <w:i/>
          <w:szCs w:val="24"/>
        </w:rPr>
        <w:t xml:space="preserve">Aktivnosti koje se odnose na davanje razumnog uvjerenja o dostatnosti općih kontrola i kontrola aplikacije: </w:t>
      </w:r>
      <w:r>
        <w:rPr>
          <w:i/>
          <w:szCs w:val="24"/>
        </w:rPr>
        <w:t xml:space="preserve">za opće kontrole i kontrole aplikacije primjenjivat će se širok spektar revizijskih tehnika. Npr. različite vrste testova (na razini aplikacije, penetracijsko testiranje, sigurnosno testiranje, testiranje pouzdanosti i testiranje integriteta). Razgovori će se provoditi i s predstavnicima odjela za IT, odjela za ljudske resurse, odjela politika, uprave (uključujući voditelja informacijskog odjela). Načela COBIT5 i popratni kriteriji služe kao referentna točka za formiranje našeg mišljenja. </w:t>
      </w:r>
    </w:p>
    <w:p w:rsidR="00390BDF" w:rsidRPr="00646D61" w:rsidRDefault="00390BDF" w:rsidP="00390BDF">
      <w:pPr>
        <w:autoSpaceDE w:val="0"/>
        <w:autoSpaceDN w:val="0"/>
        <w:adjustRightInd w:val="0"/>
        <w:spacing w:after="0"/>
        <w:rPr>
          <w:i/>
          <w:szCs w:val="24"/>
        </w:rPr>
      </w:pPr>
    </w:p>
    <w:p w:rsidR="00390BDF" w:rsidRPr="00646D61" w:rsidRDefault="00390BDF" w:rsidP="00390BDF">
      <w:pPr>
        <w:autoSpaceDE w:val="0"/>
        <w:autoSpaceDN w:val="0"/>
        <w:adjustRightInd w:val="0"/>
        <w:spacing w:after="0"/>
        <w:rPr>
          <w:i/>
          <w:szCs w:val="24"/>
        </w:rPr>
      </w:pPr>
      <w:r>
        <w:rPr>
          <w:i/>
          <w:szCs w:val="24"/>
        </w:rPr>
        <w:t>Oba revizorska tima održavat će redovite zajedničke sastanke kako bi informirali jedni druge o najnovijim podacima. Oba skupa aktivnosti smatraju se jednom revizijom.</w:t>
      </w:r>
    </w:p>
    <w:p w:rsidR="00E12ADD" w:rsidRPr="00646D61" w:rsidRDefault="00E12ADD" w:rsidP="00F534EB">
      <w:pPr>
        <w:pStyle w:val="20"/>
        <w:numPr>
          <w:ilvl w:val="0"/>
          <w:numId w:val="0"/>
        </w:numPr>
        <w:ind w:left="862" w:hanging="720"/>
        <w:rPr>
          <w:rFonts w:ascii="Cambria" w:hAnsi="Cambria"/>
          <w:i/>
        </w:rPr>
      </w:pPr>
    </w:p>
    <w:p w:rsidR="00566F3C" w:rsidRPr="00B555ED" w:rsidRDefault="00566F3C" w:rsidP="00566F3C">
      <w:pPr>
        <w:autoSpaceDE w:val="0"/>
        <w:autoSpaceDN w:val="0"/>
        <w:adjustRightInd w:val="0"/>
        <w:spacing w:after="0"/>
        <w:rPr>
          <w:b/>
          <w:szCs w:val="24"/>
        </w:rPr>
      </w:pPr>
      <w:r>
        <w:rPr>
          <w:b/>
          <w:szCs w:val="24"/>
        </w:rPr>
        <w:t>Ključne točke revizije:</w:t>
      </w:r>
    </w:p>
    <w:p w:rsidR="00566F3C" w:rsidRDefault="00566F3C" w:rsidP="00566F3C">
      <w:pPr>
        <w:autoSpaceDE w:val="0"/>
        <w:autoSpaceDN w:val="0"/>
        <w:adjustRightInd w:val="0"/>
        <w:spacing w:after="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2053"/>
        <w:gridCol w:w="1879"/>
        <w:gridCol w:w="1879"/>
        <w:gridCol w:w="1880"/>
      </w:tblGrid>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t>Faza projekta 1.</w:t>
            </w:r>
          </w:p>
          <w:p w:rsidR="00566F3C" w:rsidRPr="00E21FC8" w:rsidRDefault="00566F3C" w:rsidP="00547719">
            <w:pPr>
              <w:autoSpaceDE w:val="0"/>
              <w:autoSpaceDN w:val="0"/>
              <w:adjustRightInd w:val="0"/>
              <w:spacing w:after="0"/>
              <w:rPr>
                <w:szCs w:val="24"/>
              </w:rPr>
            </w:pPr>
            <w:r>
              <w:t>(siječanj 2019.)</w:t>
            </w:r>
          </w:p>
        </w:tc>
        <w:tc>
          <w:tcPr>
            <w:tcW w:w="1879" w:type="dxa"/>
            <w:shd w:val="clear" w:color="auto" w:fill="auto"/>
          </w:tcPr>
          <w:p w:rsidR="00566F3C" w:rsidRPr="00E21FC8" w:rsidRDefault="00566F3C" w:rsidP="00547719">
            <w:pPr>
              <w:autoSpaceDE w:val="0"/>
              <w:autoSpaceDN w:val="0"/>
              <w:adjustRightInd w:val="0"/>
              <w:spacing w:after="0"/>
              <w:rPr>
                <w:szCs w:val="24"/>
              </w:rPr>
            </w:pPr>
            <w:r>
              <w:t>Faza projekta 2.</w:t>
            </w:r>
          </w:p>
          <w:p w:rsidR="00566F3C" w:rsidRPr="00E21FC8" w:rsidRDefault="00566F3C" w:rsidP="00547719">
            <w:pPr>
              <w:autoSpaceDE w:val="0"/>
              <w:autoSpaceDN w:val="0"/>
              <w:adjustRightInd w:val="0"/>
              <w:spacing w:after="0"/>
              <w:rPr>
                <w:szCs w:val="24"/>
              </w:rPr>
            </w:pPr>
            <w:r>
              <w:t>(srpanj 2019.)</w:t>
            </w:r>
          </w:p>
        </w:tc>
        <w:tc>
          <w:tcPr>
            <w:tcW w:w="1879" w:type="dxa"/>
            <w:shd w:val="clear" w:color="auto" w:fill="auto"/>
          </w:tcPr>
          <w:p w:rsidR="00566F3C" w:rsidRPr="00E21FC8" w:rsidRDefault="00566F3C" w:rsidP="00547719">
            <w:pPr>
              <w:autoSpaceDE w:val="0"/>
              <w:autoSpaceDN w:val="0"/>
              <w:adjustRightInd w:val="0"/>
              <w:spacing w:after="0"/>
              <w:rPr>
                <w:szCs w:val="24"/>
              </w:rPr>
            </w:pPr>
            <w:r>
              <w:t>Faza projekta 3.</w:t>
            </w:r>
          </w:p>
          <w:p w:rsidR="00566F3C" w:rsidRPr="00E21FC8" w:rsidRDefault="00566F3C" w:rsidP="00547719">
            <w:pPr>
              <w:autoSpaceDE w:val="0"/>
              <w:autoSpaceDN w:val="0"/>
              <w:adjustRightInd w:val="0"/>
              <w:spacing w:after="0"/>
              <w:rPr>
                <w:szCs w:val="24"/>
              </w:rPr>
            </w:pPr>
            <w:r>
              <w:t>(prosinac 2019.)</w:t>
            </w:r>
          </w:p>
        </w:tc>
        <w:tc>
          <w:tcPr>
            <w:tcW w:w="1880" w:type="dxa"/>
            <w:shd w:val="clear" w:color="auto" w:fill="auto"/>
          </w:tcPr>
          <w:p w:rsidR="00566F3C" w:rsidRPr="00E21FC8" w:rsidRDefault="00566F3C" w:rsidP="00547719">
            <w:pPr>
              <w:autoSpaceDE w:val="0"/>
              <w:autoSpaceDN w:val="0"/>
              <w:adjustRightInd w:val="0"/>
              <w:spacing w:after="0"/>
              <w:rPr>
                <w:szCs w:val="24"/>
              </w:rPr>
            </w:pPr>
            <w:r>
              <w:t>Faza projekta 4. (srpanj 2020.)</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Pr>
                <w:b/>
                <w:szCs w:val="24"/>
              </w:rPr>
              <w:t>Revizija projekta:</w:t>
            </w:r>
          </w:p>
          <w:p w:rsidR="00566F3C" w:rsidRPr="00E21FC8" w:rsidRDefault="00566F3C" w:rsidP="00547719">
            <w:pPr>
              <w:autoSpaceDE w:val="0"/>
              <w:autoSpaceDN w:val="0"/>
              <w:adjustRightInd w:val="0"/>
              <w:spacing w:after="0"/>
              <w:rPr>
                <w:szCs w:val="24"/>
              </w:rPr>
            </w:pPr>
            <w:r>
              <w:t>400 sati x 2 člana tima: 800 sati</w:t>
            </w:r>
          </w:p>
        </w:tc>
        <w:tc>
          <w:tcPr>
            <w:tcW w:w="2053" w:type="dxa"/>
            <w:shd w:val="clear" w:color="auto" w:fill="FFFFFF"/>
          </w:tcPr>
          <w:p w:rsidR="00566F3C" w:rsidRPr="00E21FC8" w:rsidRDefault="00566F3C" w:rsidP="00547719">
            <w:pPr>
              <w:autoSpaceDE w:val="0"/>
              <w:autoSpaceDN w:val="0"/>
              <w:adjustRightInd w:val="0"/>
              <w:spacing w:after="0"/>
              <w:rPr>
                <w:szCs w:val="24"/>
              </w:rPr>
            </w:pPr>
            <w:r>
              <w:t>Stvarno vrijeme + prolaz/pad nakon faze + privremeni izvještaj</w:t>
            </w:r>
          </w:p>
        </w:tc>
        <w:tc>
          <w:tcPr>
            <w:tcW w:w="1879" w:type="dxa"/>
            <w:shd w:val="clear" w:color="auto" w:fill="FFFFFF"/>
          </w:tcPr>
          <w:p w:rsidR="00566F3C" w:rsidRPr="00E21FC8" w:rsidRDefault="00566F3C" w:rsidP="00547719">
            <w:pPr>
              <w:autoSpaceDE w:val="0"/>
              <w:autoSpaceDN w:val="0"/>
              <w:adjustRightInd w:val="0"/>
              <w:spacing w:after="0"/>
              <w:rPr>
                <w:szCs w:val="24"/>
              </w:rPr>
            </w:pPr>
            <w:r>
              <w:t>Stvarno vrijeme + prolaz/pad nakon faze + privremeni izvještaj</w:t>
            </w:r>
          </w:p>
        </w:tc>
        <w:tc>
          <w:tcPr>
            <w:tcW w:w="1879" w:type="dxa"/>
            <w:shd w:val="clear" w:color="auto" w:fill="FFFFFF"/>
          </w:tcPr>
          <w:p w:rsidR="00566F3C" w:rsidRPr="00E21FC8" w:rsidRDefault="00566F3C" w:rsidP="00547719">
            <w:pPr>
              <w:autoSpaceDE w:val="0"/>
              <w:autoSpaceDN w:val="0"/>
              <w:adjustRightInd w:val="0"/>
              <w:spacing w:after="0"/>
              <w:rPr>
                <w:szCs w:val="24"/>
              </w:rPr>
            </w:pPr>
            <w:r>
              <w:t>Stvarno vrijeme + prolaz/pad nakon faze + privremeni izvještaj</w:t>
            </w:r>
          </w:p>
        </w:tc>
        <w:tc>
          <w:tcPr>
            <w:tcW w:w="1880" w:type="dxa"/>
            <w:shd w:val="clear" w:color="auto" w:fill="FFFFFF"/>
          </w:tcPr>
          <w:p w:rsidR="00566F3C" w:rsidRPr="00E21FC8" w:rsidRDefault="00566F3C" w:rsidP="00547719">
            <w:pPr>
              <w:autoSpaceDE w:val="0"/>
              <w:autoSpaceDN w:val="0"/>
              <w:adjustRightInd w:val="0"/>
              <w:spacing w:after="0"/>
              <w:rPr>
                <w:szCs w:val="24"/>
              </w:rPr>
            </w:pPr>
            <w:r>
              <w:t>Stvarno vrijeme + prolaz/pad nakon faze + privremeni izvještaj u kombinaciji s izvještajem s izražavanjem uvjerenja o kontrolama</w:t>
            </w:r>
          </w:p>
        </w:tc>
      </w:tr>
      <w:tr w:rsidR="00566F3C" w:rsidRPr="00E21FC8" w:rsidTr="00547719">
        <w:tc>
          <w:tcPr>
            <w:tcW w:w="1705" w:type="dxa"/>
            <w:shd w:val="clear" w:color="auto" w:fill="auto"/>
          </w:tcPr>
          <w:p w:rsidR="00566F3C" w:rsidRPr="00E21FC8" w:rsidRDefault="00566F3C" w:rsidP="00547719">
            <w:pPr>
              <w:autoSpaceDE w:val="0"/>
              <w:autoSpaceDN w:val="0"/>
              <w:adjustRightInd w:val="0"/>
              <w:spacing w:after="0"/>
              <w:rPr>
                <w:b/>
                <w:szCs w:val="24"/>
              </w:rPr>
            </w:pPr>
            <w:r>
              <w:rPr>
                <w:b/>
                <w:szCs w:val="24"/>
              </w:rPr>
              <w:t>Revizija općih i IT kontrola</w:t>
            </w:r>
          </w:p>
          <w:p w:rsidR="00566F3C" w:rsidRPr="00E21FC8" w:rsidRDefault="00566F3C" w:rsidP="00547719">
            <w:pPr>
              <w:autoSpaceDE w:val="0"/>
              <w:autoSpaceDN w:val="0"/>
              <w:adjustRightInd w:val="0"/>
              <w:spacing w:after="0"/>
              <w:rPr>
                <w:szCs w:val="24"/>
              </w:rPr>
            </w:pPr>
            <w:r>
              <w:t>300 sati x 2 člana tima: 600 sati</w:t>
            </w:r>
          </w:p>
          <w:p w:rsidR="00566F3C" w:rsidRPr="00E21FC8" w:rsidRDefault="00566F3C" w:rsidP="00547719">
            <w:pPr>
              <w:autoSpaceDE w:val="0"/>
              <w:autoSpaceDN w:val="0"/>
              <w:adjustRightInd w:val="0"/>
              <w:spacing w:after="0"/>
              <w:rPr>
                <w:szCs w:val="24"/>
              </w:rPr>
            </w:pPr>
          </w:p>
        </w:tc>
        <w:tc>
          <w:tcPr>
            <w:tcW w:w="2053" w:type="dxa"/>
            <w:shd w:val="clear" w:color="auto" w:fill="auto"/>
          </w:tcPr>
          <w:p w:rsidR="00566F3C" w:rsidRPr="00E21FC8" w:rsidRDefault="00566F3C" w:rsidP="00547719">
            <w:pPr>
              <w:autoSpaceDE w:val="0"/>
              <w:autoSpaceDN w:val="0"/>
              <w:adjustRightInd w:val="0"/>
              <w:spacing w:after="0"/>
              <w:rPr>
                <w:szCs w:val="24"/>
              </w:rPr>
            </w:pPr>
            <w:r>
              <w:t>Preliminarno istraživanje</w:t>
            </w:r>
          </w:p>
        </w:tc>
        <w:tc>
          <w:tcPr>
            <w:tcW w:w="1879" w:type="dxa"/>
            <w:shd w:val="clear" w:color="auto" w:fill="auto"/>
          </w:tcPr>
          <w:p w:rsidR="00566F3C" w:rsidRPr="00E21FC8" w:rsidRDefault="00566F3C" w:rsidP="00547719">
            <w:pPr>
              <w:autoSpaceDE w:val="0"/>
              <w:autoSpaceDN w:val="0"/>
              <w:adjustRightInd w:val="0"/>
              <w:spacing w:after="0"/>
              <w:rPr>
                <w:szCs w:val="24"/>
              </w:rPr>
            </w:pPr>
            <w:r>
              <w:t>Nacrt / privremeni izvještaj o kontrolama dizajna u odnosu na plan upravljanja promjenama (APO+BAI)</w:t>
            </w:r>
          </w:p>
        </w:tc>
        <w:tc>
          <w:tcPr>
            <w:tcW w:w="1879" w:type="dxa"/>
            <w:shd w:val="clear" w:color="auto" w:fill="auto"/>
          </w:tcPr>
          <w:p w:rsidR="00566F3C" w:rsidRPr="00E21FC8" w:rsidRDefault="00566F3C" w:rsidP="00547719">
            <w:pPr>
              <w:autoSpaceDE w:val="0"/>
              <w:autoSpaceDN w:val="0"/>
              <w:adjustRightInd w:val="0"/>
              <w:spacing w:after="0"/>
              <w:rPr>
                <w:szCs w:val="24"/>
              </w:rPr>
            </w:pPr>
            <w:r>
              <w:t>Nacrt / privremeni izvještaj o kontrolama tijekom faze testiranja</w:t>
            </w:r>
          </w:p>
          <w:p w:rsidR="00566F3C" w:rsidRPr="00E21FC8" w:rsidRDefault="00566F3C" w:rsidP="00547719">
            <w:pPr>
              <w:autoSpaceDE w:val="0"/>
              <w:autoSpaceDN w:val="0"/>
              <w:adjustRightInd w:val="0"/>
              <w:spacing w:after="0"/>
              <w:rPr>
                <w:szCs w:val="24"/>
              </w:rPr>
            </w:pPr>
            <w:r>
              <w:t>(DSS+MEA)</w:t>
            </w:r>
          </w:p>
        </w:tc>
        <w:tc>
          <w:tcPr>
            <w:tcW w:w="1880" w:type="dxa"/>
            <w:shd w:val="clear" w:color="auto" w:fill="auto"/>
          </w:tcPr>
          <w:p w:rsidR="00566F3C" w:rsidRPr="00E21FC8" w:rsidRDefault="00566F3C" w:rsidP="00547719">
            <w:pPr>
              <w:autoSpaceDE w:val="0"/>
              <w:autoSpaceDN w:val="0"/>
              <w:adjustRightInd w:val="0"/>
              <w:spacing w:after="0"/>
              <w:rPr>
                <w:szCs w:val="24"/>
              </w:rPr>
            </w:pPr>
            <w:r>
              <w:t>Nacrt / ukupni izvještaj o kontrolama tijekom prijelaza i provedbe</w:t>
            </w:r>
          </w:p>
          <w:p w:rsidR="00566F3C" w:rsidRPr="00E21FC8" w:rsidRDefault="00566F3C" w:rsidP="00547719">
            <w:pPr>
              <w:autoSpaceDE w:val="0"/>
              <w:autoSpaceDN w:val="0"/>
              <w:adjustRightInd w:val="0"/>
              <w:spacing w:after="0"/>
              <w:rPr>
                <w:szCs w:val="24"/>
              </w:rPr>
            </w:pPr>
            <w:r>
              <w:t>(DSS+MEA) u kombinaciji s izvještajem s izražavanjem uvjerenja o projektu</w:t>
            </w:r>
          </w:p>
        </w:tc>
      </w:tr>
    </w:tbl>
    <w:p w:rsidR="00566F3C" w:rsidRPr="00566F3C" w:rsidRDefault="00566F3C" w:rsidP="00566F3C">
      <w:pPr>
        <w:pStyle w:val="Text2"/>
      </w:pPr>
    </w:p>
    <w:p w:rsidR="00E12ADD" w:rsidRDefault="00E12ADD" w:rsidP="00E12ADD">
      <w:pPr>
        <w:pStyle w:val="ab"/>
        <w:ind w:left="360"/>
        <w:rPr>
          <w:sz w:val="24"/>
          <w:highlight w:val="cyan"/>
        </w:rPr>
      </w:pPr>
    </w:p>
    <w:p w:rsidR="00752FDC" w:rsidRPr="00752FDC" w:rsidRDefault="00322905" w:rsidP="00F534EB">
      <w:pPr>
        <w:pStyle w:val="20"/>
        <w:numPr>
          <w:ilvl w:val="0"/>
          <w:numId w:val="0"/>
        </w:numPr>
        <w:ind w:left="862" w:hanging="720"/>
        <w:rPr>
          <w:rFonts w:ascii="Cambria" w:hAnsi="Cambria"/>
        </w:rPr>
      </w:pPr>
      <w:r>
        <w:rPr>
          <w:rFonts w:ascii="Cambria" w:hAnsi="Cambria"/>
        </w:rPr>
        <w:lastRenderedPageBreak/>
        <w:t>Resursi</w:t>
      </w:r>
    </w:p>
    <w:p w:rsidR="00752FDC" w:rsidRPr="00646D61" w:rsidRDefault="00752FDC" w:rsidP="00752FDC">
      <w:pPr>
        <w:autoSpaceDE w:val="0"/>
        <w:autoSpaceDN w:val="0"/>
        <w:adjustRightInd w:val="0"/>
        <w:spacing w:after="0"/>
        <w:rPr>
          <w:i/>
          <w:szCs w:val="24"/>
        </w:rPr>
      </w:pPr>
      <w:r>
        <w:rPr>
          <w:i/>
          <w:szCs w:val="24"/>
        </w:rPr>
        <w:t>Revizija će se provesti u skladu s poveljom o reviziji odjela za reviziju Ministarstva financija. S povjerljivim informacijama postupat će se u skladu s odredbama u toj povelji.</w:t>
      </w: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p w:rsidR="00F534EB" w:rsidRDefault="00F534EB" w:rsidP="00752FDC">
      <w:pPr>
        <w:autoSpaceDE w:val="0"/>
        <w:autoSpaceDN w:val="0"/>
        <w:adjustRightInd w:val="0"/>
        <w:spacing w:after="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967"/>
        <w:gridCol w:w="2410"/>
      </w:tblGrid>
      <w:tr w:rsidR="00BD6D1F" w:rsidRPr="00FE7922" w:rsidTr="008877B1">
        <w:trPr>
          <w:jc w:val="center"/>
        </w:trPr>
        <w:tc>
          <w:tcPr>
            <w:tcW w:w="1838" w:type="dxa"/>
            <w:tcBorders>
              <w:bottom w:val="nil"/>
              <w:right w:val="nil"/>
            </w:tcBorders>
            <w:shd w:val="clear" w:color="auto" w:fill="009999"/>
            <w:vAlign w:val="center"/>
          </w:tcPr>
          <w:p w:rsidR="00BD6D1F" w:rsidRPr="008877B1" w:rsidRDefault="00BD6D1F" w:rsidP="008877B1">
            <w:pPr>
              <w:tabs>
                <w:tab w:val="left" w:pos="2160"/>
              </w:tabs>
              <w:spacing w:before="120" w:after="120"/>
              <w:jc w:val="center"/>
              <w:rPr>
                <w:rFonts w:ascii="Cambria" w:hAnsi="Cambria"/>
                <w:b/>
                <w:bCs/>
                <w:smallCaps/>
                <w:color w:val="FFFFFF"/>
              </w:rPr>
            </w:pPr>
            <w:r>
              <w:rPr>
                <w:rFonts w:ascii="Cambria" w:hAnsi="Cambria"/>
                <w:b/>
                <w:bCs/>
                <w:smallCaps/>
                <w:color w:val="FFFFFF"/>
              </w:rPr>
              <w:t>Uloga</w:t>
            </w:r>
          </w:p>
        </w:tc>
        <w:tc>
          <w:tcPr>
            <w:tcW w:w="3967"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Pr>
                <w:rFonts w:ascii="Cambria" w:hAnsi="Cambria"/>
                <w:b/>
                <w:bCs/>
                <w:smallCaps/>
                <w:color w:val="FFFFFF"/>
              </w:rPr>
              <w:t>Naziv</w:t>
            </w:r>
          </w:p>
        </w:tc>
        <w:tc>
          <w:tcPr>
            <w:tcW w:w="2410" w:type="dxa"/>
            <w:shd w:val="clear" w:color="auto" w:fill="009999"/>
            <w:vAlign w:val="center"/>
          </w:tcPr>
          <w:p w:rsidR="00BD6D1F" w:rsidRPr="008877B1" w:rsidRDefault="00BD6D1F" w:rsidP="008877B1">
            <w:pPr>
              <w:tabs>
                <w:tab w:val="left" w:pos="2160"/>
              </w:tabs>
              <w:spacing w:before="120" w:after="120"/>
              <w:jc w:val="center"/>
              <w:rPr>
                <w:rFonts w:ascii="Cambria" w:hAnsi="Cambria"/>
                <w:bCs/>
                <w:smallCaps/>
                <w:color w:val="FFFFFF"/>
              </w:rPr>
            </w:pPr>
            <w:r>
              <w:rPr>
                <w:rFonts w:ascii="Cambria" w:hAnsi="Cambria"/>
                <w:b/>
                <w:bCs/>
                <w:smallCaps/>
                <w:color w:val="FFFFFF"/>
              </w:rPr>
              <w:t>Funkcija</w:t>
            </w:r>
          </w:p>
        </w:tc>
      </w:tr>
      <w:tr w:rsidR="00BD6D1F" w:rsidRPr="00FE7922" w:rsidTr="008877B1">
        <w:trPr>
          <w:trHeight w:val="454"/>
          <w:jc w:val="center"/>
        </w:trPr>
        <w:tc>
          <w:tcPr>
            <w:tcW w:w="1838" w:type="dxa"/>
            <w:tcBorders>
              <w:top w:val="single" w:sz="4" w:space="0" w:color="4F81BD"/>
              <w:bottom w:val="single" w:sz="4" w:space="0" w:color="4F81BD"/>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t>Voditelj projekta</w:t>
            </w:r>
          </w:p>
        </w:tc>
        <w:tc>
          <w:tcPr>
            <w:tcW w:w="3967" w:type="dxa"/>
            <w:tcBorders>
              <w:top w:val="single" w:sz="4" w:space="0" w:color="4F81BD"/>
              <w:bottom w:val="single" w:sz="4" w:space="0" w:color="4F81BD"/>
            </w:tcBorders>
            <w:shd w:val="clear" w:color="auto" w:fill="auto"/>
            <w:vAlign w:val="center"/>
          </w:tcPr>
          <w:p w:rsidR="00BD6D1F" w:rsidRPr="008877B1" w:rsidRDefault="00752FDC" w:rsidP="008877B1">
            <w:pPr>
              <w:tabs>
                <w:tab w:val="left" w:pos="2160"/>
              </w:tabs>
              <w:spacing w:before="60" w:after="60"/>
              <w:jc w:val="left"/>
              <w:rPr>
                <w:rFonts w:ascii="Cambria" w:hAnsi="Cambria"/>
              </w:rPr>
            </w:pPr>
            <w:r>
              <w:t>Iskusni ocjenjivač/revizor upravljanja resursima poduzeća (ERP-a)</w:t>
            </w:r>
          </w:p>
        </w:tc>
        <w:tc>
          <w:tcPr>
            <w:tcW w:w="2410" w:type="dxa"/>
            <w:tcBorders>
              <w:top w:val="single" w:sz="4" w:space="0" w:color="4F81BD"/>
              <w:bottom w:val="single" w:sz="4" w:space="0" w:color="4F81BD"/>
            </w:tcBorders>
            <w:shd w:val="clear" w:color="auto" w:fill="auto"/>
            <w:vAlign w:val="center"/>
          </w:tcPr>
          <w:p w:rsidR="00BD6D1F" w:rsidRPr="008877B1" w:rsidRDefault="00BD6D1F" w:rsidP="008877B1">
            <w:pPr>
              <w:tabs>
                <w:tab w:val="left" w:pos="2160"/>
              </w:tabs>
              <w:spacing w:before="60" w:after="60"/>
              <w:jc w:val="center"/>
              <w:rPr>
                <w:rFonts w:ascii="Cambria" w:hAnsi="Cambria"/>
                <w:b/>
              </w:rPr>
            </w:pPr>
          </w:p>
        </w:tc>
      </w:tr>
      <w:tr w:rsidR="00BD6D1F" w:rsidRPr="00FE7922" w:rsidTr="008877B1">
        <w:trPr>
          <w:trHeight w:val="454"/>
          <w:jc w:val="center"/>
        </w:trPr>
        <w:tc>
          <w:tcPr>
            <w:tcW w:w="1838" w:type="dxa"/>
            <w:tcBorders>
              <w:right w:val="nil"/>
            </w:tcBorders>
            <w:shd w:val="clear" w:color="auto" w:fill="FFFFFF"/>
            <w:vAlign w:val="center"/>
          </w:tcPr>
          <w:p w:rsidR="00BD6D1F" w:rsidRPr="008877B1" w:rsidRDefault="00752FDC" w:rsidP="008877B1">
            <w:pPr>
              <w:tabs>
                <w:tab w:val="left" w:pos="2160"/>
              </w:tabs>
              <w:spacing w:before="60" w:after="60"/>
              <w:jc w:val="center"/>
              <w:rPr>
                <w:rFonts w:ascii="Cambria" w:hAnsi="Cambria"/>
                <w:bCs/>
              </w:rPr>
            </w:pPr>
            <w:r>
              <w:t>Jedan revizor učinka</w:t>
            </w:r>
          </w:p>
        </w:tc>
        <w:tc>
          <w:tcPr>
            <w:tcW w:w="3967" w:type="dxa"/>
            <w:shd w:val="clear" w:color="auto" w:fill="auto"/>
            <w:vAlign w:val="center"/>
          </w:tcPr>
          <w:p w:rsidR="00BD6D1F" w:rsidRPr="008877B1" w:rsidRDefault="00752FDC" w:rsidP="008877B1">
            <w:pPr>
              <w:tabs>
                <w:tab w:val="left" w:pos="2160"/>
              </w:tabs>
              <w:spacing w:before="60" w:after="60"/>
              <w:jc w:val="left"/>
              <w:rPr>
                <w:rFonts w:ascii="Cambria" w:hAnsi="Cambria"/>
              </w:rPr>
            </w:pPr>
            <w:r>
              <w:t>Ovlašten za Prince2</w:t>
            </w:r>
          </w:p>
        </w:tc>
        <w:tc>
          <w:tcPr>
            <w:tcW w:w="2410" w:type="dxa"/>
            <w:shd w:val="clear" w:color="auto" w:fill="auto"/>
            <w:vAlign w:val="center"/>
          </w:tcPr>
          <w:p w:rsidR="00BD6D1F" w:rsidRPr="008877B1" w:rsidRDefault="00BD6D1F" w:rsidP="008877B1">
            <w:pPr>
              <w:spacing w:before="60" w:after="60"/>
              <w:jc w:val="center"/>
              <w:rPr>
                <w:rFonts w:ascii="Cambria" w:hAnsi="Cambria"/>
                <w:szCs w:val="24"/>
              </w:rPr>
            </w:pPr>
          </w:p>
        </w:tc>
      </w:tr>
      <w:tr w:rsidR="00752FDC" w:rsidRPr="00FE7922" w:rsidTr="00547719">
        <w:trPr>
          <w:trHeight w:val="1382"/>
          <w:jc w:val="center"/>
        </w:trPr>
        <w:tc>
          <w:tcPr>
            <w:tcW w:w="1838" w:type="dxa"/>
            <w:tcBorders>
              <w:top w:val="single" w:sz="4" w:space="0" w:color="4F81BD"/>
              <w:bottom w:val="single" w:sz="4" w:space="0" w:color="4F81BD"/>
              <w:right w:val="nil"/>
            </w:tcBorders>
            <w:shd w:val="clear" w:color="auto" w:fill="FFFFFF"/>
            <w:vAlign w:val="center"/>
          </w:tcPr>
          <w:p w:rsidR="00752FDC" w:rsidRPr="008877B1" w:rsidRDefault="00752FDC" w:rsidP="008877B1">
            <w:pPr>
              <w:tabs>
                <w:tab w:val="left" w:pos="2160"/>
              </w:tabs>
              <w:spacing w:before="60" w:after="60"/>
              <w:jc w:val="center"/>
              <w:rPr>
                <w:rFonts w:ascii="Cambria" w:hAnsi="Cambria"/>
                <w:bCs/>
              </w:rPr>
            </w:pPr>
            <w:r>
              <w:t>Dva ovlaštena revizora za IT</w:t>
            </w:r>
          </w:p>
        </w:tc>
        <w:tc>
          <w:tcPr>
            <w:tcW w:w="3967" w:type="dxa"/>
            <w:tcBorders>
              <w:top w:val="single" w:sz="4" w:space="0" w:color="4F81BD"/>
            </w:tcBorders>
            <w:shd w:val="clear" w:color="auto" w:fill="auto"/>
            <w:vAlign w:val="center"/>
          </w:tcPr>
          <w:p w:rsidR="00752FDC" w:rsidRPr="008877B1" w:rsidRDefault="00752FDC" w:rsidP="008877B1">
            <w:pPr>
              <w:tabs>
                <w:tab w:val="left" w:pos="2160"/>
              </w:tabs>
              <w:spacing w:before="60" w:after="60"/>
              <w:jc w:val="left"/>
              <w:rPr>
                <w:rFonts w:ascii="Cambria" w:hAnsi="Cambria"/>
              </w:rPr>
            </w:pPr>
            <w:r>
              <w:t>Iskustvo u ocjeni COBIT</w:t>
            </w:r>
          </w:p>
        </w:tc>
        <w:tc>
          <w:tcPr>
            <w:tcW w:w="2410" w:type="dxa"/>
            <w:tcBorders>
              <w:top w:val="single" w:sz="4" w:space="0" w:color="4F81BD"/>
            </w:tcBorders>
            <w:shd w:val="clear" w:color="auto" w:fill="auto"/>
            <w:vAlign w:val="center"/>
          </w:tcPr>
          <w:p w:rsidR="00752FDC" w:rsidRPr="008877B1" w:rsidRDefault="00752FDC" w:rsidP="008877B1">
            <w:pPr>
              <w:spacing w:before="60" w:after="60"/>
              <w:jc w:val="center"/>
              <w:outlineLvl w:val="2"/>
              <w:rPr>
                <w:rFonts w:ascii="Cambria" w:hAnsi="Cambria"/>
                <w:b/>
              </w:rPr>
            </w:pPr>
          </w:p>
        </w:tc>
      </w:tr>
    </w:tbl>
    <w:p w:rsidR="00BD6D1F" w:rsidRPr="008877B1" w:rsidRDefault="00BD6D1F" w:rsidP="00322905">
      <w:pPr>
        <w:rPr>
          <w:rFonts w:ascii="Cambria" w:hAnsi="Cambria"/>
          <w:lang w:val="en-US"/>
        </w:rPr>
      </w:pPr>
    </w:p>
    <w:p w:rsidR="00322905" w:rsidRPr="008877B1" w:rsidRDefault="00322905" w:rsidP="006F08C0">
      <w:pPr>
        <w:pStyle w:val="1"/>
        <w:spacing w:before="0"/>
        <w:ind w:left="482" w:hanging="482"/>
        <w:rPr>
          <w:rFonts w:ascii="Cambria" w:hAnsi="Cambria"/>
        </w:rPr>
      </w:pPr>
      <w:r>
        <w:rPr>
          <w:rFonts w:ascii="Cambria" w:hAnsi="Cambria"/>
        </w:rPr>
        <w:t>Moguće poteškoće (ako je primjenjivo)</w:t>
      </w:r>
    </w:p>
    <w:p w:rsidR="00C92F48" w:rsidRPr="00646D61" w:rsidRDefault="00646D61">
      <w:pPr>
        <w:rPr>
          <w:rFonts w:ascii="Cambria" w:hAnsi="Cambria"/>
          <w:i/>
        </w:rPr>
      </w:pPr>
      <w:r>
        <w:rPr>
          <w:i/>
          <w:szCs w:val="24"/>
        </w:rPr>
        <w:t>Rizik revizije jest mogućnost odgode projekta zbog nepredviđenih okolnosti. U tom će se slučaju revizija zamrznuti i kapaciteti upotrijebiti za druge angažmane dok se projekt ne nastavi.</w:t>
      </w:r>
    </w:p>
    <w:p w:rsidR="00C92F48" w:rsidRPr="008877B1" w:rsidRDefault="00C92F48">
      <w:pPr>
        <w:rPr>
          <w:rFonts w:ascii="Cambria" w:hAnsi="Cambria"/>
          <w:lang w:val="en-US"/>
        </w:rPr>
      </w:pPr>
    </w:p>
    <w:p w:rsidR="00F15D08" w:rsidRPr="008877B1" w:rsidRDefault="00F15D08">
      <w:pPr>
        <w:rPr>
          <w:rFonts w:ascii="Cambria" w:hAnsi="Cambria"/>
          <w:lang w:val="en-US"/>
        </w:rPr>
      </w:pPr>
    </w:p>
    <w:p w:rsidR="00F15D08" w:rsidRPr="008877B1" w:rsidRDefault="00F15D08">
      <w:pPr>
        <w:rPr>
          <w:rFonts w:ascii="Cambria" w:hAnsi="Cambria"/>
          <w:lang w:val="en-US"/>
        </w:rPr>
      </w:pPr>
    </w:p>
    <w:sectPr w:rsidR="00F15D08" w:rsidRPr="008877B1" w:rsidSect="00BE07F1">
      <w:headerReference w:type="default" r:id="rId8"/>
      <w:footerReference w:type="default" r:id="rId9"/>
      <w:headerReference w:type="first" r:id="rId10"/>
      <w:pgSz w:w="11906" w:h="16838"/>
      <w:pgMar w:top="1020" w:right="991" w:bottom="1020" w:left="1587" w:header="601" w:footer="405"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15" w:rsidRDefault="00520715" w:rsidP="00C3799C">
      <w:pPr>
        <w:spacing w:after="0"/>
      </w:pPr>
      <w:r>
        <w:separator/>
      </w:r>
    </w:p>
  </w:endnote>
  <w:endnote w:type="continuationSeparator" w:id="0">
    <w:p w:rsidR="00520715" w:rsidRDefault="00520715" w:rsidP="00C37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7F1" w:rsidRDefault="00BE07F1" w:rsidP="00BE07F1">
    <w:pPr>
      <w:pStyle w:val="af1"/>
      <w:ind w:right="-28"/>
      <w:jc w:val="center"/>
    </w:pPr>
  </w:p>
  <w:p w:rsidR="00BE07F1" w:rsidRDefault="00BE07F1" w:rsidP="008877B1">
    <w:pPr>
      <w:pStyle w:val="af1"/>
      <w:pBdr>
        <w:top w:val="single" w:sz="6" w:space="1" w:color="000000"/>
      </w:pBdr>
      <w:ind w:right="-28"/>
      <w:jc w:val="center"/>
    </w:pPr>
    <w:r>
      <w:rPr>
        <w:rFonts w:ascii="Cambria" w:hAnsi="Cambria"/>
        <w:sz w:val="20"/>
      </w:rPr>
      <w:t xml:space="preserve">Stranica </w:t>
    </w:r>
    <w:r w:rsidRPr="008877B1">
      <w:rPr>
        <w:rFonts w:ascii="Cambria" w:hAnsi="Cambria"/>
        <w:bCs/>
        <w:sz w:val="20"/>
      </w:rPr>
      <w:fldChar w:fldCharType="begin"/>
    </w:r>
    <w:r w:rsidRPr="008877B1">
      <w:rPr>
        <w:rFonts w:ascii="Cambria" w:hAnsi="Cambria"/>
        <w:bCs/>
        <w:sz w:val="20"/>
      </w:rPr>
      <w:instrText>PAGE</w:instrText>
    </w:r>
    <w:r w:rsidRPr="008877B1">
      <w:rPr>
        <w:rFonts w:ascii="Cambria" w:hAnsi="Cambria"/>
        <w:bCs/>
        <w:sz w:val="20"/>
      </w:rPr>
      <w:fldChar w:fldCharType="separate"/>
    </w:r>
    <w:r w:rsidR="00D45CBF">
      <w:rPr>
        <w:rFonts w:ascii="Cambria" w:hAnsi="Cambria"/>
        <w:bCs/>
        <w:noProof/>
        <w:sz w:val="20"/>
      </w:rPr>
      <w:t>1</w:t>
    </w:r>
    <w:r w:rsidRPr="008877B1">
      <w:rPr>
        <w:rFonts w:ascii="Cambria" w:hAnsi="Cambria"/>
        <w:bCs/>
        <w:sz w:val="20"/>
      </w:rPr>
      <w:fldChar w:fldCharType="end"/>
    </w:r>
    <w:r>
      <w:rPr>
        <w:rFonts w:ascii="Cambria" w:hAnsi="Cambria"/>
        <w:bCs/>
        <w:sz w:val="20"/>
      </w:rPr>
      <w:t xml:space="preserve">. </w:t>
    </w:r>
    <w:r>
      <w:rPr>
        <w:rFonts w:ascii="Cambria" w:hAnsi="Cambria"/>
        <w:sz w:val="20"/>
      </w:rPr>
      <w:t xml:space="preserve">od </w:t>
    </w:r>
    <w:r w:rsidRPr="008877B1">
      <w:rPr>
        <w:rFonts w:ascii="Cambria" w:hAnsi="Cambria"/>
        <w:bCs/>
        <w:sz w:val="20"/>
      </w:rPr>
      <w:fldChar w:fldCharType="begin"/>
    </w:r>
    <w:r w:rsidRPr="008877B1">
      <w:rPr>
        <w:rFonts w:ascii="Cambria" w:hAnsi="Cambria"/>
        <w:bCs/>
        <w:sz w:val="20"/>
      </w:rPr>
      <w:instrText>NUMPAGES</w:instrText>
    </w:r>
    <w:r w:rsidRPr="008877B1">
      <w:rPr>
        <w:rFonts w:ascii="Cambria" w:hAnsi="Cambria"/>
        <w:bCs/>
        <w:sz w:val="20"/>
      </w:rPr>
      <w:fldChar w:fldCharType="separate"/>
    </w:r>
    <w:r w:rsidR="00D45CBF">
      <w:rPr>
        <w:rFonts w:ascii="Cambria" w:hAnsi="Cambria"/>
        <w:bCs/>
        <w:noProof/>
        <w:sz w:val="20"/>
      </w:rPr>
      <w:t>6</w:t>
    </w:r>
    <w:r w:rsidRPr="008877B1">
      <w:rPr>
        <w:rFonts w:ascii="Cambria" w:hAnsi="Cambria"/>
        <w:bCs/>
        <w:sz w:val="20"/>
      </w:rPr>
      <w:fldChar w:fldCharType="end"/>
    </w:r>
  </w:p>
  <w:p w:rsidR="003B6102" w:rsidRPr="00C3799C" w:rsidRDefault="003B6102" w:rsidP="00C3799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15" w:rsidRDefault="00520715" w:rsidP="00C3799C">
      <w:pPr>
        <w:spacing w:after="0"/>
      </w:pPr>
      <w:r>
        <w:separator/>
      </w:r>
    </w:p>
  </w:footnote>
  <w:footnote w:type="continuationSeparator" w:id="0">
    <w:p w:rsidR="00520715" w:rsidRDefault="00520715" w:rsidP="00C3799C">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0F6" w:rsidRPr="008877B1" w:rsidRDefault="00B300F6" w:rsidP="00B300F6">
    <w:pPr>
      <w:pStyle w:val="af4"/>
      <w:spacing w:after="0"/>
      <w:rPr>
        <w:rFonts w:ascii="Cambria" w:hAnsi="Cambria"/>
        <w:sz w:val="20"/>
      </w:rPr>
    </w:pPr>
    <w:r>
      <w:rPr>
        <w:rFonts w:ascii="Cambria" w:hAnsi="Cambria"/>
        <w:sz w:val="20"/>
      </w:rPr>
      <w:t>Memorandum o planiranju angažmana</w:t>
    </w:r>
  </w:p>
  <w:p w:rsidR="00B300F6" w:rsidRPr="008877B1" w:rsidRDefault="00B300F6" w:rsidP="008877B1">
    <w:pPr>
      <w:pStyle w:val="af4"/>
      <w:pBdr>
        <w:bottom w:val="single" w:sz="6" w:space="1" w:color="000000"/>
      </w:pBdr>
      <w:rPr>
        <w:rFonts w:ascii="Cambria" w:hAnsi="Cambria"/>
        <w:sz w:val="20"/>
      </w:rPr>
    </w:pPr>
    <w:r>
      <w:rPr>
        <w:rFonts w:ascii="Cambria" w:hAnsi="Cambria"/>
        <w:sz w:val="20"/>
      </w:rPr>
      <w:t>Revizijski angažman: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102" w:rsidRDefault="003B6102">
    <w:pPr>
      <w:pStyle w:val="af4"/>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6A5276C"/>
    <w:multiLevelType w:val="hybridMultilevel"/>
    <w:tmpl w:val="0102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B646FF"/>
    <w:multiLevelType w:val="hybridMultilevel"/>
    <w:tmpl w:val="EE0E2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9127D"/>
    <w:multiLevelType w:val="hybridMultilevel"/>
    <w:tmpl w:val="1A4AEE8C"/>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F734306"/>
    <w:multiLevelType w:val="multilevel"/>
    <w:tmpl w:val="891ED16C"/>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862"/>
        </w:tabs>
        <w:ind w:left="862" w:hanging="720"/>
      </w:pPr>
      <w:rPr>
        <w:b/>
      </w:r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6AD02AB"/>
    <w:multiLevelType w:val="hybridMultilevel"/>
    <w:tmpl w:val="F210D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8D5AD3"/>
    <w:multiLevelType w:val="singleLevel"/>
    <w:tmpl w:val="82EE6B70"/>
    <w:lvl w:ilvl="0">
      <w:start w:val="1"/>
      <w:numFmt w:val="bullet"/>
      <w:lvlText w:val=""/>
      <w:lvlJc w:val="left"/>
      <w:pPr>
        <w:tabs>
          <w:tab w:val="num" w:pos="1360"/>
        </w:tabs>
        <w:ind w:left="1360" w:hanging="283"/>
      </w:pPr>
      <w:rPr>
        <w:rFonts w:ascii="Symbol" w:hAnsi="Symbol"/>
      </w:rPr>
    </w:lvl>
  </w:abstractNum>
  <w:abstractNum w:abstractNumId="12"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18" w15:restartNumberingAfterBreak="0">
    <w:nsid w:val="42A155DE"/>
    <w:multiLevelType w:val="hybridMultilevel"/>
    <w:tmpl w:val="C2A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687"/>
    <w:multiLevelType w:val="hybridMultilevel"/>
    <w:tmpl w:val="B4BC087A"/>
    <w:lvl w:ilvl="0" w:tplc="864C80A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1" w15:restartNumberingAfterBreak="0">
    <w:nsid w:val="4FA3685F"/>
    <w:multiLevelType w:val="hybridMultilevel"/>
    <w:tmpl w:val="ABC0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26"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27"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B107714"/>
    <w:multiLevelType w:val="hybridMultilevel"/>
    <w:tmpl w:val="0BD6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7"/>
  </w:num>
  <w:num w:numId="4">
    <w:abstractNumId w:val="17"/>
  </w:num>
  <w:num w:numId="5">
    <w:abstractNumId w:val="10"/>
  </w:num>
  <w:num w:numId="6">
    <w:abstractNumId w:val="16"/>
  </w:num>
  <w:num w:numId="7">
    <w:abstractNumId w:val="25"/>
  </w:num>
  <w:num w:numId="8">
    <w:abstractNumId w:val="26"/>
  </w:num>
  <w:num w:numId="9">
    <w:abstractNumId w:val="14"/>
  </w:num>
  <w:num w:numId="10">
    <w:abstractNumId w:val="24"/>
  </w:num>
  <w:num w:numId="11">
    <w:abstractNumId w:val="23"/>
  </w:num>
  <w:num w:numId="12">
    <w:abstractNumId w:val="20"/>
  </w:num>
  <w:num w:numId="13">
    <w:abstractNumId w:val="22"/>
  </w:num>
  <w:num w:numId="14">
    <w:abstractNumId w:val="8"/>
  </w:num>
  <w:num w:numId="15">
    <w:abstractNumId w:val="15"/>
  </w:num>
  <w:num w:numId="16">
    <w:abstractNumId w:val="6"/>
  </w:num>
  <w:num w:numId="17">
    <w:abstractNumId w:val="12"/>
  </w:num>
  <w:num w:numId="18">
    <w:abstractNumId w:val="27"/>
  </w:num>
  <w:num w:numId="19">
    <w:abstractNumId w:val="13"/>
  </w:num>
  <w:num w:numId="20">
    <w:abstractNumId w:val="29"/>
  </w:num>
  <w:num w:numId="21">
    <w:abstractNumId w:val="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1"/>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7"/>
  </w:num>
  <w:num w:numId="41">
    <w:abstractNumId w:val="2"/>
  </w:num>
  <w:num w:numId="42">
    <w:abstractNumId w:val="5"/>
  </w:num>
  <w:num w:numId="43">
    <w:abstractNumId w:val="21"/>
  </w:num>
  <w:num w:numId="44">
    <w:abstractNumId w:val="18"/>
  </w:num>
  <w:num w:numId="45">
    <w:abstractNumId w:val="4"/>
  </w:num>
  <w:num w:numId="46">
    <w:abstractNumId w:val="9"/>
  </w:num>
  <w:num w:numId="47">
    <w:abstractNumId w:val="19"/>
  </w:num>
  <w:num w:numId="4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C4"/>
    <w:rsid w:val="00011974"/>
    <w:rsid w:val="00012C6B"/>
    <w:rsid w:val="00034B53"/>
    <w:rsid w:val="0005017F"/>
    <w:rsid w:val="00054298"/>
    <w:rsid w:val="000857C4"/>
    <w:rsid w:val="000B55B8"/>
    <w:rsid w:val="000B7336"/>
    <w:rsid w:val="000F22D2"/>
    <w:rsid w:val="00117598"/>
    <w:rsid w:val="00132332"/>
    <w:rsid w:val="0013510D"/>
    <w:rsid w:val="00141E0C"/>
    <w:rsid w:val="00163A54"/>
    <w:rsid w:val="00194B9B"/>
    <w:rsid w:val="001A1BFC"/>
    <w:rsid w:val="001C5E5E"/>
    <w:rsid w:val="001E0840"/>
    <w:rsid w:val="00224584"/>
    <w:rsid w:val="002253EB"/>
    <w:rsid w:val="00226F0F"/>
    <w:rsid w:val="00243C3E"/>
    <w:rsid w:val="00251629"/>
    <w:rsid w:val="00251753"/>
    <w:rsid w:val="00257AE6"/>
    <w:rsid w:val="00257C29"/>
    <w:rsid w:val="00290400"/>
    <w:rsid w:val="00295BCA"/>
    <w:rsid w:val="002963C1"/>
    <w:rsid w:val="002A4701"/>
    <w:rsid w:val="002A6966"/>
    <w:rsid w:val="002C40F7"/>
    <w:rsid w:val="003056AC"/>
    <w:rsid w:val="003179FB"/>
    <w:rsid w:val="00321D54"/>
    <w:rsid w:val="00322905"/>
    <w:rsid w:val="003426B8"/>
    <w:rsid w:val="0035059D"/>
    <w:rsid w:val="00355CC7"/>
    <w:rsid w:val="0035713F"/>
    <w:rsid w:val="00357C76"/>
    <w:rsid w:val="00360666"/>
    <w:rsid w:val="00363BB0"/>
    <w:rsid w:val="003829D7"/>
    <w:rsid w:val="00390BDF"/>
    <w:rsid w:val="003928DA"/>
    <w:rsid w:val="003A3875"/>
    <w:rsid w:val="003A4E62"/>
    <w:rsid w:val="003A4E85"/>
    <w:rsid w:val="003A5766"/>
    <w:rsid w:val="003B0683"/>
    <w:rsid w:val="003B6102"/>
    <w:rsid w:val="003B68C5"/>
    <w:rsid w:val="003E06AD"/>
    <w:rsid w:val="00466C05"/>
    <w:rsid w:val="00466EB7"/>
    <w:rsid w:val="00487540"/>
    <w:rsid w:val="004B3677"/>
    <w:rsid w:val="004B657E"/>
    <w:rsid w:val="004D5C7A"/>
    <w:rsid w:val="004E4C06"/>
    <w:rsid w:val="00505D3E"/>
    <w:rsid w:val="00520715"/>
    <w:rsid w:val="0052606D"/>
    <w:rsid w:val="00547719"/>
    <w:rsid w:val="0055182B"/>
    <w:rsid w:val="00566F3C"/>
    <w:rsid w:val="005E212F"/>
    <w:rsid w:val="005E2E1F"/>
    <w:rsid w:val="005F122F"/>
    <w:rsid w:val="00613D29"/>
    <w:rsid w:val="00646D61"/>
    <w:rsid w:val="00653345"/>
    <w:rsid w:val="0067199C"/>
    <w:rsid w:val="0068501D"/>
    <w:rsid w:val="00691F5D"/>
    <w:rsid w:val="00695027"/>
    <w:rsid w:val="006D5F3B"/>
    <w:rsid w:val="006E626A"/>
    <w:rsid w:val="006F08C0"/>
    <w:rsid w:val="00707C09"/>
    <w:rsid w:val="00752FDC"/>
    <w:rsid w:val="00771F8F"/>
    <w:rsid w:val="007744E0"/>
    <w:rsid w:val="007773E5"/>
    <w:rsid w:val="0079181A"/>
    <w:rsid w:val="007A046B"/>
    <w:rsid w:val="007B1779"/>
    <w:rsid w:val="007C2299"/>
    <w:rsid w:val="007C310F"/>
    <w:rsid w:val="007F09AB"/>
    <w:rsid w:val="007F1D24"/>
    <w:rsid w:val="00804E3E"/>
    <w:rsid w:val="00857719"/>
    <w:rsid w:val="00876089"/>
    <w:rsid w:val="00881AED"/>
    <w:rsid w:val="008877B1"/>
    <w:rsid w:val="008B4CC8"/>
    <w:rsid w:val="008F5DD2"/>
    <w:rsid w:val="008F7A5B"/>
    <w:rsid w:val="0090504E"/>
    <w:rsid w:val="00907279"/>
    <w:rsid w:val="0091461F"/>
    <w:rsid w:val="00916F80"/>
    <w:rsid w:val="0092073E"/>
    <w:rsid w:val="009211F4"/>
    <w:rsid w:val="009335BF"/>
    <w:rsid w:val="009336E6"/>
    <w:rsid w:val="0093416A"/>
    <w:rsid w:val="00944BBC"/>
    <w:rsid w:val="00954FE8"/>
    <w:rsid w:val="009B064A"/>
    <w:rsid w:val="009D3B69"/>
    <w:rsid w:val="00A02F4D"/>
    <w:rsid w:val="00A13788"/>
    <w:rsid w:val="00A20A3B"/>
    <w:rsid w:val="00A56DE1"/>
    <w:rsid w:val="00A82CE7"/>
    <w:rsid w:val="00A961FD"/>
    <w:rsid w:val="00AC70EB"/>
    <w:rsid w:val="00AE5996"/>
    <w:rsid w:val="00AF1D65"/>
    <w:rsid w:val="00B035B0"/>
    <w:rsid w:val="00B03775"/>
    <w:rsid w:val="00B03BF8"/>
    <w:rsid w:val="00B14293"/>
    <w:rsid w:val="00B300F6"/>
    <w:rsid w:val="00B74A81"/>
    <w:rsid w:val="00BA22EC"/>
    <w:rsid w:val="00BC372B"/>
    <w:rsid w:val="00BD027D"/>
    <w:rsid w:val="00BD47C0"/>
    <w:rsid w:val="00BD6D1F"/>
    <w:rsid w:val="00BE07F1"/>
    <w:rsid w:val="00BF4230"/>
    <w:rsid w:val="00C1311C"/>
    <w:rsid w:val="00C3799C"/>
    <w:rsid w:val="00C54862"/>
    <w:rsid w:val="00C7138F"/>
    <w:rsid w:val="00C741AD"/>
    <w:rsid w:val="00C92F48"/>
    <w:rsid w:val="00C963C0"/>
    <w:rsid w:val="00CC26AC"/>
    <w:rsid w:val="00CD506C"/>
    <w:rsid w:val="00CE03E7"/>
    <w:rsid w:val="00CF68FF"/>
    <w:rsid w:val="00D010FC"/>
    <w:rsid w:val="00D26289"/>
    <w:rsid w:val="00D45CBF"/>
    <w:rsid w:val="00D61FC8"/>
    <w:rsid w:val="00D628D1"/>
    <w:rsid w:val="00D70AC9"/>
    <w:rsid w:val="00D82F5E"/>
    <w:rsid w:val="00D96A68"/>
    <w:rsid w:val="00DC7058"/>
    <w:rsid w:val="00DC77B1"/>
    <w:rsid w:val="00E12ADD"/>
    <w:rsid w:val="00E21089"/>
    <w:rsid w:val="00E24E04"/>
    <w:rsid w:val="00E26376"/>
    <w:rsid w:val="00E411A0"/>
    <w:rsid w:val="00E4458F"/>
    <w:rsid w:val="00E47BB4"/>
    <w:rsid w:val="00E6088F"/>
    <w:rsid w:val="00E75A76"/>
    <w:rsid w:val="00E90075"/>
    <w:rsid w:val="00E95465"/>
    <w:rsid w:val="00EA1848"/>
    <w:rsid w:val="00EA7709"/>
    <w:rsid w:val="00EC2C2F"/>
    <w:rsid w:val="00EE05B7"/>
    <w:rsid w:val="00EE692C"/>
    <w:rsid w:val="00F00F90"/>
    <w:rsid w:val="00F15D08"/>
    <w:rsid w:val="00F22DE4"/>
    <w:rsid w:val="00F302E5"/>
    <w:rsid w:val="00F31C7E"/>
    <w:rsid w:val="00F37B5D"/>
    <w:rsid w:val="00F43328"/>
    <w:rsid w:val="00F534EB"/>
    <w:rsid w:val="00F75566"/>
    <w:rsid w:val="00FA2F40"/>
    <w:rsid w:val="00FA5642"/>
    <w:rsid w:val="00FA65FD"/>
    <w:rsid w:val="00FB6F9B"/>
    <w:rsid w:val="00FD6F4F"/>
    <w:rsid w:val="00FE0361"/>
    <w:rsid w:val="00FE79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1A39E-641E-40C6-BE33-6DDF95A43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40"/>
      <w:jc w:val="both"/>
    </w:pPr>
    <w:rPr>
      <w:sz w:val="24"/>
      <w:lang w:eastAsia="en-US"/>
    </w:rPr>
  </w:style>
  <w:style w:type="paragraph" w:styleId="1">
    <w:name w:val="heading 1"/>
    <w:basedOn w:val="a1"/>
    <w:next w:val="Text1"/>
    <w:qFormat/>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qFormat/>
    <w:pPr>
      <w:tabs>
        <w:tab w:val="num" w:pos="0"/>
      </w:tabs>
      <w:spacing w:before="240" w:after="60"/>
      <w:outlineLvl w:val="4"/>
    </w:pPr>
    <w:rPr>
      <w:rFonts w:ascii="Arial" w:hAnsi="Arial"/>
      <w:sz w:val="22"/>
    </w:rPr>
  </w:style>
  <w:style w:type="paragraph" w:styleId="6">
    <w:name w:val="heading 6"/>
    <w:basedOn w:val="a1"/>
    <w:next w:val="a1"/>
    <w:qFormat/>
    <w:pPr>
      <w:tabs>
        <w:tab w:val="num" w:pos="0"/>
      </w:tabs>
      <w:spacing w:before="240" w:after="60"/>
      <w:outlineLvl w:val="5"/>
    </w:pPr>
    <w:rPr>
      <w:rFonts w:ascii="Arial" w:hAnsi="Arial"/>
      <w:i/>
      <w:sz w:val="22"/>
    </w:rPr>
  </w:style>
  <w:style w:type="paragraph" w:styleId="7">
    <w:name w:val="heading 7"/>
    <w:basedOn w:val="a1"/>
    <w:next w:val="a1"/>
    <w:qFormat/>
    <w:pPr>
      <w:tabs>
        <w:tab w:val="num" w:pos="0"/>
      </w:tabs>
      <w:spacing w:before="240" w:after="60"/>
      <w:outlineLvl w:val="6"/>
    </w:pPr>
    <w:rPr>
      <w:rFonts w:ascii="Arial" w:hAnsi="Arial"/>
      <w:sz w:val="20"/>
    </w:rPr>
  </w:style>
  <w:style w:type="paragraph" w:styleId="8">
    <w:name w:val="heading 8"/>
    <w:basedOn w:val="a1"/>
    <w:next w:val="a1"/>
    <w:qFormat/>
    <w:pPr>
      <w:tabs>
        <w:tab w:val="num" w:pos="0"/>
      </w:tabs>
      <w:spacing w:before="240" w:after="60"/>
      <w:outlineLvl w:val="7"/>
    </w:pPr>
    <w:rPr>
      <w:rFonts w:ascii="Arial" w:hAnsi="Arial"/>
      <w:i/>
      <w:sz w:val="20"/>
    </w:rPr>
  </w:style>
  <w:style w:type="paragraph" w:styleId="9">
    <w:name w:val="heading 9"/>
    <w:basedOn w:val="a1"/>
    <w:next w:val="a1"/>
    <w:qFormat/>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link w:val="Text1Char"/>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qFormat/>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ac"/>
    <w:semiHidden/>
    <w:rPr>
      <w:sz w:val="20"/>
    </w:rPr>
  </w:style>
  <w:style w:type="paragraph" w:styleId="ad">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e">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f">
    <w:name w:val="endnote text"/>
    <w:basedOn w:val="a1"/>
    <w:semiHidden/>
    <w:rPr>
      <w:sz w:val="20"/>
    </w:rPr>
  </w:style>
  <w:style w:type="paragraph" w:styleId="af0">
    <w:name w:val="envelope address"/>
    <w:basedOn w:val="a1"/>
    <w:pPr>
      <w:framePr w:w="7920" w:h="1980" w:hRule="exact" w:hSpace="180" w:wrap="auto" w:hAnchor="page" w:xAlign="center" w:yAlign="bottom"/>
      <w:spacing w:after="0"/>
    </w:pPr>
  </w:style>
  <w:style w:type="paragraph" w:styleId="25">
    <w:name w:val="envelope return"/>
    <w:basedOn w:val="a1"/>
    <w:pPr>
      <w:spacing w:after="0"/>
    </w:pPr>
    <w:rPr>
      <w:sz w:val="20"/>
    </w:rPr>
  </w:style>
  <w:style w:type="paragraph" w:styleId="af1">
    <w:name w:val="footer"/>
    <w:basedOn w:val="a1"/>
    <w:link w:val="af2"/>
    <w:uiPriority w:val="99"/>
    <w:pPr>
      <w:spacing w:after="0"/>
      <w:ind w:right="-567"/>
      <w:jc w:val="left"/>
    </w:pPr>
    <w:rPr>
      <w:rFonts w:ascii="Arial" w:hAnsi="Arial"/>
      <w:sz w:val="16"/>
    </w:rPr>
  </w:style>
  <w:style w:type="paragraph" w:styleId="af3">
    <w:name w:val="footnote text"/>
    <w:basedOn w:val="a1"/>
    <w:semiHidden/>
    <w:pPr>
      <w:ind w:left="357" w:hanging="357"/>
    </w:pPr>
    <w:rPr>
      <w:sz w:val="20"/>
    </w:rPr>
  </w:style>
  <w:style w:type="paragraph" w:styleId="af4">
    <w:name w:val="header"/>
    <w:basedOn w:val="a1"/>
    <w:link w:val="af5"/>
    <w:uiPriority w:val="99"/>
    <w:pPr>
      <w:tabs>
        <w:tab w:val="center" w:pos="4153"/>
        <w:tab w:val="right" w:pos="8306"/>
      </w:tabs>
    </w:pPr>
  </w:style>
  <w:style w:type="paragraph" w:styleId="10">
    <w:name w:val="index 1"/>
    <w:basedOn w:val="a1"/>
    <w:next w:val="a1"/>
    <w:autoRedefine/>
    <w:semiHidden/>
    <w:pPr>
      <w:ind w:left="240" w:hanging="240"/>
    </w:pPr>
  </w:style>
  <w:style w:type="paragraph" w:styleId="26">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6">
    <w:name w:val="index heading"/>
    <w:basedOn w:val="a1"/>
    <w:next w:val="10"/>
    <w:semiHidden/>
    <w:rPr>
      <w:rFonts w:ascii="Arial" w:hAnsi="Arial"/>
      <w:b/>
    </w:rPr>
  </w:style>
  <w:style w:type="paragraph" w:styleId="af7">
    <w:name w:val="List"/>
    <w:basedOn w:val="a1"/>
    <w:pPr>
      <w:ind w:left="283" w:hanging="283"/>
    </w:pPr>
  </w:style>
  <w:style w:type="paragraph" w:styleId="27">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8">
    <w:name w:val="List Continue"/>
    <w:basedOn w:val="a1"/>
    <w:pPr>
      <w:spacing w:after="120"/>
      <w:ind w:left="283"/>
    </w:pPr>
  </w:style>
  <w:style w:type="paragraph" w:styleId="28">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9">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a">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Normal Indent"/>
    <w:basedOn w:val="a1"/>
    <w:pPr>
      <w:ind w:left="720"/>
    </w:pPr>
  </w:style>
  <w:style w:type="paragraph" w:styleId="afc">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d">
    <w:name w:val="Plain Text"/>
    <w:basedOn w:val="a1"/>
    <w:rPr>
      <w:rFonts w:ascii="Courier New" w:hAnsi="Courier New"/>
      <w:sz w:val="20"/>
    </w:rPr>
  </w:style>
  <w:style w:type="paragraph" w:styleId="afe">
    <w:name w:val="Salutation"/>
    <w:basedOn w:val="a1"/>
    <w:next w:val="a1"/>
  </w:style>
  <w:style w:type="paragraph" w:styleId="aff">
    <w:name w:val="Signature"/>
    <w:basedOn w:val="a1"/>
    <w:next w:val="Enclosures"/>
    <w:pPr>
      <w:tabs>
        <w:tab w:val="left" w:pos="5103"/>
      </w:tabs>
      <w:spacing w:before="1200" w:after="0"/>
      <w:ind w:left="5103"/>
      <w:jc w:val="center"/>
    </w:pPr>
  </w:style>
  <w:style w:type="paragraph" w:styleId="aff0">
    <w:name w:val="Subtitle"/>
    <w:basedOn w:val="a1"/>
    <w:qFormat/>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1">
    <w:name w:val="table of authorities"/>
    <w:basedOn w:val="a1"/>
    <w:next w:val="a1"/>
    <w:semiHidden/>
    <w:pPr>
      <w:ind w:left="240" w:hanging="240"/>
    </w:pPr>
  </w:style>
  <w:style w:type="paragraph" w:styleId="aff2">
    <w:name w:val="table of figures"/>
    <w:basedOn w:val="a1"/>
    <w:next w:val="a1"/>
    <w:semiHidden/>
    <w:pPr>
      <w:ind w:left="480" w:hanging="480"/>
    </w:pPr>
  </w:style>
  <w:style w:type="paragraph" w:styleId="aff3">
    <w:name w:val="Title"/>
    <w:basedOn w:val="a1"/>
    <w:next w:val="SubTitle1"/>
    <w:qFormat/>
    <w:pPr>
      <w:spacing w:after="480"/>
      <w:jc w:val="center"/>
    </w:pPr>
    <w:rPr>
      <w:b/>
      <w:kern w:val="28"/>
      <w:sz w:val="48"/>
    </w:rPr>
  </w:style>
  <w:style w:type="paragraph" w:styleId="aff4">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9">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12">
    <w:name w:val="Заголовок оглавления1"/>
    <w:basedOn w:val="a1"/>
    <w:next w:val="a1"/>
    <w:qFormat/>
    <w:pPr>
      <w:keepNext/>
      <w:spacing w:before="240"/>
      <w:jc w:val="center"/>
    </w:pPr>
    <w:rPr>
      <w:b/>
    </w:rPr>
  </w:style>
  <w:style w:type="paragraph" w:customStyle="1" w:styleId="Contact">
    <w:name w:val="Contact"/>
    <w:basedOn w:val="a1"/>
    <w:next w:val="a1"/>
    <w:uiPriority w:val="99"/>
    <w:pPr>
      <w:spacing w:after="480"/>
      <w:ind w:left="567" w:hanging="567"/>
      <w:jc w:val="left"/>
    </w:pPr>
  </w:style>
  <w:style w:type="paragraph" w:customStyle="1" w:styleId="Designator">
    <w:name w:val="Designator"/>
    <w:basedOn w:val="a1"/>
    <w:pPr>
      <w:spacing w:after="0"/>
      <w:jc w:val="center"/>
    </w:pPr>
    <w:rPr>
      <w:b/>
      <w:caps/>
      <w:sz w:val="32"/>
    </w:rPr>
  </w:style>
  <w:style w:type="paragraph" w:customStyle="1" w:styleId="Releasable">
    <w:name w:val="Releasable"/>
    <w:basedOn w:val="a1"/>
    <w:qFormat/>
    <w:pPr>
      <w:spacing w:after="0"/>
      <w:jc w:val="center"/>
    </w:pPr>
    <w:rPr>
      <w:b/>
      <w:caps/>
      <w:sz w:val="32"/>
    </w:rPr>
  </w:style>
  <w:style w:type="paragraph" w:customStyle="1" w:styleId="RUE">
    <w:name w:val="RUE"/>
    <w:basedOn w:val="a1"/>
    <w:pPr>
      <w:spacing w:after="0"/>
      <w:jc w:val="center"/>
    </w:pPr>
    <w:rPr>
      <w:b/>
      <w:caps/>
      <w:sz w:val="32"/>
      <w:bdr w:val="single" w:sz="18" w:space="0" w:color="auto"/>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customStyle="1" w:styleId="LegalNumPar">
    <w:name w:val="LegalNumPar"/>
    <w:basedOn w:val="a1"/>
    <w:pPr>
      <w:numPr>
        <w:numId w:val="27"/>
      </w:numPr>
      <w:spacing w:line="360" w:lineRule="auto"/>
      <w:jc w:val="left"/>
    </w:pPr>
    <w:rPr>
      <w:rFonts w:eastAsia="Calibri"/>
      <w:szCs w:val="22"/>
    </w:rPr>
  </w:style>
  <w:style w:type="paragraph" w:customStyle="1" w:styleId="LegalNumPar2">
    <w:name w:val="LegalNumPar2"/>
    <w:basedOn w:val="a1"/>
    <w:pPr>
      <w:numPr>
        <w:ilvl w:val="1"/>
        <w:numId w:val="27"/>
      </w:numPr>
      <w:spacing w:line="360" w:lineRule="auto"/>
      <w:ind w:left="952" w:hanging="476"/>
      <w:jc w:val="left"/>
    </w:pPr>
    <w:rPr>
      <w:rFonts w:eastAsia="Calibri"/>
      <w:szCs w:val="22"/>
    </w:rPr>
  </w:style>
  <w:style w:type="paragraph" w:customStyle="1" w:styleId="LegalNumPar3">
    <w:name w:val="LegalNumPar3"/>
    <w:basedOn w:val="a1"/>
    <w:pPr>
      <w:numPr>
        <w:ilvl w:val="2"/>
        <w:numId w:val="27"/>
      </w:numPr>
      <w:spacing w:line="360" w:lineRule="auto"/>
      <w:jc w:val="left"/>
    </w:pPr>
    <w:rPr>
      <w:rFonts w:eastAsia="Calibri"/>
      <w:szCs w:val="22"/>
    </w:rPr>
  </w:style>
  <w:style w:type="character" w:customStyle="1" w:styleId="af2">
    <w:name w:val="Нижний колонтитул Знак"/>
    <w:link w:val="af1"/>
    <w:uiPriority w:val="99"/>
    <w:rsid w:val="00613D29"/>
    <w:rPr>
      <w:rFonts w:ascii="Arial" w:hAnsi="Arial"/>
      <w:sz w:val="16"/>
      <w:lang w:eastAsia="en-US"/>
    </w:rPr>
  </w:style>
  <w:style w:type="paragraph" w:customStyle="1" w:styleId="ZCom">
    <w:name w:val="Z_Com"/>
    <w:basedOn w:val="a1"/>
    <w:next w:val="ZDGName"/>
    <w:uiPriority w:val="99"/>
    <w:rsid w:val="00613D29"/>
    <w:pPr>
      <w:widowControl w:val="0"/>
      <w:autoSpaceDE w:val="0"/>
      <w:autoSpaceDN w:val="0"/>
      <w:spacing w:after="0"/>
      <w:ind w:right="85"/>
    </w:pPr>
    <w:rPr>
      <w:rFonts w:ascii="Arial" w:hAnsi="Arial" w:cs="Arial"/>
      <w:szCs w:val="24"/>
      <w:lang w:eastAsia="en-GB"/>
    </w:rPr>
  </w:style>
  <w:style w:type="paragraph" w:customStyle="1" w:styleId="ZDGName">
    <w:name w:val="Z_DGName"/>
    <w:basedOn w:val="a1"/>
    <w:uiPriority w:val="99"/>
    <w:rsid w:val="00613D29"/>
    <w:pPr>
      <w:widowControl w:val="0"/>
      <w:autoSpaceDE w:val="0"/>
      <w:autoSpaceDN w:val="0"/>
      <w:spacing w:after="0"/>
      <w:ind w:right="85"/>
      <w:jc w:val="left"/>
    </w:pPr>
    <w:rPr>
      <w:rFonts w:ascii="Arial" w:hAnsi="Arial" w:cs="Arial"/>
      <w:sz w:val="16"/>
      <w:szCs w:val="16"/>
      <w:lang w:eastAsia="en-GB"/>
    </w:rPr>
  </w:style>
  <w:style w:type="character" w:customStyle="1" w:styleId="af5">
    <w:name w:val="Верхний колонтитул Знак"/>
    <w:link w:val="af4"/>
    <w:uiPriority w:val="99"/>
    <w:rsid w:val="00613D29"/>
    <w:rPr>
      <w:sz w:val="24"/>
      <w:lang w:eastAsia="en-US"/>
    </w:rPr>
  </w:style>
  <w:style w:type="paragraph" w:styleId="aff5">
    <w:name w:val="Normal (Web)"/>
    <w:basedOn w:val="a1"/>
    <w:rsid w:val="00322905"/>
    <w:rPr>
      <w:szCs w:val="24"/>
      <w:lang w:eastAsia="ko-KR"/>
    </w:rPr>
  </w:style>
  <w:style w:type="table" w:styleId="aff6">
    <w:name w:val="Table Grid"/>
    <w:basedOn w:val="a3"/>
    <w:uiPriority w:val="59"/>
    <w:rsid w:val="0032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322905"/>
    <w:rPr>
      <w:sz w:val="24"/>
      <w:lang w:eastAsia="en-US"/>
    </w:rPr>
  </w:style>
  <w:style w:type="character" w:styleId="aff7">
    <w:name w:val="annotation reference"/>
    <w:rsid w:val="00322905"/>
    <w:rPr>
      <w:sz w:val="16"/>
      <w:szCs w:val="16"/>
    </w:rPr>
  </w:style>
  <w:style w:type="character" w:customStyle="1" w:styleId="ac">
    <w:name w:val="Текст примечания Знак"/>
    <w:link w:val="ab"/>
    <w:semiHidden/>
    <w:rsid w:val="00322905"/>
    <w:rPr>
      <w:lang w:eastAsia="en-US"/>
    </w:rPr>
  </w:style>
  <w:style w:type="table" w:customStyle="1" w:styleId="Style1">
    <w:name w:val="Style1"/>
    <w:basedOn w:val="13"/>
    <w:uiPriority w:val="99"/>
    <w:rsid w:val="00322905"/>
    <w:rPr>
      <w:lang w:val="ru-RU" w:eastAsia="en-US"/>
    </w:rP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3">
    <w:name w:val="Table Simple 1"/>
    <w:basedOn w:val="a3"/>
    <w:uiPriority w:val="99"/>
    <w:semiHidden/>
    <w:unhideWhenUsed/>
    <w:rsid w:val="00322905"/>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f8">
    <w:name w:val="Balloon Text"/>
    <w:basedOn w:val="a1"/>
    <w:link w:val="aff9"/>
    <w:uiPriority w:val="99"/>
    <w:semiHidden/>
    <w:unhideWhenUsed/>
    <w:rsid w:val="00322905"/>
    <w:pPr>
      <w:spacing w:after="0"/>
    </w:pPr>
    <w:rPr>
      <w:rFonts w:ascii="Tahoma" w:hAnsi="Tahoma" w:cs="Tahoma"/>
      <w:sz w:val="16"/>
      <w:szCs w:val="16"/>
    </w:rPr>
  </w:style>
  <w:style w:type="character" w:customStyle="1" w:styleId="aff9">
    <w:name w:val="Текст выноски Знак"/>
    <w:link w:val="aff8"/>
    <w:uiPriority w:val="99"/>
    <w:semiHidden/>
    <w:rsid w:val="00322905"/>
    <w:rPr>
      <w:rFonts w:ascii="Tahoma" w:hAnsi="Tahoma" w:cs="Tahoma"/>
      <w:sz w:val="16"/>
      <w:szCs w:val="16"/>
      <w:lang w:eastAsia="en-US"/>
    </w:rPr>
  </w:style>
  <w:style w:type="paragraph" w:customStyle="1" w:styleId="14">
    <w:name w:val="Без интервала1"/>
    <w:link w:val="affa"/>
    <w:uiPriority w:val="1"/>
    <w:qFormat/>
    <w:rsid w:val="00295BCA"/>
    <w:rPr>
      <w:rFonts w:ascii="Calibri" w:hAnsi="Calibri"/>
      <w:sz w:val="22"/>
      <w:szCs w:val="22"/>
      <w:lang w:eastAsia="ro-RO"/>
    </w:rPr>
  </w:style>
  <w:style w:type="character" w:customStyle="1" w:styleId="affa">
    <w:name w:val="Без интервала Знак"/>
    <w:link w:val="14"/>
    <w:uiPriority w:val="1"/>
    <w:rsid w:val="00295BCA"/>
    <w:rPr>
      <w:rFonts w:ascii="Calibri" w:eastAsia="Times New Roman" w:hAnsi="Calibri" w:cs="Times New Roman"/>
      <w:sz w:val="22"/>
      <w:szCs w:val="22"/>
      <w:lang w:val="hr-HR" w:eastAsia="ro-RO"/>
    </w:rPr>
  </w:style>
  <w:style w:type="paragraph" w:customStyle="1" w:styleId="ColorfulList-Accent11">
    <w:name w:val="Colorful List - Accent 11"/>
    <w:basedOn w:val="a1"/>
    <w:uiPriority w:val="34"/>
    <w:qFormat/>
    <w:rsid w:val="00BA22EC"/>
    <w:pPr>
      <w:ind w:left="720"/>
      <w:contextualSpacing/>
    </w:pPr>
  </w:style>
  <w:style w:type="table" w:customStyle="1" w:styleId="-3-1">
    <w:name w:val="Список-таблица 3 - Акцент 1"/>
    <w:basedOn w:val="a3"/>
    <w:uiPriority w:val="48"/>
    <w:rsid w:val="00FE7922"/>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styleId="affb">
    <w:name w:val="footnote reference"/>
    <w:uiPriority w:val="99"/>
    <w:semiHidden/>
    <w:unhideWhenUsed/>
    <w:rsid w:val="00466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442470\Desktop\Materials\ENG\1.3%206%20-%20Engagement%20Planning%20Memorandum%20-%2012042018.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8AC5-BB29-438D-A76E-635A028A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 6 - Engagement Planning Memorandum - 12042018</Template>
  <TotalTime>1</TotalTime>
  <Pages>6</Pages>
  <Words>1479</Words>
  <Characters>8434</Characters>
  <Application>Microsoft Office Word</Application>
  <DocSecurity>0</DocSecurity>
  <PresentationFormat>Microsoft Word 14.0</PresentationFormat>
  <Lines>70</Lines>
  <Paragraphs>19</Paragraphs>
  <ScaleCrop>false</ScaleCrop>
  <HeadingPairs>
    <vt:vector size="2" baseType="variant">
      <vt:variant>
        <vt:lpstr>Название</vt:lpstr>
      </vt:variant>
      <vt:variant>
        <vt:i4>1</vt:i4>
      </vt:variant>
    </vt:vector>
  </HeadingPairs>
  <TitlesOfParts>
    <vt:vector size="1" baseType="lpstr">
      <vt:lpstr>Engagement Planning Memorandum</vt:lpstr>
    </vt:vector>
  </TitlesOfParts>
  <Company>European Commission</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Planning Memorandum</dc:title>
  <dc:subject>Audit Engagement: ....................................................</dc:subject>
  <dc:creator>Пользователь Microsoft Office</dc:creator>
  <cp:keywords>EL4</cp:keywords>
  <cp:lastModifiedBy>user</cp:lastModifiedBy>
  <cp:revision>2</cp:revision>
  <dcterms:created xsi:type="dcterms:W3CDTF">2019-04-03T19:37:00Z</dcterms:created>
  <dcterms:modified xsi:type="dcterms:W3CDTF">2019-04-03T19:37:00Z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kraff Manfred</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ies>
</file>