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BE31C" w14:textId="77777777" w:rsidR="00137E3D" w:rsidRDefault="002C3149" w:rsidP="00137E3D">
      <w:pPr>
        <w:widowControl w:val="0"/>
        <w:autoSpaceDE w:val="0"/>
        <w:autoSpaceDN w:val="0"/>
        <w:adjustRightInd w:val="0"/>
        <w:jc w:val="center"/>
        <w:rPr>
          <w:rFonts w:ascii="Helvetica Neue" w:hAnsi="Helvetica Neue" w:cs="Helvetica Neue"/>
          <w:b/>
        </w:rPr>
      </w:pPr>
      <w:r>
        <w:rPr>
          <w:rFonts w:ascii="Helvetica Neue" w:hAnsi="Helvetica Neue"/>
          <w:b/>
        </w:rPr>
        <w:t>PEMPAL – Zajednica prakse za riznicu</w:t>
      </w:r>
    </w:p>
    <w:p w14:paraId="44EF047D" w14:textId="77777777" w:rsidR="00137E3D" w:rsidRDefault="00137E3D" w:rsidP="00137E3D">
      <w:pPr>
        <w:widowControl w:val="0"/>
        <w:autoSpaceDE w:val="0"/>
        <w:autoSpaceDN w:val="0"/>
        <w:adjustRightInd w:val="0"/>
        <w:jc w:val="center"/>
        <w:rPr>
          <w:rFonts w:ascii="Helvetica Neue" w:hAnsi="Helvetica Neue" w:cs="Helvetica Neue"/>
          <w:b/>
        </w:rPr>
      </w:pPr>
      <w:r>
        <w:rPr>
          <w:rFonts w:ascii="Helvetica Neue" w:hAnsi="Helvetica Neue"/>
          <w:b/>
        </w:rPr>
        <w:t>Tematska skupina „Upravljanje novčanim sredstvima”</w:t>
      </w:r>
    </w:p>
    <w:p w14:paraId="3690D654" w14:textId="77777777" w:rsidR="00137E3D" w:rsidRDefault="00137E3D" w:rsidP="002C3149">
      <w:pPr>
        <w:widowControl w:val="0"/>
        <w:autoSpaceDE w:val="0"/>
        <w:autoSpaceDN w:val="0"/>
        <w:adjustRightInd w:val="0"/>
        <w:jc w:val="both"/>
        <w:rPr>
          <w:rFonts w:ascii="Helvetica Neue" w:hAnsi="Helvetica Neue" w:cs="Helvetica Neue"/>
          <w:b/>
        </w:rPr>
      </w:pPr>
    </w:p>
    <w:p w14:paraId="02C897B3" w14:textId="2389ED0A" w:rsidR="002C3149" w:rsidRPr="00D057B5" w:rsidRDefault="00137E3D" w:rsidP="002C3149">
      <w:pPr>
        <w:widowControl w:val="0"/>
        <w:autoSpaceDE w:val="0"/>
        <w:autoSpaceDN w:val="0"/>
        <w:adjustRightInd w:val="0"/>
        <w:jc w:val="both"/>
        <w:rPr>
          <w:rFonts w:ascii="Helvetica Neue" w:hAnsi="Helvetica Neue" w:cs="Helvetica Neue"/>
          <w:b/>
          <w:i/>
          <w:iCs/>
        </w:rPr>
      </w:pPr>
      <w:r>
        <w:rPr>
          <w:rFonts w:ascii="Helvetica Neue" w:hAnsi="Helvetica Neue"/>
          <w:b/>
          <w:i/>
        </w:rPr>
        <w:t>Videokonferencija, 29. listopada 2015.</w:t>
      </w:r>
    </w:p>
    <w:p w14:paraId="64C9FAD7" w14:textId="77777777" w:rsidR="002C3149" w:rsidRPr="00D057B5" w:rsidRDefault="002C3149" w:rsidP="002C3149">
      <w:pPr>
        <w:widowControl w:val="0"/>
        <w:autoSpaceDE w:val="0"/>
        <w:autoSpaceDN w:val="0"/>
        <w:adjustRightInd w:val="0"/>
        <w:rPr>
          <w:rFonts w:ascii="Times New Roman" w:hAnsi="Times New Roman" w:cs="Times New Roman"/>
        </w:rPr>
      </w:pPr>
    </w:p>
    <w:p w14:paraId="33A8FEEB" w14:textId="3C3DA6AA" w:rsidR="002C3149" w:rsidRDefault="002C3149" w:rsidP="002C3149">
      <w:pPr>
        <w:widowControl w:val="0"/>
        <w:autoSpaceDE w:val="0"/>
        <w:autoSpaceDN w:val="0"/>
        <w:adjustRightInd w:val="0"/>
        <w:jc w:val="both"/>
        <w:rPr>
          <w:rFonts w:ascii="Times New Roman" w:hAnsi="Times New Roman" w:cs="Times New Roman"/>
        </w:rPr>
      </w:pPr>
      <w:r>
        <w:rPr>
          <w:rFonts w:ascii="Times New Roman" w:hAnsi="Times New Roman"/>
        </w:rPr>
        <w:t>Dana 29. listopada 37 osoba iz 13 zemalja (i 17 različitih lokacija) sudjelovalo je na trosatnoj videokonferenciji o upravljanju novčanim sredstvima. To je bilo šesto događanje za radnu skupinu. Prethodne četiri videokonferencije održane su u svibnju, rujnu i studenom 2014. i travnju 2015., a plenarna sjednica održana je u Tirani u svibnju 2015. Sudjelovali su i voditeljica tima za resurse Zajednice prakse za riznicu Svjetske banke Elena Nikulina te savjetnik Zajednice prakse za riznicu Ion Chicu. U središtu videokonferencije bila je prezentacija tematskog savjetnika Zajednice prakse za riznicu Marka Silinsa o jedinstvenom računu riznice koja se nalazi u privitku. U privitku se nalazi i dnevni red videokonferencije.</w:t>
      </w:r>
    </w:p>
    <w:p w14:paraId="63E415A4" w14:textId="77777777" w:rsidR="00137E3D" w:rsidRDefault="00137E3D" w:rsidP="002C3149">
      <w:pPr>
        <w:widowControl w:val="0"/>
        <w:autoSpaceDE w:val="0"/>
        <w:autoSpaceDN w:val="0"/>
        <w:adjustRightInd w:val="0"/>
        <w:jc w:val="both"/>
        <w:rPr>
          <w:rFonts w:ascii="Times New Roman" w:hAnsi="Times New Roman" w:cs="Times New Roman"/>
        </w:rPr>
      </w:pPr>
    </w:p>
    <w:p w14:paraId="7E44DA83" w14:textId="2A0E7555" w:rsidR="00137E3D" w:rsidRPr="00D057B5" w:rsidRDefault="00137E3D" w:rsidP="002C3149">
      <w:pPr>
        <w:widowControl w:val="0"/>
        <w:autoSpaceDE w:val="0"/>
        <w:autoSpaceDN w:val="0"/>
        <w:adjustRightInd w:val="0"/>
        <w:jc w:val="both"/>
        <w:rPr>
          <w:rFonts w:ascii="Times New Roman" w:hAnsi="Times New Roman" w:cs="Times New Roman"/>
        </w:rPr>
      </w:pPr>
      <w:r>
        <w:rPr>
          <w:rFonts w:ascii="Times New Roman" w:hAnsi="Times New Roman"/>
        </w:rPr>
        <w:t xml:space="preserve">     </w:t>
      </w:r>
      <w:r w:rsidR="008E227A">
        <w:rPr>
          <w:rFonts w:ascii="Times New Roman" w:hAnsi="Times New Roman"/>
        </w:rPr>
        <w:object w:dxaOrig="1531" w:dyaOrig="990" w14:anchorId="1A49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filled="t" fillcolor="#92d050">
            <v:imagedata r:id="rId8" o:title=""/>
          </v:shape>
          <o:OLEObject Type="Embed" ProgID="PowerPoint.Show.12" ShapeID="_x0000_i1025" DrawAspect="Icon" ObjectID="_1510471755" r:id="rId9"/>
        </w:object>
      </w:r>
      <w:r w:rsidR="008E227A">
        <w:rPr>
          <w:rFonts w:ascii="Times New Roman" w:hAnsi="Times New Roman"/>
        </w:rPr>
        <w:t xml:space="preserve">  </w:t>
      </w:r>
      <w:bookmarkStart w:id="0" w:name="_MON_1509880288"/>
      <w:bookmarkEnd w:id="0"/>
      <w:r w:rsidR="008E227A">
        <w:rPr>
          <w:rFonts w:ascii="Times New Roman" w:hAnsi="Times New Roman"/>
        </w:rPr>
        <w:object w:dxaOrig="1531" w:dyaOrig="990" w14:anchorId="746D65CB">
          <v:shape id="_x0000_i1026" type="#_x0000_t75" style="width:76.5pt;height:49.5pt" o:ole="" filled="t" fillcolor="#92d050">
            <v:imagedata r:id="rId10" o:title=""/>
          </v:shape>
          <o:OLEObject Type="Embed" ProgID="Word.Document.8" ShapeID="_x0000_i1026" DrawAspect="Icon" ObjectID="_1510471756" r:id="rId11">
            <o:FieldCodes>\s</o:FieldCodes>
          </o:OLEObject>
        </w:object>
      </w:r>
      <w:bookmarkStart w:id="1" w:name="_GoBack"/>
      <w:bookmarkEnd w:id="1"/>
    </w:p>
    <w:p w14:paraId="26558866" w14:textId="77777777" w:rsidR="002C3149" w:rsidRPr="00D057B5" w:rsidRDefault="002C3149" w:rsidP="002C3149">
      <w:pPr>
        <w:widowControl w:val="0"/>
        <w:autoSpaceDE w:val="0"/>
        <w:autoSpaceDN w:val="0"/>
        <w:adjustRightInd w:val="0"/>
        <w:rPr>
          <w:rFonts w:ascii="Times New Roman" w:hAnsi="Times New Roman" w:cs="Times New Roman"/>
        </w:rPr>
      </w:pPr>
    </w:p>
    <w:p w14:paraId="0CDD1E79" w14:textId="6E9E4559" w:rsidR="00876C11" w:rsidRPr="00D057B5" w:rsidRDefault="00876C11" w:rsidP="00137E3D">
      <w:pPr>
        <w:widowControl w:val="0"/>
        <w:autoSpaceDE w:val="0"/>
        <w:autoSpaceDN w:val="0"/>
        <w:adjustRightInd w:val="0"/>
        <w:jc w:val="both"/>
        <w:rPr>
          <w:rFonts w:ascii="Times New Roman" w:hAnsi="Times New Roman" w:cs="Times New Roman"/>
        </w:rPr>
      </w:pPr>
      <w:r>
        <w:rPr>
          <w:rFonts w:ascii="Times New Roman" w:hAnsi="Times New Roman"/>
        </w:rPr>
        <w:t xml:space="preserve">Gđa Nikulina započela je prezentaciju istaknuvši da je jedinstveni račun riznice bio glavna tema i ranijih događanja Zajednice prakse za riznicu. Na plenarnoj sjednici u svibnju pokazalo se da je vrijeme da se Zajednica prakse vrati toj temi s obzirom da se čini da postoje konceptualne razlike u načinu na koji zemlje provode konsolidaciju gotovine i odnose se prema njoj. </w:t>
      </w:r>
    </w:p>
    <w:p w14:paraId="44F63462" w14:textId="77777777" w:rsidR="00876C11" w:rsidRPr="00D057B5" w:rsidRDefault="00876C11" w:rsidP="002C3149">
      <w:pPr>
        <w:widowControl w:val="0"/>
        <w:autoSpaceDE w:val="0"/>
        <w:autoSpaceDN w:val="0"/>
        <w:adjustRightInd w:val="0"/>
        <w:rPr>
          <w:rFonts w:ascii="Times New Roman" w:hAnsi="Times New Roman" w:cs="Times New Roman"/>
        </w:rPr>
      </w:pPr>
    </w:p>
    <w:p w14:paraId="518A069C" w14:textId="36B850EC" w:rsidR="001F41E4" w:rsidRPr="00D057B5" w:rsidRDefault="001F41E4" w:rsidP="00137E3D">
      <w:pPr>
        <w:widowControl w:val="0"/>
        <w:autoSpaceDE w:val="0"/>
        <w:autoSpaceDN w:val="0"/>
        <w:adjustRightInd w:val="0"/>
        <w:jc w:val="both"/>
        <w:rPr>
          <w:rFonts w:ascii="Times New Roman" w:hAnsi="Times New Roman" w:cs="Times New Roman"/>
        </w:rPr>
      </w:pPr>
      <w:r>
        <w:rPr>
          <w:rFonts w:ascii="Times New Roman" w:hAnsi="Times New Roman"/>
        </w:rPr>
        <w:t xml:space="preserve">Ključne poruke prezentacije bile su: </w:t>
      </w:r>
    </w:p>
    <w:p w14:paraId="40DCD6CB" w14:textId="77777777" w:rsidR="001F41E4" w:rsidRPr="00D057B5" w:rsidRDefault="001F41E4" w:rsidP="00137E3D">
      <w:pPr>
        <w:widowControl w:val="0"/>
        <w:autoSpaceDE w:val="0"/>
        <w:autoSpaceDN w:val="0"/>
        <w:adjustRightInd w:val="0"/>
        <w:jc w:val="both"/>
        <w:rPr>
          <w:rFonts w:ascii="Times New Roman" w:hAnsi="Times New Roman" w:cs="Times New Roman"/>
        </w:rPr>
      </w:pPr>
    </w:p>
    <w:p w14:paraId="3341D5BA" w14:textId="7B1CE47B"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Jedinstveni račun riznice ne podupire samo upravljanje novčanim sredstvima već i snažan sustav upravljanja javnim financijama konsolidacijom gotovinskih salda.</w:t>
      </w:r>
    </w:p>
    <w:p w14:paraId="7FB121E6" w14:textId="4412C39A"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Idealno bi to trebalo obuhvatiti sva gotovinska salda u okviru središnje opće države, uključujući zakonska tijela (no isključujući državna poduzeća).</w:t>
      </w:r>
    </w:p>
    <w:p w14:paraId="496E72E2" w14:textId="1EE6BBA5"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 xml:space="preserve">U vladi bi trebao postojati i jedinstveni upravitelj novčanim sredstvima koji je usredotočen na upravljanje novčanim sredstvima i njihovo predviđanje, a ne na kontrolu nad potrošnjom. </w:t>
      </w:r>
    </w:p>
    <w:p w14:paraId="2D3A2B88" w14:textId="698599FB" w:rsidR="001F41E4" w:rsidRPr="00D057B5" w:rsidRDefault="006104FB"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 xml:space="preserve">Temeljno bi načelo trebala biti uključenost svih salda u jedinstveni račun riznice, osim ako isključivanje određenih salda ima jasne dokazane koristi za cijelu vladu. </w:t>
      </w:r>
    </w:p>
    <w:p w14:paraId="2BA4DBAC" w14:textId="699FF046"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 xml:space="preserve">Jedinstveni račun riznice mora biti stvaran u vremenu i po svojoj prirodi – salda izvan jedinstvenog računa riznice smanjuju obuhvat jedinstvenog računa riznice te potencijalno učinkovitost upravljanja novčanim sredstvima. </w:t>
      </w:r>
    </w:p>
    <w:p w14:paraId="6E8C1219" w14:textId="45712280"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Jedinstveni bankovni račun više nije u središtu pažnje; danas učinkoviti modeli jedinstvenog bankovnog računa uključuju konsolidacijski račun s prijelaznim računima sa stanjem nula, i</w:t>
      </w:r>
    </w:p>
    <w:p w14:paraId="0E9F4744" w14:textId="7F4D108F"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rPr>
        <w:t>jedinstveni bankovni račun može se učinkovito provesti neovisno o tome je li uspostavljen decentralizirani ili centralizirani (ili hibridni) sustav transakcija.</w:t>
      </w:r>
    </w:p>
    <w:p w14:paraId="2EDE2000" w14:textId="372C7DA4" w:rsidR="00876C11" w:rsidRPr="00D057B5" w:rsidRDefault="00876C11" w:rsidP="00137E3D">
      <w:pPr>
        <w:widowControl w:val="0"/>
        <w:autoSpaceDE w:val="0"/>
        <w:autoSpaceDN w:val="0"/>
        <w:adjustRightInd w:val="0"/>
        <w:jc w:val="both"/>
        <w:rPr>
          <w:rFonts w:ascii="Times New Roman" w:hAnsi="Times New Roman" w:cs="Times New Roman"/>
        </w:rPr>
      </w:pPr>
      <w:r>
        <w:rPr>
          <w:rFonts w:ascii="Times New Roman" w:hAnsi="Times New Roman"/>
        </w:rPr>
        <w:t xml:space="preserve"> </w:t>
      </w:r>
    </w:p>
    <w:p w14:paraId="0DA72386" w14:textId="77777777" w:rsidR="00B929B5" w:rsidRPr="00D057B5" w:rsidRDefault="00B929B5" w:rsidP="00137E3D">
      <w:pPr>
        <w:widowControl w:val="0"/>
        <w:autoSpaceDE w:val="0"/>
        <w:autoSpaceDN w:val="0"/>
        <w:adjustRightInd w:val="0"/>
        <w:jc w:val="both"/>
        <w:rPr>
          <w:rFonts w:ascii="Times New Roman" w:hAnsi="Times New Roman" w:cs="Times New Roman"/>
        </w:rPr>
      </w:pPr>
      <w:r>
        <w:rPr>
          <w:rFonts w:ascii="Times New Roman" w:hAnsi="Times New Roman"/>
        </w:rPr>
        <w:t>Sudionici su postavili niz pitanja, uključujući:</w:t>
      </w:r>
    </w:p>
    <w:p w14:paraId="0D135AD6" w14:textId="77777777" w:rsidR="00B929B5" w:rsidRPr="00D057B5" w:rsidRDefault="00B929B5" w:rsidP="00137E3D">
      <w:pPr>
        <w:widowControl w:val="0"/>
        <w:autoSpaceDE w:val="0"/>
        <w:autoSpaceDN w:val="0"/>
        <w:adjustRightInd w:val="0"/>
        <w:jc w:val="both"/>
        <w:rPr>
          <w:rFonts w:ascii="Times New Roman" w:hAnsi="Times New Roman" w:cs="Times New Roman"/>
        </w:rPr>
      </w:pPr>
    </w:p>
    <w:p w14:paraId="5FC0F374" w14:textId="54F88025" w:rsidR="00B929B5" w:rsidRPr="00D057B5" w:rsidRDefault="00B929B5"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rPr>
      </w:pPr>
      <w:r>
        <w:rPr>
          <w:rFonts w:ascii="Times New Roman" w:hAnsi="Times New Roman"/>
        </w:rPr>
        <w:t xml:space="preserve">Je li potrebno fizički konsolidirati gotovinska salda ili je ključno usredotočiti se na pravovremeno pružanje informacija i izvještavanje o stanju novčanih sredstava? Odgovor: Ako upravitelji novčanim sredstvima upravljaju </w:t>
      </w:r>
      <w:r w:rsidR="00D278E6">
        <w:rPr>
          <w:rFonts w:ascii="Times New Roman" w:hAnsi="Times New Roman"/>
        </w:rPr>
        <w:t>novčanim</w:t>
      </w:r>
      <w:r>
        <w:rPr>
          <w:rFonts w:ascii="Times New Roman" w:hAnsi="Times New Roman"/>
        </w:rPr>
        <w:t xml:space="preserve"> sredstvima, fizička konsolidacija bit će važna. Primjerice, kratkoročno ulaganje konsolidiranih salda izričito u tržište ili konsolidacija salda za prijeboj kredita po računu. </w:t>
      </w:r>
    </w:p>
    <w:p w14:paraId="0EB49940" w14:textId="04086D38" w:rsidR="00B929B5" w:rsidRPr="00D057B5" w:rsidRDefault="004314E1"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rPr>
      </w:pPr>
      <w:r>
        <w:rPr>
          <w:rFonts w:ascii="Times New Roman" w:hAnsi="Times New Roman"/>
        </w:rPr>
        <w:t xml:space="preserve">Jesu li informacije o novčanim sredstvima dostatne za učinkovito upravljanje novcem? </w:t>
      </w:r>
      <w:r>
        <w:rPr>
          <w:rFonts w:ascii="Times New Roman" w:hAnsi="Times New Roman"/>
        </w:rPr>
        <w:lastRenderedPageBreak/>
        <w:t xml:space="preserve">Primjerice, prisilna naplata na temelju sudskih naloga mogla bi imati znatan učinak na dnevna gotovinska salda. Odgovor: Kako bi se učinkovito predviđalo novčana sredstva i upravljalo njima, važne su točne informacije o obvezama, nepredviđenim izdacima i stvarnom vremenu novčanih tokova. Aktivno upravljanje novčanim sredstvima zaista veoma ovisi o kvaliteti predviđanja, koje uvelike ovisi o razumnoj procjeni toga što bi se moglo dogoditi.    </w:t>
      </w:r>
    </w:p>
    <w:p w14:paraId="3C8BF496" w14:textId="332C7C42" w:rsidR="00D057B5" w:rsidRPr="00D057B5" w:rsidRDefault="004314E1"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rPr>
      </w:pPr>
      <w:r>
        <w:rPr>
          <w:rFonts w:ascii="Times New Roman" w:hAnsi="Times New Roman"/>
        </w:rPr>
        <w:t xml:space="preserve">Neće se svi razvojni partneri složiti s konsolidacijom svojih rezerviranih sredstava za upravljanje novčanim sredstvima. Odgovor: Financiranje od strane razvojnog partnera često je opterećeno i podliježe određenim dodatnim kontrolama. Međutim, zemlje bi u najmanju ruku trebale tražiti bankarske aranžmane koji omogućuju konsolidaciju neangažiranih gotovinskih salda radi povećanja povrata od ulaganja i smanjenja troškova zajmova za državu. </w:t>
      </w:r>
    </w:p>
    <w:p w14:paraId="305E491F" w14:textId="0C3C22E0" w:rsidR="00876C11" w:rsidRDefault="00D057B5"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rPr>
      </w:pPr>
      <w:r>
        <w:rPr>
          <w:rFonts w:ascii="Times New Roman" w:hAnsi="Times New Roman"/>
        </w:rPr>
        <w:t xml:space="preserve">Bilo bi korisno jedinstvenim računom riznice obuhvatiti zakonska tijela, no kako prevladati otpor prema tome?  Važno je naglasiti da je cilj konsolidacije poboljšano upravljanje novčanim sredstvima. Subjektima koji će možda sudjelovati u tim aranžmanima mora biti pruženo osiguranje da će im njihova sredstva biti dostupna kada im budu potrebna te da svrha centralizacije novčanih sredstava nije centralizirana kontrola potrošnje. </w:t>
      </w:r>
    </w:p>
    <w:p w14:paraId="07E96633" w14:textId="77777777" w:rsidR="00CC4077" w:rsidRPr="00CC4077" w:rsidRDefault="00CC4077" w:rsidP="00137E3D">
      <w:pPr>
        <w:widowControl w:val="0"/>
        <w:autoSpaceDE w:val="0"/>
        <w:autoSpaceDN w:val="0"/>
        <w:adjustRightInd w:val="0"/>
        <w:spacing w:line="280" w:lineRule="atLeast"/>
        <w:jc w:val="both"/>
        <w:rPr>
          <w:rFonts w:ascii="Times New Roman" w:hAnsi="Times New Roman" w:cs="Times New Roman"/>
        </w:rPr>
      </w:pPr>
    </w:p>
    <w:p w14:paraId="45755530" w14:textId="17055BE3" w:rsidR="002C3149" w:rsidRDefault="00D057B5" w:rsidP="00137E3D">
      <w:pPr>
        <w:widowControl w:val="0"/>
        <w:autoSpaceDE w:val="0"/>
        <w:autoSpaceDN w:val="0"/>
        <w:adjustRightInd w:val="0"/>
        <w:jc w:val="both"/>
        <w:rPr>
          <w:rFonts w:ascii="Times New Roman" w:hAnsi="Times New Roman" w:cs="Times New Roman"/>
        </w:rPr>
      </w:pPr>
      <w:r>
        <w:rPr>
          <w:rFonts w:ascii="Times New Roman" w:hAnsi="Times New Roman"/>
        </w:rPr>
        <w:t xml:space="preserve">Videokonferencija je završila raspravom u pogledu sljedećeg planiranog sastanak uživo Radne skupine za upravljanje novčanim sredstvima i njihovo predviđanje koji će se održati u Ankari, u Turskoj, od 16. do 18. ožujka 2016.   Predstavnici turske riznice naveli su da su poprilično napredovali s izradom dnevnog reda.  Očekuje se i ponovno razmatranje ranijeg istraživanja u pogledu jedinstvenog računa riznice te njegovo proširivanje radi pružanja više analitičkog sadržaja za događanje u Ankari.  </w:t>
      </w:r>
    </w:p>
    <w:p w14:paraId="5B43AC3D" w14:textId="77777777" w:rsidR="00137E3D" w:rsidRDefault="00137E3D" w:rsidP="00137E3D">
      <w:pPr>
        <w:widowControl w:val="0"/>
        <w:autoSpaceDE w:val="0"/>
        <w:autoSpaceDN w:val="0"/>
        <w:adjustRightInd w:val="0"/>
        <w:jc w:val="both"/>
        <w:rPr>
          <w:rFonts w:ascii="Times New Roman" w:hAnsi="Times New Roman" w:cs="Times New Roman"/>
        </w:rPr>
      </w:pPr>
    </w:p>
    <w:p w14:paraId="4E338730" w14:textId="4062D531" w:rsidR="00137E3D" w:rsidRPr="00D057B5" w:rsidRDefault="00137E3D" w:rsidP="00137E3D">
      <w:pPr>
        <w:widowControl w:val="0"/>
        <w:autoSpaceDE w:val="0"/>
        <w:autoSpaceDN w:val="0"/>
        <w:adjustRightInd w:val="0"/>
        <w:jc w:val="both"/>
        <w:rPr>
          <w:rFonts w:ascii="Times New Roman" w:hAnsi="Times New Roman" w:cs="Times New Roman"/>
        </w:rPr>
      </w:pPr>
      <w:r>
        <w:rPr>
          <w:rFonts w:ascii="Times New Roman" w:hAnsi="Times New Roman"/>
        </w:rPr>
        <w:t xml:space="preserve">S obzirom na velik interes članova skupine za temu modela jedinstvenog računa riznice, prije događanja u Ankari organizirat će se još jedna videokonferencija o tim pitanjima. </w:t>
      </w:r>
    </w:p>
    <w:p w14:paraId="230CBE81" w14:textId="77777777" w:rsidR="00B750A9" w:rsidRPr="00D057B5" w:rsidRDefault="00B750A9" w:rsidP="002C3149">
      <w:pPr>
        <w:jc w:val="both"/>
        <w:rPr>
          <w:rFonts w:ascii="Times New Roman" w:hAnsi="Times New Roman" w:cs="Times New Roman"/>
        </w:rPr>
      </w:pPr>
    </w:p>
    <w:p w14:paraId="60678769" w14:textId="0904E507" w:rsidR="00A42EC0" w:rsidRPr="00D057B5" w:rsidRDefault="00A42EC0" w:rsidP="001A61AD">
      <w:pPr>
        <w:rPr>
          <w:rFonts w:ascii="Times New Roman" w:hAnsi="Times New Roman" w:cs="Times New Roman"/>
        </w:rPr>
      </w:pPr>
    </w:p>
    <w:sectPr w:rsidR="00A42EC0" w:rsidRPr="00D057B5"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7D7D0" w14:textId="77777777" w:rsidR="00DC09CD" w:rsidRDefault="00DC09CD" w:rsidP="001A61AD">
      <w:r>
        <w:separator/>
      </w:r>
    </w:p>
  </w:endnote>
  <w:endnote w:type="continuationSeparator" w:id="0">
    <w:p w14:paraId="0CA52340" w14:textId="77777777" w:rsidR="00DC09CD" w:rsidRDefault="00DC09CD" w:rsidP="001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B387" w14:textId="77777777" w:rsidR="00DC09CD" w:rsidRDefault="00DC09CD" w:rsidP="001A61AD">
      <w:r>
        <w:separator/>
      </w:r>
    </w:p>
  </w:footnote>
  <w:footnote w:type="continuationSeparator" w:id="0">
    <w:p w14:paraId="6B41E878" w14:textId="77777777" w:rsidR="00DC09CD" w:rsidRDefault="00DC09CD" w:rsidP="001A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864"/>
    <w:multiLevelType w:val="hybridMultilevel"/>
    <w:tmpl w:val="2D8A4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D46E7E"/>
    <w:multiLevelType w:val="hybridMultilevel"/>
    <w:tmpl w:val="46A80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6C8907C2"/>
    <w:multiLevelType w:val="hybridMultilevel"/>
    <w:tmpl w:val="81E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E1AEE"/>
    <w:multiLevelType w:val="hybridMultilevel"/>
    <w:tmpl w:val="8B140E6E"/>
    <w:lvl w:ilvl="0" w:tplc="17AA3E80">
      <w:start w:val="1"/>
      <w:numFmt w:val="bullet"/>
      <w:lvlText w:val="•"/>
      <w:lvlJc w:val="left"/>
      <w:pPr>
        <w:tabs>
          <w:tab w:val="num" w:pos="360"/>
        </w:tabs>
        <w:ind w:left="360" w:hanging="360"/>
      </w:pPr>
      <w:rPr>
        <w:rFonts w:ascii="Arial" w:hAnsi="Arial" w:hint="default"/>
      </w:rPr>
    </w:lvl>
    <w:lvl w:ilvl="1" w:tplc="13A29C64" w:tentative="1">
      <w:start w:val="1"/>
      <w:numFmt w:val="bullet"/>
      <w:lvlText w:val="•"/>
      <w:lvlJc w:val="left"/>
      <w:pPr>
        <w:tabs>
          <w:tab w:val="num" w:pos="1080"/>
        </w:tabs>
        <w:ind w:left="1080" w:hanging="360"/>
      </w:pPr>
      <w:rPr>
        <w:rFonts w:ascii="Arial" w:hAnsi="Arial" w:hint="default"/>
      </w:rPr>
    </w:lvl>
    <w:lvl w:ilvl="2" w:tplc="4B0A5122" w:tentative="1">
      <w:start w:val="1"/>
      <w:numFmt w:val="bullet"/>
      <w:lvlText w:val="•"/>
      <w:lvlJc w:val="left"/>
      <w:pPr>
        <w:tabs>
          <w:tab w:val="num" w:pos="1800"/>
        </w:tabs>
        <w:ind w:left="1800" w:hanging="360"/>
      </w:pPr>
      <w:rPr>
        <w:rFonts w:ascii="Arial" w:hAnsi="Arial" w:hint="default"/>
      </w:rPr>
    </w:lvl>
    <w:lvl w:ilvl="3" w:tplc="E19A8FD4" w:tentative="1">
      <w:start w:val="1"/>
      <w:numFmt w:val="bullet"/>
      <w:lvlText w:val="•"/>
      <w:lvlJc w:val="left"/>
      <w:pPr>
        <w:tabs>
          <w:tab w:val="num" w:pos="2520"/>
        </w:tabs>
        <w:ind w:left="2520" w:hanging="360"/>
      </w:pPr>
      <w:rPr>
        <w:rFonts w:ascii="Arial" w:hAnsi="Arial" w:hint="default"/>
      </w:rPr>
    </w:lvl>
    <w:lvl w:ilvl="4" w:tplc="3AE488D2" w:tentative="1">
      <w:start w:val="1"/>
      <w:numFmt w:val="bullet"/>
      <w:lvlText w:val="•"/>
      <w:lvlJc w:val="left"/>
      <w:pPr>
        <w:tabs>
          <w:tab w:val="num" w:pos="3240"/>
        </w:tabs>
        <w:ind w:left="3240" w:hanging="360"/>
      </w:pPr>
      <w:rPr>
        <w:rFonts w:ascii="Arial" w:hAnsi="Arial" w:hint="default"/>
      </w:rPr>
    </w:lvl>
    <w:lvl w:ilvl="5" w:tplc="51080A28" w:tentative="1">
      <w:start w:val="1"/>
      <w:numFmt w:val="bullet"/>
      <w:lvlText w:val="•"/>
      <w:lvlJc w:val="left"/>
      <w:pPr>
        <w:tabs>
          <w:tab w:val="num" w:pos="3960"/>
        </w:tabs>
        <w:ind w:left="3960" w:hanging="360"/>
      </w:pPr>
      <w:rPr>
        <w:rFonts w:ascii="Arial" w:hAnsi="Arial" w:hint="default"/>
      </w:rPr>
    </w:lvl>
    <w:lvl w:ilvl="6" w:tplc="194A8602" w:tentative="1">
      <w:start w:val="1"/>
      <w:numFmt w:val="bullet"/>
      <w:lvlText w:val="•"/>
      <w:lvlJc w:val="left"/>
      <w:pPr>
        <w:tabs>
          <w:tab w:val="num" w:pos="4680"/>
        </w:tabs>
        <w:ind w:left="4680" w:hanging="360"/>
      </w:pPr>
      <w:rPr>
        <w:rFonts w:ascii="Arial" w:hAnsi="Arial" w:hint="default"/>
      </w:rPr>
    </w:lvl>
    <w:lvl w:ilvl="7" w:tplc="86029146" w:tentative="1">
      <w:start w:val="1"/>
      <w:numFmt w:val="bullet"/>
      <w:lvlText w:val="•"/>
      <w:lvlJc w:val="left"/>
      <w:pPr>
        <w:tabs>
          <w:tab w:val="num" w:pos="5400"/>
        </w:tabs>
        <w:ind w:left="5400" w:hanging="360"/>
      </w:pPr>
      <w:rPr>
        <w:rFonts w:ascii="Arial" w:hAnsi="Arial" w:hint="default"/>
      </w:rPr>
    </w:lvl>
    <w:lvl w:ilvl="8" w:tplc="BA0019A6" w:tentative="1">
      <w:start w:val="1"/>
      <w:numFmt w:val="bullet"/>
      <w:lvlText w:val="•"/>
      <w:lvlJc w:val="left"/>
      <w:pPr>
        <w:tabs>
          <w:tab w:val="num" w:pos="6120"/>
        </w:tabs>
        <w:ind w:left="6120" w:hanging="360"/>
      </w:pPr>
      <w:rPr>
        <w:rFonts w:ascii="Arial" w:hAnsi="Arial" w:hint="default"/>
      </w:rPr>
    </w:lvl>
  </w:abstractNum>
  <w:abstractNum w:abstractNumId="4">
    <w:nsid w:val="7CB626EC"/>
    <w:multiLevelType w:val="hybridMultilevel"/>
    <w:tmpl w:val="35F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C"/>
    <w:rsid w:val="00004B4A"/>
    <w:rsid w:val="00063A87"/>
    <w:rsid w:val="00070D45"/>
    <w:rsid w:val="00131F9B"/>
    <w:rsid w:val="00137E3D"/>
    <w:rsid w:val="001A61AD"/>
    <w:rsid w:val="001F41E4"/>
    <w:rsid w:val="00223E57"/>
    <w:rsid w:val="002C3149"/>
    <w:rsid w:val="002F2C5B"/>
    <w:rsid w:val="004314E1"/>
    <w:rsid w:val="00463810"/>
    <w:rsid w:val="004A01D9"/>
    <w:rsid w:val="004E7116"/>
    <w:rsid w:val="006104FB"/>
    <w:rsid w:val="006454A1"/>
    <w:rsid w:val="006A1C76"/>
    <w:rsid w:val="006C5D60"/>
    <w:rsid w:val="00834BD6"/>
    <w:rsid w:val="00874901"/>
    <w:rsid w:val="00876C11"/>
    <w:rsid w:val="008E227A"/>
    <w:rsid w:val="008E727F"/>
    <w:rsid w:val="00925592"/>
    <w:rsid w:val="00A42EC0"/>
    <w:rsid w:val="00A73DA9"/>
    <w:rsid w:val="00A9158C"/>
    <w:rsid w:val="00AD3C0B"/>
    <w:rsid w:val="00B31A84"/>
    <w:rsid w:val="00B750A9"/>
    <w:rsid w:val="00B76B8E"/>
    <w:rsid w:val="00B929B5"/>
    <w:rsid w:val="00BF0082"/>
    <w:rsid w:val="00C3439F"/>
    <w:rsid w:val="00C80E27"/>
    <w:rsid w:val="00CC4077"/>
    <w:rsid w:val="00D057B5"/>
    <w:rsid w:val="00D278E6"/>
    <w:rsid w:val="00D51551"/>
    <w:rsid w:val="00D70110"/>
    <w:rsid w:val="00DA4CFE"/>
    <w:rsid w:val="00DC09CD"/>
    <w:rsid w:val="00EC3FDA"/>
    <w:rsid w:val="00FD1461"/>
    <w:rsid w:val="00FD16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DF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66405">
      <w:bodyDiv w:val="1"/>
      <w:marLeft w:val="0"/>
      <w:marRight w:val="0"/>
      <w:marTop w:val="0"/>
      <w:marBottom w:val="0"/>
      <w:divBdr>
        <w:top w:val="none" w:sz="0" w:space="0" w:color="auto"/>
        <w:left w:val="none" w:sz="0" w:space="0" w:color="auto"/>
        <w:bottom w:val="none" w:sz="0" w:space="0" w:color="auto"/>
        <w:right w:val="none" w:sz="0" w:space="0" w:color="auto"/>
      </w:divBdr>
      <w:divsChild>
        <w:div w:id="1099645759">
          <w:marLeft w:val="547"/>
          <w:marRight w:val="0"/>
          <w:marTop w:val="86"/>
          <w:marBottom w:val="0"/>
          <w:divBdr>
            <w:top w:val="none" w:sz="0" w:space="0" w:color="auto"/>
            <w:left w:val="none" w:sz="0" w:space="0" w:color="auto"/>
            <w:bottom w:val="none" w:sz="0" w:space="0" w:color="auto"/>
            <w:right w:val="none" w:sz="0" w:space="0" w:color="auto"/>
          </w:divBdr>
        </w:div>
        <w:div w:id="1218977096">
          <w:marLeft w:val="547"/>
          <w:marRight w:val="0"/>
          <w:marTop w:val="86"/>
          <w:marBottom w:val="0"/>
          <w:divBdr>
            <w:top w:val="none" w:sz="0" w:space="0" w:color="auto"/>
            <w:left w:val="none" w:sz="0" w:space="0" w:color="auto"/>
            <w:bottom w:val="none" w:sz="0" w:space="0" w:color="auto"/>
            <w:right w:val="none" w:sz="0" w:space="0" w:color="auto"/>
          </w:divBdr>
        </w:div>
        <w:div w:id="1938174484">
          <w:marLeft w:val="547"/>
          <w:marRight w:val="0"/>
          <w:marTop w:val="86"/>
          <w:marBottom w:val="0"/>
          <w:divBdr>
            <w:top w:val="none" w:sz="0" w:space="0" w:color="auto"/>
            <w:left w:val="none" w:sz="0" w:space="0" w:color="auto"/>
            <w:bottom w:val="none" w:sz="0" w:space="0" w:color="auto"/>
            <w:right w:val="none" w:sz="0" w:space="0" w:color="auto"/>
          </w:divBdr>
        </w:div>
        <w:div w:id="1179386404">
          <w:marLeft w:val="547"/>
          <w:marRight w:val="0"/>
          <w:marTop w:val="86"/>
          <w:marBottom w:val="0"/>
          <w:divBdr>
            <w:top w:val="none" w:sz="0" w:space="0" w:color="auto"/>
            <w:left w:val="none" w:sz="0" w:space="0" w:color="auto"/>
            <w:bottom w:val="none" w:sz="0" w:space="0" w:color="auto"/>
            <w:right w:val="none" w:sz="0" w:space="0" w:color="auto"/>
          </w:divBdr>
        </w:div>
        <w:div w:id="1532500117">
          <w:marLeft w:val="547"/>
          <w:marRight w:val="0"/>
          <w:marTop w:val="86"/>
          <w:marBottom w:val="0"/>
          <w:divBdr>
            <w:top w:val="none" w:sz="0" w:space="0" w:color="auto"/>
            <w:left w:val="none" w:sz="0" w:space="0" w:color="auto"/>
            <w:bottom w:val="none" w:sz="0" w:space="0" w:color="auto"/>
            <w:right w:val="none" w:sz="0" w:space="0" w:color="auto"/>
          </w:divBdr>
        </w:div>
        <w:div w:id="272596856">
          <w:marLeft w:val="547"/>
          <w:marRight w:val="0"/>
          <w:marTop w:val="86"/>
          <w:marBottom w:val="0"/>
          <w:divBdr>
            <w:top w:val="none" w:sz="0" w:space="0" w:color="auto"/>
            <w:left w:val="none" w:sz="0" w:space="0" w:color="auto"/>
            <w:bottom w:val="none" w:sz="0" w:space="0" w:color="auto"/>
            <w:right w:val="none" w:sz="0" w:space="0" w:color="auto"/>
          </w:divBdr>
        </w:div>
        <w:div w:id="100986551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3</cp:revision>
  <dcterms:created xsi:type="dcterms:W3CDTF">2015-11-24T14:54:00Z</dcterms:created>
  <dcterms:modified xsi:type="dcterms:W3CDTF">2015-12-01T08:43:00Z</dcterms:modified>
</cp:coreProperties>
</file>