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55CFE" w14:textId="77777777" w:rsidR="001015CF" w:rsidRPr="001015CF" w:rsidRDefault="001015CF" w:rsidP="001015CF">
      <w:pPr>
        <w:jc w:val="center"/>
        <w:rPr>
          <w:b/>
          <w:noProof/>
          <w:sz w:val="48"/>
          <w:szCs w:val="48"/>
          <w:lang w:val="en-US"/>
        </w:rPr>
      </w:pPr>
      <w:r w:rsidRPr="001015CF">
        <w:rPr>
          <w:b/>
          <w:noProof/>
          <w:sz w:val="48"/>
          <w:szCs w:val="48"/>
          <w:lang w:val="en-US"/>
        </w:rPr>
        <w:t>Questionnaire Results</w:t>
      </w:r>
    </w:p>
    <w:p w14:paraId="190D6E78" w14:textId="77777777" w:rsidR="001015CF" w:rsidRPr="001015CF" w:rsidRDefault="001015CF" w:rsidP="001015CF">
      <w:pPr>
        <w:jc w:val="center"/>
        <w:rPr>
          <w:b/>
          <w:noProof/>
          <w:sz w:val="48"/>
          <w:szCs w:val="48"/>
          <w:lang w:val="en-US"/>
        </w:rPr>
      </w:pPr>
      <w:r w:rsidRPr="001015CF">
        <w:rPr>
          <w:b/>
          <w:noProof/>
          <w:sz w:val="48"/>
          <w:szCs w:val="48"/>
          <w:lang w:val="en-US"/>
        </w:rPr>
        <w:t>on TCOP Practice in Budget Execution and Cash Management</w:t>
      </w:r>
    </w:p>
    <w:p w14:paraId="3353A9B7" w14:textId="77777777" w:rsidR="001015CF" w:rsidRPr="001015CF" w:rsidRDefault="001015CF" w:rsidP="001015CF">
      <w:pPr>
        <w:jc w:val="center"/>
        <w:rPr>
          <w:b/>
          <w:noProof/>
          <w:sz w:val="48"/>
          <w:szCs w:val="48"/>
          <w:lang w:val="en-US"/>
        </w:rPr>
      </w:pPr>
      <w:r w:rsidRPr="001015CF">
        <w:rPr>
          <w:b/>
          <w:noProof/>
          <w:sz w:val="48"/>
          <w:szCs w:val="48"/>
          <w:lang w:val="en-US"/>
        </w:rPr>
        <w:t>Commitments, Accounts Payable and the Management of Arrears</w:t>
      </w:r>
    </w:p>
    <w:p w14:paraId="2BA2AD32" w14:textId="77777777" w:rsidR="001015CF" w:rsidRDefault="001015CF" w:rsidP="001015CF">
      <w:pPr>
        <w:jc w:val="center"/>
        <w:rPr>
          <w:b/>
          <w:sz w:val="72"/>
          <w:szCs w:val="72"/>
        </w:rPr>
      </w:pPr>
    </w:p>
    <w:p w14:paraId="1ADB173B" w14:textId="77777777" w:rsidR="001015CF" w:rsidRDefault="001015CF" w:rsidP="001015CF">
      <w:pPr>
        <w:jc w:val="center"/>
        <w:rPr>
          <w:b/>
          <w:sz w:val="72"/>
          <w:szCs w:val="72"/>
        </w:rPr>
      </w:pPr>
    </w:p>
    <w:p w14:paraId="6216F185" w14:textId="77777777" w:rsidR="001015CF" w:rsidRDefault="001015CF" w:rsidP="001015CF">
      <w:pPr>
        <w:jc w:val="center"/>
        <w:rPr>
          <w:b/>
          <w:sz w:val="72"/>
          <w:szCs w:val="72"/>
        </w:rPr>
      </w:pPr>
      <w:r>
        <w:rPr>
          <w:b/>
          <w:sz w:val="72"/>
          <w:szCs w:val="72"/>
        </w:rPr>
        <w:t>PEMPAL</w:t>
      </w:r>
    </w:p>
    <w:p w14:paraId="253C7946" w14:textId="77777777" w:rsidR="001015CF" w:rsidRPr="00B41855" w:rsidRDefault="001015CF" w:rsidP="001015CF">
      <w:pPr>
        <w:jc w:val="center"/>
        <w:rPr>
          <w:b/>
          <w:sz w:val="72"/>
          <w:szCs w:val="72"/>
        </w:rPr>
      </w:pPr>
      <w:r>
        <w:rPr>
          <w:b/>
          <w:sz w:val="72"/>
          <w:szCs w:val="72"/>
        </w:rPr>
        <w:t>June 2015</w:t>
      </w:r>
    </w:p>
    <w:p w14:paraId="1C0532DF" w14:textId="77777777" w:rsidR="001015CF" w:rsidRDefault="001015CF" w:rsidP="001015CF">
      <w:pPr>
        <w:rPr>
          <w:b/>
        </w:rPr>
      </w:pPr>
      <w:r>
        <w:rPr>
          <w:b/>
        </w:rPr>
        <w:br w:type="page"/>
      </w:r>
      <w:r>
        <w:rPr>
          <w:b/>
        </w:rPr>
        <w:lastRenderedPageBreak/>
        <w:br w:type="page"/>
      </w:r>
    </w:p>
    <w:p w14:paraId="27924FE3" w14:textId="77777777" w:rsidR="00B84C20" w:rsidRDefault="00B84C20" w:rsidP="001015CF">
      <w:pPr>
        <w:pStyle w:val="Heading1"/>
        <w:rPr>
          <w:rFonts w:ascii="Times New Roman" w:hAnsi="Times New Roman" w:cs="Times New Roman"/>
        </w:rPr>
      </w:pPr>
      <w:bookmarkStart w:id="0" w:name="_Toc250729956"/>
      <w:r>
        <w:rPr>
          <w:rFonts w:ascii="Times New Roman" w:hAnsi="Times New Roman" w:cs="Times New Roman"/>
        </w:rPr>
        <w:lastRenderedPageBreak/>
        <w:t>Executive Summary</w:t>
      </w:r>
    </w:p>
    <w:p w14:paraId="4E026559" w14:textId="77777777" w:rsidR="00B84C20" w:rsidRDefault="00B84C20" w:rsidP="00B84C20">
      <w:pPr>
        <w:rPr>
          <w:rFonts w:ascii="Times New Roman" w:hAnsi="Times New Roman" w:cs="Times New Roman"/>
          <w:noProof/>
          <w:sz w:val="24"/>
          <w:szCs w:val="24"/>
          <w:lang w:val="en-US"/>
        </w:rPr>
      </w:pPr>
    </w:p>
    <w:p w14:paraId="73DF3631" w14:textId="2D4D3143" w:rsidR="00B84C20" w:rsidRPr="00545837" w:rsidRDefault="00B84C20" w:rsidP="007A34A5">
      <w:pPr>
        <w:jc w:val="both"/>
        <w:rPr>
          <w:rFonts w:ascii="Times New Roman" w:hAnsi="Times New Roman" w:cs="Times New Roman"/>
          <w:noProof/>
          <w:sz w:val="24"/>
          <w:szCs w:val="24"/>
          <w:lang w:val="en-US"/>
        </w:rPr>
      </w:pPr>
      <w:r w:rsidRPr="00545837">
        <w:rPr>
          <w:rFonts w:ascii="Times New Roman" w:hAnsi="Times New Roman" w:cs="Times New Roman"/>
          <w:noProof/>
          <w:sz w:val="24"/>
          <w:szCs w:val="24"/>
          <w:lang w:val="en-US"/>
        </w:rPr>
        <w:t xml:space="preserve">The issues of commitment control, recording accounts payable and arrears management and reporting have generated a great deal of interest in the Treasury COP. In 2015 the Leadership Group of TCOP decided to include these concepts as a core focus for the a plenary meeting in Tirana, Albania in May 2015. To this end a questionnaire was formulated an distributed to member countries in April 2015. </w:t>
      </w:r>
      <w:r w:rsidR="00904B6B">
        <w:rPr>
          <w:rFonts w:ascii="Times New Roman" w:hAnsi="Times New Roman" w:cs="Times New Roman"/>
          <w:noProof/>
          <w:sz w:val="24"/>
          <w:szCs w:val="24"/>
          <w:lang w:val="en-US"/>
        </w:rPr>
        <w:t>T</w:t>
      </w:r>
      <w:r w:rsidRPr="00545837">
        <w:rPr>
          <w:rFonts w:ascii="Times New Roman" w:hAnsi="Times New Roman" w:cs="Times New Roman"/>
          <w:noProof/>
          <w:sz w:val="24"/>
          <w:szCs w:val="24"/>
          <w:lang w:val="en-US"/>
        </w:rPr>
        <w:t>he survey comprised 39 questions and was distributed in three languages</w:t>
      </w:r>
      <w:r w:rsidR="00904B6B">
        <w:rPr>
          <w:rFonts w:ascii="Times New Roman" w:hAnsi="Times New Roman" w:cs="Times New Roman"/>
          <w:noProof/>
          <w:sz w:val="24"/>
          <w:szCs w:val="24"/>
          <w:lang w:val="en-US"/>
        </w:rPr>
        <w:t>,</w:t>
      </w:r>
      <w:r w:rsidRPr="00545837">
        <w:rPr>
          <w:rFonts w:ascii="Times New Roman" w:hAnsi="Times New Roman" w:cs="Times New Roman"/>
          <w:noProof/>
          <w:sz w:val="24"/>
          <w:szCs w:val="24"/>
          <w:lang w:val="en-US"/>
        </w:rPr>
        <w:t xml:space="preserve"> English, Russian and Bosnian/Croatian/Serbian. 1</w:t>
      </w:r>
      <w:r w:rsidR="007A34A5" w:rsidRPr="007A34A5">
        <w:rPr>
          <w:rFonts w:ascii="Times New Roman" w:hAnsi="Times New Roman" w:cs="Times New Roman"/>
          <w:noProof/>
          <w:sz w:val="24"/>
          <w:szCs w:val="24"/>
          <w:lang w:val="en-US"/>
        </w:rPr>
        <w:t>3</w:t>
      </w:r>
      <w:r w:rsidRPr="00545837">
        <w:rPr>
          <w:rFonts w:ascii="Times New Roman" w:hAnsi="Times New Roman" w:cs="Times New Roman"/>
          <w:noProof/>
          <w:sz w:val="24"/>
          <w:szCs w:val="24"/>
          <w:lang w:val="en-US"/>
        </w:rPr>
        <w:t xml:space="preserve"> countries responed to the survey, 1</w:t>
      </w:r>
      <w:r w:rsidR="007A34A5" w:rsidRPr="007A34A5">
        <w:rPr>
          <w:rFonts w:ascii="Times New Roman" w:hAnsi="Times New Roman" w:cs="Times New Roman"/>
          <w:noProof/>
          <w:sz w:val="24"/>
          <w:szCs w:val="24"/>
          <w:lang w:val="en-US"/>
        </w:rPr>
        <w:t>1</w:t>
      </w:r>
      <w:r w:rsidRPr="00545837">
        <w:rPr>
          <w:rFonts w:ascii="Times New Roman" w:hAnsi="Times New Roman" w:cs="Times New Roman"/>
          <w:noProof/>
          <w:sz w:val="24"/>
          <w:szCs w:val="24"/>
          <w:lang w:val="en-US"/>
        </w:rPr>
        <w:t xml:space="preserve"> providing responses to all the questions posed</w:t>
      </w:r>
      <w:r w:rsidR="007A34A5">
        <w:rPr>
          <w:rStyle w:val="FootnoteReference"/>
          <w:rFonts w:ascii="Times New Roman" w:hAnsi="Times New Roman" w:cs="Times New Roman"/>
          <w:noProof/>
          <w:szCs w:val="24"/>
          <w:lang w:val="en-US"/>
        </w:rPr>
        <w:footnoteReference w:id="1"/>
      </w:r>
      <w:r w:rsidRPr="00545837">
        <w:rPr>
          <w:rFonts w:ascii="Times New Roman" w:hAnsi="Times New Roman" w:cs="Times New Roman"/>
          <w:noProof/>
          <w:sz w:val="24"/>
          <w:szCs w:val="24"/>
          <w:lang w:val="en-US"/>
        </w:rPr>
        <w:t xml:space="preserve">.   </w:t>
      </w:r>
    </w:p>
    <w:p w14:paraId="7D9F12DE" w14:textId="77777777" w:rsidR="000772E9" w:rsidRPr="0061534E" w:rsidRDefault="000772E9" w:rsidP="000772E9">
      <w:pPr>
        <w:spacing w:after="0" w:line="240" w:lineRule="auto"/>
        <w:jc w:val="both"/>
        <w:rPr>
          <w:rFonts w:ascii="Times New Roman" w:hAnsi="Times New Roman" w:cs="Times New Roman"/>
          <w:sz w:val="24"/>
          <w:szCs w:val="24"/>
          <w:lang w:val="en-AU"/>
        </w:rPr>
      </w:pPr>
      <w:r w:rsidRPr="0061534E">
        <w:rPr>
          <w:rFonts w:ascii="Times New Roman" w:hAnsi="Times New Roman" w:cs="Times New Roman"/>
          <w:sz w:val="24"/>
          <w:szCs w:val="24"/>
          <w:lang w:val="en-US"/>
        </w:rPr>
        <w:t>While some consistent themes emerged</w:t>
      </w:r>
      <w:r>
        <w:rPr>
          <w:rFonts w:ascii="Times New Roman" w:hAnsi="Times New Roman" w:cs="Times New Roman"/>
          <w:sz w:val="24"/>
          <w:szCs w:val="24"/>
          <w:lang w:val="en-US"/>
        </w:rPr>
        <w:t xml:space="preserve"> from country responses to this survey</w:t>
      </w:r>
      <w:r w:rsidRPr="0061534E">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w:t>
      </w:r>
      <w:r w:rsidRPr="0061534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differences </w:t>
      </w:r>
      <w:r w:rsidRPr="0061534E">
        <w:rPr>
          <w:rFonts w:ascii="Times New Roman" w:hAnsi="Times New Roman" w:cs="Times New Roman"/>
          <w:sz w:val="24"/>
          <w:szCs w:val="24"/>
          <w:lang w:val="en-US"/>
        </w:rPr>
        <w:t>remains across PEMPAL countries and</w:t>
      </w:r>
      <w:r>
        <w:rPr>
          <w:rFonts w:ascii="Times New Roman" w:hAnsi="Times New Roman" w:cs="Times New Roman"/>
          <w:sz w:val="24"/>
          <w:szCs w:val="24"/>
          <w:lang w:val="en-US"/>
        </w:rPr>
        <w:t xml:space="preserve"> in comparison to good practice as defined in the questionnaire. Some of the variations will have resulted from a lack of clarity in questions. For example, the pre-commitment concept of a requisition may have gotten lost in the references to procurement, which is now often viewed as a separate control process in government.  Reforms in each country have also been moving at different speeds, in terms of automation, devolution and regarding transition to either full or modified accrual accounting. Notwithstanding these differences, in some cases, country responses suggest significant gaps in basic controls and recognition, which would be required in any PFM process, including one which largely remains centralized and manual. </w:t>
      </w:r>
    </w:p>
    <w:p w14:paraId="48A7D89B" w14:textId="77777777" w:rsidR="002A260F" w:rsidRDefault="002A260F" w:rsidP="00B84C20">
      <w:pPr>
        <w:spacing w:after="0" w:line="240" w:lineRule="auto"/>
        <w:rPr>
          <w:rFonts w:ascii="Times New Roman" w:hAnsi="Times New Roman" w:cs="Times New Roman"/>
          <w:color w:val="4F81BD" w:themeColor="accent1"/>
          <w:sz w:val="24"/>
          <w:szCs w:val="24"/>
          <w:u w:val="single"/>
        </w:rPr>
      </w:pPr>
    </w:p>
    <w:p w14:paraId="6A2D9630" w14:textId="77777777" w:rsidR="002A260F" w:rsidRDefault="002A260F" w:rsidP="00B84C20">
      <w:pPr>
        <w:spacing w:after="0" w:line="240" w:lineRule="auto"/>
        <w:rPr>
          <w:rFonts w:ascii="Times New Roman" w:hAnsi="Times New Roman" w:cs="Times New Roman"/>
          <w:color w:val="4F81BD" w:themeColor="accent1"/>
          <w:sz w:val="24"/>
          <w:szCs w:val="24"/>
          <w:u w:val="single"/>
        </w:rPr>
      </w:pPr>
    </w:p>
    <w:p w14:paraId="71E78E25" w14:textId="69144B6E" w:rsidR="002A260F" w:rsidRDefault="002A260F" w:rsidP="00B84C20">
      <w:pPr>
        <w:spacing w:after="0" w:line="240" w:lineRule="auto"/>
        <w:rPr>
          <w:rFonts w:ascii="Times New Roman" w:hAnsi="Times New Roman" w:cs="Times New Roman"/>
          <w:color w:val="4F81BD" w:themeColor="accent1"/>
          <w:sz w:val="24"/>
          <w:szCs w:val="24"/>
          <w:u w:val="single"/>
        </w:rPr>
      </w:pPr>
      <w:r w:rsidRPr="007F3374">
        <w:rPr>
          <w:noProof/>
          <w:lang w:val="en-US"/>
        </w:rPr>
        <w:drawing>
          <wp:inline distT="0" distB="0" distL="0" distR="0" wp14:anchorId="4A9EA030" wp14:editId="0D0937BF">
            <wp:extent cx="3656961" cy="2781067"/>
            <wp:effectExtent l="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8031" cy="2781881"/>
                    </a:xfrm>
                    <a:prstGeom prst="rect">
                      <a:avLst/>
                    </a:prstGeom>
                    <a:noFill/>
                    <a:ln>
                      <a:noFill/>
                    </a:ln>
                  </pic:spPr>
                </pic:pic>
              </a:graphicData>
            </a:graphic>
          </wp:inline>
        </w:drawing>
      </w:r>
    </w:p>
    <w:p w14:paraId="58140B89" w14:textId="77777777" w:rsidR="002A260F" w:rsidRDefault="002A260F" w:rsidP="00B84C20">
      <w:pPr>
        <w:spacing w:after="0" w:line="240" w:lineRule="auto"/>
        <w:rPr>
          <w:rFonts w:ascii="Times New Roman" w:hAnsi="Times New Roman" w:cs="Times New Roman"/>
          <w:color w:val="4F81BD" w:themeColor="accent1"/>
          <w:sz w:val="24"/>
          <w:szCs w:val="24"/>
          <w:u w:val="single"/>
        </w:rPr>
      </w:pPr>
    </w:p>
    <w:p w14:paraId="5911366A" w14:textId="77777777" w:rsidR="002A260F" w:rsidRDefault="002A260F" w:rsidP="00B84C20">
      <w:pPr>
        <w:spacing w:after="0" w:line="240" w:lineRule="auto"/>
        <w:rPr>
          <w:rFonts w:ascii="Times New Roman" w:hAnsi="Times New Roman" w:cs="Times New Roman"/>
          <w:color w:val="4F81BD" w:themeColor="accent1"/>
          <w:sz w:val="24"/>
          <w:szCs w:val="24"/>
          <w:u w:val="single"/>
        </w:rPr>
      </w:pPr>
    </w:p>
    <w:p w14:paraId="393354B2" w14:textId="24AF8C1E" w:rsidR="00B84C20" w:rsidRPr="00D9731B" w:rsidRDefault="00B84C20" w:rsidP="00B84C20">
      <w:pPr>
        <w:spacing w:after="0" w:line="240" w:lineRule="auto"/>
        <w:rPr>
          <w:rFonts w:ascii="Times New Roman" w:hAnsi="Times New Roman" w:cs="Times New Roman"/>
          <w:color w:val="4F81BD" w:themeColor="accent1"/>
          <w:u w:val="single"/>
        </w:rPr>
      </w:pPr>
      <w:r w:rsidRPr="00D9731B">
        <w:rPr>
          <w:rFonts w:ascii="Times New Roman" w:hAnsi="Times New Roman" w:cs="Times New Roman"/>
          <w:color w:val="4F81BD" w:themeColor="accent1"/>
          <w:sz w:val="24"/>
          <w:szCs w:val="24"/>
          <w:u w:val="single"/>
        </w:rPr>
        <w:t xml:space="preserve">The following summarizes the key </w:t>
      </w:r>
      <w:r>
        <w:rPr>
          <w:rFonts w:ascii="Times New Roman" w:hAnsi="Times New Roman" w:cs="Times New Roman"/>
          <w:color w:val="4F81BD" w:themeColor="accent1"/>
          <w:sz w:val="24"/>
          <w:szCs w:val="24"/>
          <w:u w:val="single"/>
        </w:rPr>
        <w:t xml:space="preserve">findings and issues </w:t>
      </w:r>
      <w:r w:rsidR="000772E9">
        <w:rPr>
          <w:rFonts w:ascii="Times New Roman" w:hAnsi="Times New Roman" w:cs="Times New Roman"/>
          <w:color w:val="4F81BD" w:themeColor="accent1"/>
          <w:sz w:val="24"/>
          <w:szCs w:val="24"/>
          <w:u w:val="single"/>
        </w:rPr>
        <w:t>from each of the seven stages on which the survey focussed.</w:t>
      </w:r>
    </w:p>
    <w:p w14:paraId="6E3FEE9C" w14:textId="77777777" w:rsidR="00B84C20" w:rsidRDefault="00B84C20" w:rsidP="00B84C20">
      <w:pPr>
        <w:spacing w:after="0" w:line="240" w:lineRule="auto"/>
        <w:rPr>
          <w:rFonts w:ascii="Times New Roman" w:hAnsi="Times New Roman" w:cs="Times New Roman"/>
          <w:b/>
          <w:color w:val="4F81BD" w:themeColor="accent1"/>
        </w:rPr>
      </w:pPr>
    </w:p>
    <w:p w14:paraId="4FBF5366" w14:textId="77777777" w:rsidR="00B84C20" w:rsidRDefault="00B84C20" w:rsidP="00B84C20">
      <w:pPr>
        <w:spacing w:after="0" w:line="240" w:lineRule="auto"/>
        <w:rPr>
          <w:rFonts w:ascii="Times New Roman" w:hAnsi="Times New Roman" w:cs="Times New Roman"/>
          <w:b/>
          <w:color w:val="4F81BD" w:themeColor="accent1"/>
        </w:rPr>
      </w:pPr>
      <w:r>
        <w:rPr>
          <w:rFonts w:ascii="Times New Roman" w:hAnsi="Times New Roman" w:cs="Times New Roman"/>
          <w:b/>
          <w:color w:val="4F81BD" w:themeColor="accent1"/>
        </w:rPr>
        <w:t xml:space="preserve">Stage One – Pre-Commitment </w:t>
      </w:r>
    </w:p>
    <w:p w14:paraId="79EF4A57" w14:textId="77777777" w:rsidR="00B84C20" w:rsidRDefault="00B84C20" w:rsidP="00B84C20">
      <w:pPr>
        <w:spacing w:after="0" w:line="240" w:lineRule="auto"/>
        <w:rPr>
          <w:rFonts w:ascii="Times New Roman" w:hAnsi="Times New Roman" w:cs="Times New Roman"/>
          <w:b/>
          <w:color w:val="4F81BD" w:themeColor="accent1"/>
        </w:rPr>
      </w:pPr>
    </w:p>
    <w:p w14:paraId="6C03F28D" w14:textId="77777777" w:rsidR="00B84C20" w:rsidRDefault="00B84C20" w:rsidP="00B84C20">
      <w:pPr>
        <w:pStyle w:val="ListParagraph"/>
        <w:numPr>
          <w:ilvl w:val="0"/>
          <w:numId w:val="26"/>
        </w:numPr>
        <w:spacing w:after="0" w:line="240" w:lineRule="auto"/>
        <w:rPr>
          <w:rFonts w:ascii="Times New Roman" w:hAnsi="Times New Roman" w:cs="Times New Roman"/>
          <w:sz w:val="24"/>
          <w:szCs w:val="24"/>
        </w:rPr>
      </w:pPr>
      <w:r w:rsidRPr="001A3ABD">
        <w:rPr>
          <w:rFonts w:ascii="Times New Roman" w:hAnsi="Times New Roman" w:cs="Times New Roman"/>
          <w:sz w:val="24"/>
          <w:szCs w:val="24"/>
        </w:rPr>
        <w:t>There appears to be some misunderstanding regarding what is meant by pre-commitment, given six of fourteen countries indicated they do not have any formal elements in th</w:t>
      </w:r>
      <w:r>
        <w:rPr>
          <w:rFonts w:ascii="Times New Roman" w:hAnsi="Times New Roman" w:cs="Times New Roman"/>
          <w:sz w:val="24"/>
          <w:szCs w:val="24"/>
        </w:rPr>
        <w:t>e</w:t>
      </w:r>
      <w:r w:rsidRPr="001A3ABD">
        <w:rPr>
          <w:rFonts w:ascii="Times New Roman" w:hAnsi="Times New Roman" w:cs="Times New Roman"/>
          <w:sz w:val="24"/>
          <w:szCs w:val="24"/>
        </w:rPr>
        <w:t>i</w:t>
      </w:r>
      <w:r>
        <w:rPr>
          <w:rFonts w:ascii="Times New Roman" w:hAnsi="Times New Roman" w:cs="Times New Roman"/>
          <w:sz w:val="24"/>
          <w:szCs w:val="24"/>
        </w:rPr>
        <w:t>r</w:t>
      </w:r>
      <w:r w:rsidRPr="001A3ABD">
        <w:rPr>
          <w:rFonts w:ascii="Times New Roman" w:hAnsi="Times New Roman" w:cs="Times New Roman"/>
          <w:sz w:val="24"/>
          <w:szCs w:val="24"/>
        </w:rPr>
        <w:t xml:space="preserve"> process. Most </w:t>
      </w:r>
      <w:r w:rsidRPr="001A3ABD">
        <w:rPr>
          <w:rFonts w:ascii="Times New Roman" w:hAnsi="Times New Roman" w:cs="Times New Roman"/>
          <w:sz w:val="24"/>
          <w:szCs w:val="24"/>
        </w:rPr>
        <w:lastRenderedPageBreak/>
        <w:t xml:space="preserve">countries should have some element of pre-commitment, as this is </w:t>
      </w:r>
      <w:r>
        <w:rPr>
          <w:rFonts w:ascii="Times New Roman" w:hAnsi="Times New Roman" w:cs="Times New Roman"/>
          <w:sz w:val="24"/>
          <w:szCs w:val="24"/>
        </w:rPr>
        <w:t xml:space="preserve">also </w:t>
      </w:r>
      <w:r w:rsidRPr="001A3ABD">
        <w:rPr>
          <w:rFonts w:ascii="Times New Roman" w:hAnsi="Times New Roman" w:cs="Times New Roman"/>
          <w:sz w:val="24"/>
          <w:szCs w:val="24"/>
        </w:rPr>
        <w:t xml:space="preserve">part of </w:t>
      </w:r>
      <w:r>
        <w:rPr>
          <w:rFonts w:ascii="Times New Roman" w:hAnsi="Times New Roman" w:cs="Times New Roman"/>
          <w:sz w:val="24"/>
          <w:szCs w:val="24"/>
        </w:rPr>
        <w:t xml:space="preserve">government </w:t>
      </w:r>
      <w:r w:rsidRPr="001A3ABD">
        <w:rPr>
          <w:rFonts w:ascii="Times New Roman" w:hAnsi="Times New Roman" w:cs="Times New Roman"/>
          <w:sz w:val="24"/>
          <w:szCs w:val="24"/>
        </w:rPr>
        <w:t>procurement</w:t>
      </w:r>
      <w:r>
        <w:rPr>
          <w:rFonts w:ascii="Times New Roman" w:hAnsi="Times New Roman" w:cs="Times New Roman"/>
          <w:sz w:val="24"/>
          <w:szCs w:val="24"/>
        </w:rPr>
        <w:t xml:space="preserve"> processes;</w:t>
      </w:r>
      <w:r w:rsidRPr="001A3ABD">
        <w:rPr>
          <w:rFonts w:ascii="Times New Roman" w:hAnsi="Times New Roman" w:cs="Times New Roman"/>
          <w:sz w:val="24"/>
          <w:szCs w:val="24"/>
        </w:rPr>
        <w:t xml:space="preserve"> </w:t>
      </w:r>
    </w:p>
    <w:p w14:paraId="6E7CEA4E" w14:textId="77777777" w:rsidR="00B84C20" w:rsidRPr="001A3ABD" w:rsidRDefault="00B84C20" w:rsidP="00B84C20">
      <w:pPr>
        <w:pStyle w:val="ListParagraph"/>
        <w:numPr>
          <w:ilvl w:val="0"/>
          <w:numId w:val="26"/>
        </w:numPr>
        <w:spacing w:after="0" w:line="240" w:lineRule="auto"/>
        <w:rPr>
          <w:rFonts w:ascii="Times New Roman" w:hAnsi="Times New Roman" w:cs="Times New Roman"/>
          <w:sz w:val="24"/>
          <w:szCs w:val="24"/>
        </w:rPr>
      </w:pPr>
      <w:r w:rsidRPr="001A3ABD">
        <w:rPr>
          <w:rFonts w:ascii="Times New Roman" w:hAnsi="Times New Roman" w:cs="Times New Roman"/>
          <w:sz w:val="24"/>
          <w:szCs w:val="24"/>
        </w:rPr>
        <w:t xml:space="preserve">Even those countries that </w:t>
      </w:r>
      <w:r>
        <w:rPr>
          <w:rFonts w:ascii="Times New Roman" w:hAnsi="Times New Roman" w:cs="Times New Roman"/>
          <w:sz w:val="24"/>
          <w:szCs w:val="24"/>
        </w:rPr>
        <w:t xml:space="preserve">indicated they had pre-commitments </w:t>
      </w:r>
      <w:r w:rsidRPr="001A3ABD">
        <w:rPr>
          <w:rFonts w:ascii="Times New Roman" w:hAnsi="Times New Roman" w:cs="Times New Roman"/>
          <w:sz w:val="24"/>
          <w:szCs w:val="24"/>
        </w:rPr>
        <w:t xml:space="preserve">generally interpreted </w:t>
      </w:r>
      <w:r>
        <w:rPr>
          <w:rFonts w:ascii="Times New Roman" w:hAnsi="Times New Roman" w:cs="Times New Roman"/>
          <w:sz w:val="24"/>
          <w:szCs w:val="24"/>
        </w:rPr>
        <w:t xml:space="preserve">this </w:t>
      </w:r>
      <w:r w:rsidRPr="001A3ABD">
        <w:rPr>
          <w:rFonts w:ascii="Times New Roman" w:hAnsi="Times New Roman" w:cs="Times New Roman"/>
          <w:sz w:val="24"/>
          <w:szCs w:val="24"/>
        </w:rPr>
        <w:t>to be part of budget planning rather than budget execution control</w:t>
      </w:r>
      <w:r>
        <w:rPr>
          <w:rFonts w:ascii="Times New Roman" w:hAnsi="Times New Roman" w:cs="Times New Roman"/>
          <w:sz w:val="24"/>
          <w:szCs w:val="24"/>
        </w:rPr>
        <w:t xml:space="preserve"> (there is of course a strong relationship);</w:t>
      </w:r>
      <w:r w:rsidRPr="001A3ABD">
        <w:rPr>
          <w:rFonts w:ascii="Times New Roman" w:hAnsi="Times New Roman" w:cs="Times New Roman"/>
          <w:sz w:val="24"/>
          <w:szCs w:val="24"/>
        </w:rPr>
        <w:t xml:space="preserve"> </w:t>
      </w:r>
    </w:p>
    <w:p w14:paraId="49359F82" w14:textId="77777777" w:rsidR="00B84C20" w:rsidRPr="00D06DDE" w:rsidRDefault="00B84C20" w:rsidP="00B84C20">
      <w:pPr>
        <w:pStyle w:val="ListParagraph"/>
        <w:numPr>
          <w:ilvl w:val="0"/>
          <w:numId w:val="26"/>
        </w:numPr>
        <w:spacing w:after="0" w:line="240" w:lineRule="auto"/>
        <w:rPr>
          <w:rFonts w:ascii="Times New Roman" w:hAnsi="Times New Roman" w:cs="Times New Roman"/>
          <w:sz w:val="24"/>
          <w:szCs w:val="24"/>
        </w:rPr>
      </w:pPr>
      <w:r w:rsidRPr="00D06DDE">
        <w:rPr>
          <w:rFonts w:ascii="Times New Roman" w:hAnsi="Times New Roman" w:cs="Times New Roman"/>
          <w:sz w:val="24"/>
          <w:szCs w:val="24"/>
        </w:rPr>
        <w:t>Th</w:t>
      </w:r>
      <w:r>
        <w:rPr>
          <w:rFonts w:ascii="Times New Roman" w:hAnsi="Times New Roman" w:cs="Times New Roman"/>
          <w:sz w:val="24"/>
          <w:szCs w:val="24"/>
        </w:rPr>
        <w:t xml:space="preserve">e recording of pre-commitments </w:t>
      </w:r>
      <w:r w:rsidRPr="00D06DDE">
        <w:rPr>
          <w:rFonts w:ascii="Times New Roman" w:hAnsi="Times New Roman" w:cs="Times New Roman"/>
          <w:sz w:val="24"/>
          <w:szCs w:val="24"/>
        </w:rPr>
        <w:t xml:space="preserve">also varies although seven of the eight responding countries record pre-commitments in either the central FMIS or MDA FMIS. This suggests that for these countries at least, this information will be available to compare against budget allocations and for budget control purposes. </w:t>
      </w:r>
    </w:p>
    <w:p w14:paraId="29350ABB" w14:textId="77777777" w:rsidR="00B84C20" w:rsidRPr="008A7117" w:rsidRDefault="00B84C20" w:rsidP="00B84C20">
      <w:pPr>
        <w:pStyle w:val="ListParagraph"/>
        <w:spacing w:after="0" w:line="240" w:lineRule="auto"/>
        <w:ind w:left="360"/>
        <w:rPr>
          <w:rFonts w:ascii="Times New Roman" w:hAnsi="Times New Roman" w:cs="Times New Roman"/>
          <w:sz w:val="24"/>
          <w:szCs w:val="24"/>
        </w:rPr>
      </w:pPr>
      <w:r w:rsidRPr="008A7117">
        <w:rPr>
          <w:rFonts w:ascii="Times New Roman" w:hAnsi="Times New Roman" w:cs="Times New Roman"/>
          <w:sz w:val="24"/>
          <w:szCs w:val="24"/>
        </w:rPr>
        <w:t xml:space="preserve"> </w:t>
      </w:r>
    </w:p>
    <w:p w14:paraId="72E96CDD" w14:textId="77777777" w:rsidR="00B84C20" w:rsidRPr="00D06DDE" w:rsidRDefault="00B84C20" w:rsidP="00B84C20">
      <w:pPr>
        <w:spacing w:after="0" w:line="240" w:lineRule="auto"/>
        <w:rPr>
          <w:rFonts w:ascii="Times New Roman" w:hAnsi="Times New Roman" w:cs="Times New Roman"/>
          <w:b/>
          <w:color w:val="4F81BD" w:themeColor="accent1"/>
          <w:sz w:val="24"/>
          <w:szCs w:val="24"/>
        </w:rPr>
      </w:pPr>
      <w:r w:rsidRPr="00D06DDE">
        <w:rPr>
          <w:rFonts w:ascii="Times New Roman" w:hAnsi="Times New Roman" w:cs="Times New Roman"/>
          <w:b/>
          <w:color w:val="4F81BD" w:themeColor="accent1"/>
          <w:sz w:val="24"/>
          <w:szCs w:val="24"/>
        </w:rPr>
        <w:t>Stage Two</w:t>
      </w:r>
      <w:r>
        <w:rPr>
          <w:rFonts w:ascii="Times New Roman" w:hAnsi="Times New Roman" w:cs="Times New Roman"/>
          <w:b/>
          <w:color w:val="4F81BD" w:themeColor="accent1"/>
          <w:sz w:val="24"/>
          <w:szCs w:val="24"/>
        </w:rPr>
        <w:t xml:space="preserve"> - Commitments</w:t>
      </w:r>
    </w:p>
    <w:p w14:paraId="00025EB0" w14:textId="77777777" w:rsidR="00B84C20" w:rsidRPr="00D06DDE" w:rsidRDefault="00B84C20" w:rsidP="00B84C20">
      <w:pPr>
        <w:spacing w:after="0" w:line="240" w:lineRule="auto"/>
        <w:rPr>
          <w:rFonts w:ascii="Times New Roman" w:hAnsi="Times New Roman" w:cs="Times New Roman"/>
          <w:b/>
          <w:color w:val="4F81BD" w:themeColor="accent1"/>
          <w:sz w:val="24"/>
          <w:szCs w:val="24"/>
        </w:rPr>
      </w:pPr>
    </w:p>
    <w:p w14:paraId="75F737E9" w14:textId="77777777" w:rsidR="00B84C20" w:rsidRPr="00D06DDE" w:rsidRDefault="00B84C20" w:rsidP="00B84C20">
      <w:pPr>
        <w:pStyle w:val="ListParagraph"/>
        <w:numPr>
          <w:ilvl w:val="0"/>
          <w:numId w:val="27"/>
        </w:numPr>
        <w:spacing w:after="0" w:line="240" w:lineRule="auto"/>
        <w:rPr>
          <w:rFonts w:ascii="Times New Roman" w:hAnsi="Times New Roman" w:cs="Times New Roman"/>
          <w:sz w:val="24"/>
          <w:szCs w:val="24"/>
        </w:rPr>
      </w:pPr>
      <w:r w:rsidRPr="00D06DDE">
        <w:rPr>
          <w:rFonts w:ascii="Times New Roman" w:hAnsi="Times New Roman" w:cs="Times New Roman"/>
          <w:sz w:val="24"/>
          <w:szCs w:val="24"/>
        </w:rPr>
        <w:t xml:space="preserve">Most countries </w:t>
      </w:r>
      <w:r>
        <w:rPr>
          <w:rFonts w:ascii="Times New Roman" w:hAnsi="Times New Roman" w:cs="Times New Roman"/>
          <w:sz w:val="24"/>
          <w:szCs w:val="24"/>
        </w:rPr>
        <w:t xml:space="preserve">indicate that they </w:t>
      </w:r>
      <w:r w:rsidRPr="00D06DDE">
        <w:rPr>
          <w:rFonts w:ascii="Times New Roman" w:hAnsi="Times New Roman" w:cs="Times New Roman"/>
          <w:sz w:val="24"/>
          <w:szCs w:val="24"/>
        </w:rPr>
        <w:t xml:space="preserve">have </w:t>
      </w:r>
      <w:r>
        <w:rPr>
          <w:rFonts w:ascii="Times New Roman" w:hAnsi="Times New Roman" w:cs="Times New Roman"/>
          <w:sz w:val="24"/>
          <w:szCs w:val="24"/>
        </w:rPr>
        <w:t>a concept</w:t>
      </w:r>
      <w:r w:rsidRPr="00D06DDE">
        <w:rPr>
          <w:rFonts w:ascii="Times New Roman" w:hAnsi="Times New Roman" w:cs="Times New Roman"/>
          <w:sz w:val="24"/>
          <w:szCs w:val="24"/>
        </w:rPr>
        <w:t xml:space="preserve"> of commitments that accord</w:t>
      </w:r>
      <w:r>
        <w:rPr>
          <w:rFonts w:ascii="Times New Roman" w:hAnsi="Times New Roman" w:cs="Times New Roman"/>
          <w:sz w:val="24"/>
          <w:szCs w:val="24"/>
        </w:rPr>
        <w:t>s</w:t>
      </w:r>
      <w:r w:rsidRPr="00D06DDE">
        <w:rPr>
          <w:rFonts w:ascii="Times New Roman" w:hAnsi="Times New Roman" w:cs="Times New Roman"/>
          <w:sz w:val="24"/>
          <w:szCs w:val="24"/>
        </w:rPr>
        <w:t xml:space="preserve"> with the example</w:t>
      </w:r>
      <w:r>
        <w:rPr>
          <w:rFonts w:ascii="Times New Roman" w:hAnsi="Times New Roman" w:cs="Times New Roman"/>
          <w:sz w:val="24"/>
          <w:szCs w:val="24"/>
        </w:rPr>
        <w:t xml:space="preserve"> provided in the questionnaire;</w:t>
      </w:r>
      <w:r w:rsidRPr="00D06DDE">
        <w:rPr>
          <w:rFonts w:ascii="Times New Roman" w:hAnsi="Times New Roman" w:cs="Times New Roman"/>
          <w:sz w:val="24"/>
          <w:szCs w:val="24"/>
        </w:rPr>
        <w:t xml:space="preserve"> </w:t>
      </w:r>
    </w:p>
    <w:p w14:paraId="2828EBC5" w14:textId="77777777" w:rsidR="00B84C20" w:rsidRDefault="00B84C20" w:rsidP="00B84C20">
      <w:pPr>
        <w:pStyle w:val="ListParagraph"/>
        <w:numPr>
          <w:ilvl w:val="0"/>
          <w:numId w:val="27"/>
        </w:numPr>
        <w:spacing w:after="0" w:line="240" w:lineRule="auto"/>
        <w:rPr>
          <w:rFonts w:ascii="Times New Roman" w:hAnsi="Times New Roman" w:cs="Times New Roman"/>
          <w:sz w:val="24"/>
          <w:szCs w:val="24"/>
        </w:rPr>
      </w:pPr>
      <w:r w:rsidRPr="00D06DDE">
        <w:rPr>
          <w:rFonts w:ascii="Times New Roman" w:hAnsi="Times New Roman" w:cs="Times New Roman"/>
          <w:sz w:val="24"/>
          <w:szCs w:val="24"/>
        </w:rPr>
        <w:t xml:space="preserve">There is significant divergence across PEMPAL respondent countries in relation to the recognition and recording of commitments. </w:t>
      </w:r>
    </w:p>
    <w:p w14:paraId="44E9AB39" w14:textId="77777777" w:rsidR="00B84C20" w:rsidRDefault="00B84C20" w:rsidP="00B84C20">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Only five countries are issuing POs from an FMIS where appropriations are also controlled in a timeframe close to when the contract is signed - </w:t>
      </w:r>
      <w:r w:rsidRPr="00D06DDE">
        <w:rPr>
          <w:rFonts w:ascii="Times New Roman" w:hAnsi="Times New Roman" w:cs="Times New Roman"/>
          <w:sz w:val="24"/>
          <w:szCs w:val="24"/>
        </w:rPr>
        <w:t>Issuing a system based PO to record the commitment from the FMIS close to the time the contractual obligation occurs provides strong budgetary control and can provide additional useful information for cash management</w:t>
      </w:r>
      <w:r>
        <w:rPr>
          <w:rFonts w:ascii="Times New Roman" w:hAnsi="Times New Roman" w:cs="Times New Roman"/>
          <w:sz w:val="24"/>
          <w:szCs w:val="24"/>
        </w:rPr>
        <w:t xml:space="preserve">; </w:t>
      </w:r>
    </w:p>
    <w:p w14:paraId="535A8E8F" w14:textId="77777777" w:rsidR="00B84C20" w:rsidRPr="00D06DDE" w:rsidRDefault="00B84C20" w:rsidP="00B84C20">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For other countries,</w:t>
      </w:r>
      <w:r w:rsidRPr="00D06DDE">
        <w:rPr>
          <w:rFonts w:ascii="Times New Roman" w:hAnsi="Times New Roman" w:cs="Times New Roman"/>
          <w:sz w:val="24"/>
          <w:szCs w:val="24"/>
        </w:rPr>
        <w:t xml:space="preserve"> POs are </w:t>
      </w:r>
      <w:r>
        <w:rPr>
          <w:rFonts w:ascii="Times New Roman" w:hAnsi="Times New Roman" w:cs="Times New Roman"/>
          <w:sz w:val="24"/>
          <w:szCs w:val="24"/>
        </w:rPr>
        <w:t xml:space="preserve">either not issued, </w:t>
      </w:r>
      <w:r w:rsidRPr="00D06DDE">
        <w:rPr>
          <w:rFonts w:ascii="Times New Roman" w:hAnsi="Times New Roman" w:cs="Times New Roman"/>
          <w:sz w:val="24"/>
          <w:szCs w:val="24"/>
        </w:rPr>
        <w:t>issued some time later</w:t>
      </w:r>
      <w:r>
        <w:rPr>
          <w:rFonts w:ascii="Times New Roman" w:hAnsi="Times New Roman" w:cs="Times New Roman"/>
          <w:sz w:val="24"/>
          <w:szCs w:val="24"/>
        </w:rPr>
        <w:t>,</w:t>
      </w:r>
      <w:r w:rsidRPr="00D06DDE">
        <w:rPr>
          <w:rFonts w:ascii="Times New Roman" w:hAnsi="Times New Roman" w:cs="Times New Roman"/>
          <w:sz w:val="24"/>
          <w:szCs w:val="24"/>
        </w:rPr>
        <w:t xml:space="preserve"> or only when quarterly funds are released</w:t>
      </w:r>
      <w:r>
        <w:rPr>
          <w:rFonts w:ascii="Times New Roman" w:hAnsi="Times New Roman" w:cs="Times New Roman"/>
          <w:sz w:val="24"/>
          <w:szCs w:val="24"/>
        </w:rPr>
        <w:t xml:space="preserve">. This will result in </w:t>
      </w:r>
      <w:r w:rsidRPr="00D06DDE">
        <w:rPr>
          <w:rFonts w:ascii="Times New Roman" w:hAnsi="Times New Roman" w:cs="Times New Roman"/>
          <w:sz w:val="24"/>
          <w:szCs w:val="24"/>
        </w:rPr>
        <w:t>suboptimal</w:t>
      </w:r>
      <w:r>
        <w:rPr>
          <w:rFonts w:ascii="Times New Roman" w:hAnsi="Times New Roman" w:cs="Times New Roman"/>
          <w:sz w:val="24"/>
          <w:szCs w:val="24"/>
        </w:rPr>
        <w:t xml:space="preserve"> information for budget control and cash management</w:t>
      </w:r>
      <w:r w:rsidRPr="00D06DDE">
        <w:rPr>
          <w:rFonts w:ascii="Times New Roman" w:hAnsi="Times New Roman" w:cs="Times New Roman"/>
          <w:sz w:val="24"/>
          <w:szCs w:val="24"/>
        </w:rPr>
        <w:t xml:space="preserve">.  </w:t>
      </w:r>
    </w:p>
    <w:p w14:paraId="541BF085" w14:textId="77777777" w:rsidR="00B84C20" w:rsidRDefault="00B84C20" w:rsidP="00B84C20">
      <w:pPr>
        <w:spacing w:after="0" w:line="240" w:lineRule="auto"/>
        <w:rPr>
          <w:rFonts w:ascii="Times New Roman" w:hAnsi="Times New Roman" w:cs="Times New Roman"/>
          <w:sz w:val="24"/>
          <w:szCs w:val="24"/>
        </w:rPr>
      </w:pPr>
    </w:p>
    <w:p w14:paraId="4EE6FFB9" w14:textId="77777777" w:rsidR="00B84C20" w:rsidRPr="00D06DDE" w:rsidRDefault="00B84C20" w:rsidP="00B84C20">
      <w:pPr>
        <w:spacing w:after="0" w:line="240" w:lineRule="auto"/>
        <w:rPr>
          <w:rFonts w:ascii="Times New Roman" w:hAnsi="Times New Roman" w:cs="Times New Roman"/>
          <w:b/>
          <w:color w:val="4F81BD" w:themeColor="accent1"/>
          <w:sz w:val="24"/>
          <w:szCs w:val="24"/>
        </w:rPr>
      </w:pPr>
      <w:r w:rsidRPr="00D06DDE">
        <w:rPr>
          <w:rFonts w:ascii="Times New Roman" w:hAnsi="Times New Roman" w:cs="Times New Roman"/>
          <w:b/>
          <w:color w:val="4F81BD" w:themeColor="accent1"/>
          <w:sz w:val="24"/>
          <w:szCs w:val="24"/>
        </w:rPr>
        <w:t>Stage Three</w:t>
      </w:r>
      <w:r>
        <w:rPr>
          <w:rFonts w:ascii="Times New Roman" w:hAnsi="Times New Roman" w:cs="Times New Roman"/>
          <w:b/>
          <w:color w:val="4F81BD" w:themeColor="accent1"/>
          <w:sz w:val="24"/>
          <w:szCs w:val="24"/>
        </w:rPr>
        <w:t xml:space="preserve"> – Receipt of Goods and Services</w:t>
      </w:r>
    </w:p>
    <w:p w14:paraId="0EED3B25" w14:textId="77777777" w:rsidR="00B84C20" w:rsidRPr="009326D3" w:rsidRDefault="00B84C20" w:rsidP="00B84C20">
      <w:pPr>
        <w:spacing w:after="0" w:line="240" w:lineRule="auto"/>
        <w:rPr>
          <w:rFonts w:ascii="Times New Roman" w:hAnsi="Times New Roman" w:cs="Times New Roman"/>
          <w:sz w:val="24"/>
          <w:szCs w:val="24"/>
        </w:rPr>
      </w:pPr>
    </w:p>
    <w:p w14:paraId="3E02B33D" w14:textId="77777777" w:rsidR="00B84C20" w:rsidRPr="00D06DDE" w:rsidRDefault="00B84C20" w:rsidP="00B84C20">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Just five</w:t>
      </w:r>
      <w:r w:rsidRPr="00D06DDE">
        <w:rPr>
          <w:rFonts w:ascii="Times New Roman" w:hAnsi="Times New Roman" w:cs="Times New Roman"/>
          <w:sz w:val="24"/>
          <w:szCs w:val="24"/>
        </w:rPr>
        <w:t xml:space="preserve"> countries recogni</w:t>
      </w:r>
      <w:r>
        <w:rPr>
          <w:rFonts w:ascii="Times New Roman" w:hAnsi="Times New Roman" w:cs="Times New Roman"/>
          <w:sz w:val="24"/>
          <w:szCs w:val="24"/>
        </w:rPr>
        <w:t>ze the receipt of goods and services</w:t>
      </w:r>
      <w:r w:rsidRPr="00D06DDE">
        <w:rPr>
          <w:rFonts w:ascii="Times New Roman" w:hAnsi="Times New Roman" w:cs="Times New Roman"/>
          <w:sz w:val="24"/>
          <w:szCs w:val="24"/>
        </w:rPr>
        <w:t xml:space="preserve"> in a central</w:t>
      </w:r>
      <w:r>
        <w:rPr>
          <w:rFonts w:ascii="Times New Roman" w:hAnsi="Times New Roman" w:cs="Times New Roman"/>
          <w:sz w:val="24"/>
          <w:szCs w:val="24"/>
        </w:rPr>
        <w:t>/MDA</w:t>
      </w:r>
      <w:r w:rsidRPr="00D06DDE">
        <w:rPr>
          <w:rFonts w:ascii="Times New Roman" w:hAnsi="Times New Roman" w:cs="Times New Roman"/>
          <w:sz w:val="24"/>
          <w:szCs w:val="24"/>
        </w:rPr>
        <w:t xml:space="preserve"> FMIS</w:t>
      </w:r>
      <w:r>
        <w:rPr>
          <w:rFonts w:ascii="Times New Roman" w:hAnsi="Times New Roman" w:cs="Times New Roman"/>
          <w:sz w:val="24"/>
          <w:szCs w:val="24"/>
        </w:rPr>
        <w:t xml:space="preserve"> where budget controls can be maintained</w:t>
      </w:r>
      <w:r w:rsidRPr="00D06DDE">
        <w:rPr>
          <w:rFonts w:ascii="Times New Roman" w:hAnsi="Times New Roman" w:cs="Times New Roman"/>
          <w:sz w:val="24"/>
          <w:szCs w:val="24"/>
        </w:rPr>
        <w:t>. Two countries r</w:t>
      </w:r>
      <w:r>
        <w:rPr>
          <w:rFonts w:ascii="Times New Roman" w:hAnsi="Times New Roman" w:cs="Times New Roman"/>
          <w:sz w:val="24"/>
          <w:szCs w:val="24"/>
        </w:rPr>
        <w:t xml:space="preserve">emain largely </w:t>
      </w:r>
      <w:proofErr w:type="spellStart"/>
      <w:r>
        <w:rPr>
          <w:rFonts w:ascii="Times New Roman" w:hAnsi="Times New Roman" w:cs="Times New Roman"/>
          <w:sz w:val="24"/>
          <w:szCs w:val="24"/>
        </w:rPr>
        <w:t>dependant</w:t>
      </w:r>
      <w:proofErr w:type="spellEnd"/>
      <w:r>
        <w:rPr>
          <w:rFonts w:ascii="Times New Roman" w:hAnsi="Times New Roman" w:cs="Times New Roman"/>
          <w:sz w:val="24"/>
          <w:szCs w:val="24"/>
        </w:rPr>
        <w:t xml:space="preserve"> on non-FMIS based controls; and</w:t>
      </w:r>
      <w:r w:rsidRPr="00D06DDE">
        <w:rPr>
          <w:rFonts w:ascii="Times New Roman" w:hAnsi="Times New Roman" w:cs="Times New Roman"/>
          <w:sz w:val="24"/>
          <w:szCs w:val="24"/>
        </w:rPr>
        <w:t xml:space="preserve">       </w:t>
      </w:r>
    </w:p>
    <w:p w14:paraId="08A2F8DD" w14:textId="77777777" w:rsidR="00B84C20" w:rsidRPr="00D06DDE" w:rsidRDefault="00B84C20" w:rsidP="00B84C20">
      <w:pPr>
        <w:pStyle w:val="ListParagraph"/>
        <w:numPr>
          <w:ilvl w:val="0"/>
          <w:numId w:val="28"/>
        </w:numPr>
        <w:spacing w:after="0" w:line="240" w:lineRule="auto"/>
        <w:rPr>
          <w:rFonts w:ascii="Times New Roman" w:hAnsi="Times New Roman" w:cs="Times New Roman"/>
          <w:sz w:val="24"/>
          <w:szCs w:val="24"/>
        </w:rPr>
      </w:pPr>
      <w:r w:rsidRPr="00D06DDE">
        <w:rPr>
          <w:rFonts w:ascii="Times New Roman" w:hAnsi="Times New Roman" w:cs="Times New Roman"/>
          <w:sz w:val="24"/>
          <w:szCs w:val="24"/>
        </w:rPr>
        <w:t>Five countries indicate that the</w:t>
      </w:r>
      <w:r>
        <w:rPr>
          <w:rFonts w:ascii="Times New Roman" w:hAnsi="Times New Roman" w:cs="Times New Roman"/>
          <w:sz w:val="24"/>
          <w:szCs w:val="24"/>
        </w:rPr>
        <w:t>y</w:t>
      </w:r>
      <w:r w:rsidRPr="00D06DDE">
        <w:rPr>
          <w:rFonts w:ascii="Times New Roman" w:hAnsi="Times New Roman" w:cs="Times New Roman"/>
          <w:sz w:val="24"/>
          <w:szCs w:val="24"/>
        </w:rPr>
        <w:t xml:space="preserve"> do not recognise delivery of goods and services at all, which must be a major challenge for </w:t>
      </w:r>
      <w:r>
        <w:rPr>
          <w:rFonts w:ascii="Times New Roman" w:hAnsi="Times New Roman" w:cs="Times New Roman"/>
          <w:sz w:val="24"/>
          <w:szCs w:val="24"/>
        </w:rPr>
        <w:t>budgetary and internal controls and for recognition of liabilities required under accrual accounting.</w:t>
      </w:r>
      <w:r w:rsidRPr="00D06DDE">
        <w:rPr>
          <w:rFonts w:ascii="Times New Roman" w:hAnsi="Times New Roman" w:cs="Times New Roman"/>
          <w:sz w:val="24"/>
          <w:szCs w:val="24"/>
        </w:rPr>
        <w:t xml:space="preserve"> </w:t>
      </w:r>
    </w:p>
    <w:p w14:paraId="6F31F79F" w14:textId="77777777" w:rsidR="00B84C20" w:rsidRDefault="00B84C20" w:rsidP="00B84C20">
      <w:pPr>
        <w:spacing w:after="0" w:line="240" w:lineRule="auto"/>
        <w:rPr>
          <w:highlight w:val="green"/>
        </w:rPr>
      </w:pPr>
    </w:p>
    <w:p w14:paraId="6AF57796" w14:textId="77777777" w:rsidR="00B84C20" w:rsidRDefault="00B84C20" w:rsidP="00B84C20">
      <w:pPr>
        <w:spacing w:after="0" w:line="240" w:lineRule="auto"/>
        <w:rPr>
          <w:rFonts w:ascii="Times New Roman" w:hAnsi="Times New Roman" w:cs="Times New Roman"/>
          <w:b/>
          <w:color w:val="4F81BD" w:themeColor="accent1"/>
          <w:sz w:val="24"/>
          <w:szCs w:val="24"/>
        </w:rPr>
      </w:pPr>
      <w:r w:rsidRPr="00D06DDE">
        <w:rPr>
          <w:rFonts w:ascii="Times New Roman" w:hAnsi="Times New Roman" w:cs="Times New Roman"/>
          <w:b/>
          <w:color w:val="4F81BD" w:themeColor="accent1"/>
          <w:sz w:val="24"/>
          <w:szCs w:val="24"/>
        </w:rPr>
        <w:t>Stage Four</w:t>
      </w:r>
      <w:r>
        <w:rPr>
          <w:rFonts w:ascii="Times New Roman" w:hAnsi="Times New Roman" w:cs="Times New Roman"/>
          <w:b/>
          <w:color w:val="4F81BD" w:themeColor="accent1"/>
          <w:sz w:val="24"/>
          <w:szCs w:val="24"/>
        </w:rPr>
        <w:t xml:space="preserve"> </w:t>
      </w:r>
      <w:proofErr w:type="gramStart"/>
      <w:r>
        <w:rPr>
          <w:rFonts w:ascii="Times New Roman" w:hAnsi="Times New Roman" w:cs="Times New Roman"/>
          <w:b/>
          <w:color w:val="4F81BD" w:themeColor="accent1"/>
          <w:sz w:val="24"/>
          <w:szCs w:val="24"/>
        </w:rPr>
        <w:t xml:space="preserve">-  </w:t>
      </w:r>
      <w:r>
        <w:rPr>
          <w:b/>
          <w:noProof/>
          <w:lang w:val="en-US"/>
        </w:rPr>
        <w:t>Receipt</w:t>
      </w:r>
      <w:proofErr w:type="gramEnd"/>
      <w:r>
        <w:rPr>
          <w:b/>
          <w:noProof/>
          <w:lang w:val="en-US"/>
        </w:rPr>
        <w:t xml:space="preserve"> of Supplier Invoices</w:t>
      </w:r>
    </w:p>
    <w:p w14:paraId="65F993D3" w14:textId="77777777" w:rsidR="00B84C20" w:rsidRPr="00D06DDE" w:rsidRDefault="00B84C20" w:rsidP="00B84C20">
      <w:pPr>
        <w:spacing w:after="0" w:line="240" w:lineRule="auto"/>
        <w:rPr>
          <w:rFonts w:ascii="Times New Roman" w:hAnsi="Times New Roman" w:cs="Times New Roman"/>
          <w:b/>
          <w:color w:val="4F81BD" w:themeColor="accent1"/>
          <w:sz w:val="24"/>
          <w:szCs w:val="24"/>
        </w:rPr>
      </w:pPr>
    </w:p>
    <w:p w14:paraId="32A8F9DE" w14:textId="77777777" w:rsidR="00B84C20" w:rsidRDefault="00B84C20" w:rsidP="00B84C20">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D06DDE">
        <w:rPr>
          <w:rFonts w:ascii="Times New Roman" w:hAnsi="Times New Roman" w:cs="Times New Roman"/>
          <w:sz w:val="24"/>
          <w:szCs w:val="24"/>
        </w:rPr>
        <w:t xml:space="preserve">even countries are recording </w:t>
      </w:r>
      <w:r>
        <w:rPr>
          <w:rFonts w:ascii="Times New Roman" w:hAnsi="Times New Roman" w:cs="Times New Roman"/>
          <w:sz w:val="24"/>
          <w:szCs w:val="24"/>
        </w:rPr>
        <w:t xml:space="preserve">the </w:t>
      </w:r>
      <w:r w:rsidRPr="00D06DDE">
        <w:rPr>
          <w:rFonts w:ascii="Times New Roman" w:hAnsi="Times New Roman" w:cs="Times New Roman"/>
          <w:sz w:val="24"/>
          <w:szCs w:val="24"/>
        </w:rPr>
        <w:t xml:space="preserve">receipt of invoices and matching these to the original commitments, five are not. </w:t>
      </w:r>
    </w:p>
    <w:p w14:paraId="178688ED" w14:textId="77777777" w:rsidR="00B84C20" w:rsidRPr="00D06DDE" w:rsidRDefault="00B84C20" w:rsidP="00B84C20">
      <w:pPr>
        <w:pStyle w:val="ListParagraph"/>
        <w:numPr>
          <w:ilvl w:val="0"/>
          <w:numId w:val="29"/>
        </w:numPr>
        <w:spacing w:after="0" w:line="240" w:lineRule="auto"/>
        <w:rPr>
          <w:rFonts w:ascii="Times New Roman" w:hAnsi="Times New Roman" w:cs="Times New Roman"/>
          <w:sz w:val="24"/>
          <w:szCs w:val="24"/>
        </w:rPr>
      </w:pPr>
      <w:r w:rsidRPr="00D06DDE">
        <w:rPr>
          <w:rFonts w:ascii="Times New Roman" w:hAnsi="Times New Roman" w:cs="Times New Roman"/>
          <w:sz w:val="24"/>
          <w:szCs w:val="24"/>
        </w:rPr>
        <w:t>This stage along with the recording of goods and services receipt, represent important control points in government.  Countries that do not record these stages would find budget control, management and reporting very challenging. Managing these processes outside either a central or MDA FMIS would also be extremely challenging.</w:t>
      </w:r>
    </w:p>
    <w:p w14:paraId="1F3FA652" w14:textId="77777777" w:rsidR="00B84C20" w:rsidRDefault="00B84C20" w:rsidP="00B84C20">
      <w:pPr>
        <w:spacing w:after="0" w:line="240" w:lineRule="auto"/>
        <w:rPr>
          <w:rFonts w:ascii="Times New Roman" w:hAnsi="Times New Roman" w:cs="Times New Roman"/>
        </w:rPr>
      </w:pPr>
    </w:p>
    <w:p w14:paraId="67DC506F" w14:textId="77777777" w:rsidR="00B84C20" w:rsidRPr="00D06DDE" w:rsidRDefault="00B84C20" w:rsidP="00B84C20">
      <w:pPr>
        <w:spacing w:after="0" w:line="240" w:lineRule="auto"/>
        <w:rPr>
          <w:rFonts w:ascii="Times New Roman" w:hAnsi="Times New Roman" w:cs="Times New Roman"/>
          <w:b/>
          <w:color w:val="4F81BD" w:themeColor="accent1"/>
        </w:rPr>
      </w:pPr>
      <w:r w:rsidRPr="00D06DDE">
        <w:rPr>
          <w:rFonts w:ascii="Times New Roman" w:hAnsi="Times New Roman" w:cs="Times New Roman"/>
          <w:b/>
          <w:color w:val="4F81BD" w:themeColor="accent1"/>
        </w:rPr>
        <w:t>Stage Five</w:t>
      </w:r>
      <w:r>
        <w:rPr>
          <w:rFonts w:ascii="Times New Roman" w:hAnsi="Times New Roman" w:cs="Times New Roman"/>
          <w:b/>
          <w:color w:val="4F81BD" w:themeColor="accent1"/>
        </w:rPr>
        <w:t xml:space="preserve"> - </w:t>
      </w:r>
      <w:r w:rsidRPr="00191197">
        <w:rPr>
          <w:b/>
          <w:noProof/>
          <w:lang w:val="en-US"/>
        </w:rPr>
        <w:t>Accounts Payable</w:t>
      </w:r>
      <w:r>
        <w:rPr>
          <w:b/>
          <w:noProof/>
          <w:lang w:val="en-US"/>
        </w:rPr>
        <w:t xml:space="preserve"> in the Accounting System</w:t>
      </w:r>
    </w:p>
    <w:p w14:paraId="0A069875" w14:textId="77777777" w:rsidR="00B84C20" w:rsidRDefault="00B84C20" w:rsidP="00B84C20">
      <w:pPr>
        <w:spacing w:after="0" w:line="240" w:lineRule="auto"/>
        <w:rPr>
          <w:rFonts w:ascii="Times New Roman" w:hAnsi="Times New Roman" w:cs="Times New Roman"/>
        </w:rPr>
      </w:pPr>
    </w:p>
    <w:p w14:paraId="3A1363B9" w14:textId="77777777" w:rsidR="00B84C20" w:rsidRDefault="00B84C20" w:rsidP="00B84C20">
      <w:pPr>
        <w:pStyle w:val="ListParagraph"/>
        <w:numPr>
          <w:ilvl w:val="0"/>
          <w:numId w:val="30"/>
        </w:numPr>
        <w:spacing w:after="0" w:line="24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Nine countries indicate they recognize accounts payable, thus three do not. This number exceeds the number that recorded either goods or services or that matched invoices to commitments; and</w:t>
      </w:r>
    </w:p>
    <w:p w14:paraId="14E571EC" w14:textId="77777777" w:rsidR="00B84C20" w:rsidRPr="00D71F1B" w:rsidRDefault="00B84C20" w:rsidP="00B84C20">
      <w:pPr>
        <w:pStyle w:val="ListParagraph"/>
        <w:numPr>
          <w:ilvl w:val="0"/>
          <w:numId w:val="30"/>
        </w:numPr>
        <w:spacing w:after="0" w:line="240" w:lineRule="auto"/>
        <w:rPr>
          <w:rFonts w:ascii="Times New Roman" w:hAnsi="Times New Roman" w:cs="Times New Roman"/>
          <w:noProof/>
          <w:sz w:val="24"/>
          <w:szCs w:val="24"/>
          <w:lang w:val="en-US"/>
        </w:rPr>
      </w:pPr>
      <w:r w:rsidRPr="00D71F1B">
        <w:rPr>
          <w:rFonts w:ascii="Times New Roman" w:hAnsi="Times New Roman" w:cs="Times New Roman"/>
          <w:noProof/>
          <w:sz w:val="24"/>
          <w:szCs w:val="24"/>
          <w:lang w:val="en-US"/>
        </w:rPr>
        <w:t xml:space="preserve">Only five countries have provided responses which are consistent across stages three to five of the questionnaire including how an accounts payable is recognized. </w:t>
      </w:r>
    </w:p>
    <w:p w14:paraId="415029AD" w14:textId="77777777" w:rsidR="00B84C20" w:rsidRDefault="00B84C20" w:rsidP="00B84C20">
      <w:pPr>
        <w:spacing w:after="0" w:line="240" w:lineRule="auto"/>
        <w:rPr>
          <w:rFonts w:ascii="Times New Roman" w:hAnsi="Times New Roman" w:cs="Times New Roman"/>
        </w:rPr>
      </w:pPr>
    </w:p>
    <w:p w14:paraId="3BA798BC" w14:textId="77777777" w:rsidR="00181647" w:rsidRDefault="00181647" w:rsidP="00B84C20">
      <w:pPr>
        <w:spacing w:after="0" w:line="240" w:lineRule="auto"/>
        <w:rPr>
          <w:rFonts w:ascii="Times New Roman" w:hAnsi="Times New Roman" w:cs="Times New Roman"/>
          <w:b/>
          <w:color w:val="4F81BD" w:themeColor="accent1"/>
          <w:sz w:val="24"/>
          <w:szCs w:val="24"/>
        </w:rPr>
      </w:pPr>
    </w:p>
    <w:p w14:paraId="279B28C8" w14:textId="77777777" w:rsidR="00181647" w:rsidRDefault="00181647" w:rsidP="00B84C20">
      <w:pPr>
        <w:spacing w:after="0" w:line="240" w:lineRule="auto"/>
        <w:rPr>
          <w:rFonts w:ascii="Times New Roman" w:hAnsi="Times New Roman" w:cs="Times New Roman"/>
          <w:b/>
          <w:color w:val="4F81BD" w:themeColor="accent1"/>
          <w:sz w:val="24"/>
          <w:szCs w:val="24"/>
        </w:rPr>
      </w:pPr>
    </w:p>
    <w:p w14:paraId="3B5B9B81" w14:textId="77777777" w:rsidR="00B84C20" w:rsidRPr="00111CFF" w:rsidRDefault="00B84C20" w:rsidP="00B84C20">
      <w:pPr>
        <w:spacing w:after="0" w:line="240" w:lineRule="auto"/>
        <w:rPr>
          <w:rFonts w:ascii="Times New Roman" w:hAnsi="Times New Roman" w:cs="Times New Roman"/>
          <w:b/>
          <w:color w:val="4F81BD" w:themeColor="accent1"/>
          <w:sz w:val="24"/>
          <w:szCs w:val="24"/>
        </w:rPr>
      </w:pPr>
      <w:bookmarkStart w:id="1" w:name="_GoBack"/>
      <w:bookmarkEnd w:id="1"/>
      <w:r w:rsidRPr="00111CFF">
        <w:rPr>
          <w:rFonts w:ascii="Times New Roman" w:hAnsi="Times New Roman" w:cs="Times New Roman"/>
          <w:b/>
          <w:color w:val="4F81BD" w:themeColor="accent1"/>
          <w:sz w:val="24"/>
          <w:szCs w:val="24"/>
        </w:rPr>
        <w:lastRenderedPageBreak/>
        <w:t>Stage Six</w:t>
      </w:r>
      <w:r>
        <w:rPr>
          <w:rFonts w:ascii="Times New Roman" w:hAnsi="Times New Roman" w:cs="Times New Roman"/>
          <w:b/>
          <w:color w:val="4F81BD" w:themeColor="accent1"/>
          <w:sz w:val="24"/>
          <w:szCs w:val="24"/>
        </w:rPr>
        <w:t xml:space="preserve"> – Due Date</w:t>
      </w:r>
    </w:p>
    <w:p w14:paraId="44696C8B" w14:textId="77777777" w:rsidR="00B84C20" w:rsidRDefault="00B84C20" w:rsidP="00B84C20">
      <w:pPr>
        <w:spacing w:after="0" w:line="240" w:lineRule="auto"/>
        <w:rPr>
          <w:rFonts w:ascii="Times New Roman" w:hAnsi="Times New Roman" w:cs="Times New Roman"/>
        </w:rPr>
      </w:pPr>
    </w:p>
    <w:p w14:paraId="1B75F1AE" w14:textId="77777777" w:rsidR="00B84C20" w:rsidRDefault="00B84C20" w:rsidP="00B84C20">
      <w:pPr>
        <w:pStyle w:val="ListParagraph"/>
        <w:numPr>
          <w:ilvl w:val="0"/>
          <w:numId w:val="31"/>
        </w:numPr>
        <w:rPr>
          <w:rFonts w:ascii="Times New Roman" w:hAnsi="Times New Roman" w:cs="Times New Roman"/>
          <w:noProof/>
          <w:sz w:val="24"/>
          <w:szCs w:val="24"/>
          <w:lang w:val="en-US"/>
        </w:rPr>
      </w:pPr>
      <w:r>
        <w:rPr>
          <w:rFonts w:ascii="Times New Roman" w:hAnsi="Times New Roman" w:cs="Times New Roman"/>
          <w:noProof/>
          <w:sz w:val="24"/>
          <w:szCs w:val="24"/>
          <w:lang w:val="en-US"/>
        </w:rPr>
        <w:t>Just four countries appear to apply the</w:t>
      </w:r>
      <w:r w:rsidRPr="0061534E">
        <w:rPr>
          <w:rFonts w:ascii="Times New Roman" w:hAnsi="Times New Roman" w:cs="Times New Roman"/>
          <w:noProof/>
          <w:sz w:val="24"/>
          <w:szCs w:val="24"/>
          <w:lang w:val="en-US"/>
        </w:rPr>
        <w:t xml:space="preserve"> concepts of due date and standard </w:t>
      </w:r>
      <w:r>
        <w:rPr>
          <w:rFonts w:ascii="Times New Roman" w:hAnsi="Times New Roman" w:cs="Times New Roman"/>
          <w:noProof/>
          <w:sz w:val="24"/>
          <w:szCs w:val="24"/>
          <w:lang w:val="en-US"/>
        </w:rPr>
        <w:t>“</w:t>
      </w:r>
      <w:r w:rsidRPr="0061534E">
        <w:rPr>
          <w:rFonts w:ascii="Times New Roman" w:hAnsi="Times New Roman" w:cs="Times New Roman"/>
          <w:noProof/>
          <w:sz w:val="24"/>
          <w:szCs w:val="24"/>
          <w:lang w:val="en-US"/>
        </w:rPr>
        <w:t>terms of trade</w:t>
      </w:r>
      <w:r>
        <w:rPr>
          <w:rFonts w:ascii="Times New Roman" w:hAnsi="Times New Roman" w:cs="Times New Roman"/>
          <w:noProof/>
          <w:sz w:val="24"/>
          <w:szCs w:val="24"/>
          <w:lang w:val="en-US"/>
        </w:rPr>
        <w:t>”</w:t>
      </w:r>
      <w:r w:rsidRPr="0061534E">
        <w:rPr>
          <w:rFonts w:ascii="Times New Roman" w:hAnsi="Times New Roman" w:cs="Times New Roman"/>
          <w:noProof/>
          <w:sz w:val="24"/>
          <w:szCs w:val="24"/>
          <w:lang w:val="en-US"/>
        </w:rPr>
        <w:t xml:space="preserve"> consistently with the defintions provided in the questionnaire</w:t>
      </w:r>
      <w:r>
        <w:rPr>
          <w:rFonts w:ascii="Times New Roman" w:hAnsi="Times New Roman" w:cs="Times New Roman"/>
          <w:noProof/>
          <w:sz w:val="24"/>
          <w:szCs w:val="24"/>
          <w:lang w:val="en-US"/>
        </w:rPr>
        <w:t xml:space="preserve">, </w:t>
      </w:r>
      <w:r w:rsidRPr="0061534E">
        <w:rPr>
          <w:rFonts w:ascii="Times New Roman" w:hAnsi="Times New Roman" w:cs="Times New Roman"/>
          <w:noProof/>
          <w:sz w:val="24"/>
          <w:szCs w:val="24"/>
          <w:lang w:val="en-US"/>
        </w:rPr>
        <w:t xml:space="preserve"> despite seven countries indicating that the country defintions closely aligned with the questionnaire. </w:t>
      </w:r>
    </w:p>
    <w:p w14:paraId="16C56A3E" w14:textId="77777777" w:rsidR="00B84C20" w:rsidRPr="00111CFF" w:rsidRDefault="00B84C20" w:rsidP="00B84C20">
      <w:pPr>
        <w:spacing w:after="0" w:line="240" w:lineRule="auto"/>
        <w:rPr>
          <w:rFonts w:ascii="Times New Roman" w:hAnsi="Times New Roman" w:cs="Times New Roman"/>
          <w:b/>
          <w:color w:val="4F81BD" w:themeColor="accent1"/>
          <w:sz w:val="24"/>
          <w:szCs w:val="24"/>
        </w:rPr>
      </w:pPr>
      <w:r w:rsidRPr="00111CFF">
        <w:rPr>
          <w:rFonts w:ascii="Times New Roman" w:hAnsi="Times New Roman" w:cs="Times New Roman"/>
          <w:b/>
          <w:color w:val="4F81BD" w:themeColor="accent1"/>
          <w:sz w:val="24"/>
          <w:szCs w:val="24"/>
        </w:rPr>
        <w:t>Stage Seven</w:t>
      </w:r>
      <w:r>
        <w:rPr>
          <w:rFonts w:ascii="Times New Roman" w:hAnsi="Times New Roman" w:cs="Times New Roman"/>
          <w:b/>
          <w:color w:val="4F81BD" w:themeColor="accent1"/>
          <w:sz w:val="24"/>
          <w:szCs w:val="24"/>
        </w:rPr>
        <w:t xml:space="preserve"> - Arrears</w:t>
      </w:r>
    </w:p>
    <w:p w14:paraId="2E8991AF" w14:textId="77777777" w:rsidR="00B84C20" w:rsidRDefault="00B84C20" w:rsidP="00B84C20">
      <w:pPr>
        <w:spacing w:after="0" w:line="240" w:lineRule="auto"/>
        <w:rPr>
          <w:rFonts w:ascii="Times New Roman" w:hAnsi="Times New Roman" w:cs="Times New Roman"/>
        </w:rPr>
      </w:pPr>
    </w:p>
    <w:p w14:paraId="6EA6B326" w14:textId="77777777" w:rsidR="00B84C20" w:rsidRDefault="00B84C20" w:rsidP="00B84C20">
      <w:pPr>
        <w:pStyle w:val="ListParagraph"/>
        <w:numPr>
          <w:ilvl w:val="0"/>
          <w:numId w:val="31"/>
        </w:numPr>
        <w:spacing w:after="0" w:line="240" w:lineRule="auto"/>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Two thirds of countries reponding to this stage of the process define and report arrears</w:t>
      </w:r>
      <w:r>
        <w:rPr>
          <w:rFonts w:ascii="Times New Roman" w:hAnsi="Times New Roman" w:cs="Times New Roman"/>
          <w:noProof/>
          <w:sz w:val="24"/>
          <w:szCs w:val="24"/>
          <w:lang w:val="en-US"/>
        </w:rPr>
        <w:t>;</w:t>
      </w:r>
      <w:r w:rsidRPr="009326D3">
        <w:rPr>
          <w:rFonts w:ascii="Times New Roman" w:hAnsi="Times New Roman" w:cs="Times New Roman"/>
          <w:noProof/>
          <w:sz w:val="24"/>
          <w:szCs w:val="24"/>
          <w:lang w:val="en-US"/>
        </w:rPr>
        <w:t xml:space="preserve"> </w:t>
      </w:r>
    </w:p>
    <w:p w14:paraId="0C33AB13" w14:textId="77777777" w:rsidR="00B84C20" w:rsidRPr="003B3B78" w:rsidRDefault="00B84C20" w:rsidP="00B84C20">
      <w:pPr>
        <w:pStyle w:val="ListParagraph"/>
        <w:numPr>
          <w:ilvl w:val="0"/>
          <w:numId w:val="31"/>
        </w:numPr>
        <w:spacing w:after="0" w:line="240" w:lineRule="auto"/>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The absence of reporting in four countries is however concerning,  as is the lack of consistency regarding the definition of arrears across respondent countries</w:t>
      </w:r>
      <w:r>
        <w:rPr>
          <w:rFonts w:ascii="Times New Roman" w:hAnsi="Times New Roman" w:cs="Times New Roman"/>
          <w:noProof/>
          <w:sz w:val="24"/>
          <w:szCs w:val="24"/>
          <w:lang w:val="en-US"/>
        </w:rPr>
        <w:t xml:space="preserve">; </w:t>
      </w:r>
      <w:r w:rsidRPr="003B3B78">
        <w:rPr>
          <w:rFonts w:ascii="Times New Roman" w:hAnsi="Times New Roman" w:cs="Times New Roman"/>
          <w:noProof/>
          <w:sz w:val="24"/>
          <w:szCs w:val="24"/>
          <w:lang w:val="en-US"/>
        </w:rPr>
        <w:t xml:space="preserve">and </w:t>
      </w:r>
    </w:p>
    <w:p w14:paraId="3536AB87" w14:textId="77777777" w:rsidR="00B84C20" w:rsidRPr="0061534E" w:rsidRDefault="00B84C20" w:rsidP="00B84C20">
      <w:pPr>
        <w:pStyle w:val="ListParagraph"/>
        <w:numPr>
          <w:ilvl w:val="0"/>
          <w:numId w:val="31"/>
        </w:numPr>
        <w:spacing w:after="0" w:line="240" w:lineRule="auto"/>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Only four countries incur penalties for delayed payment, which may result in a lack of ince</w:t>
      </w:r>
      <w:r>
        <w:rPr>
          <w:rFonts w:ascii="Times New Roman" w:hAnsi="Times New Roman" w:cs="Times New Roman"/>
          <w:noProof/>
          <w:sz w:val="24"/>
          <w:szCs w:val="24"/>
          <w:lang w:val="en-US"/>
        </w:rPr>
        <w:t>ntives and consequences for effective</w:t>
      </w:r>
      <w:r w:rsidRPr="009326D3">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payment </w:t>
      </w:r>
      <w:r w:rsidRPr="009326D3">
        <w:rPr>
          <w:rFonts w:ascii="Times New Roman" w:hAnsi="Times New Roman" w:cs="Times New Roman"/>
          <w:noProof/>
          <w:sz w:val="24"/>
          <w:szCs w:val="24"/>
          <w:lang w:val="en-US"/>
        </w:rPr>
        <w:t xml:space="preserve">administration in countries. </w:t>
      </w:r>
      <w:r>
        <w:rPr>
          <w:rFonts w:ascii="Times New Roman" w:hAnsi="Times New Roman" w:cs="Times New Roman"/>
          <w:noProof/>
          <w:sz w:val="24"/>
          <w:szCs w:val="24"/>
          <w:lang w:val="en-US"/>
        </w:rPr>
        <w:t>G</w:t>
      </w:r>
      <w:r w:rsidRPr="009326D3">
        <w:rPr>
          <w:rFonts w:ascii="Times New Roman" w:hAnsi="Times New Roman" w:cs="Times New Roman"/>
          <w:noProof/>
          <w:sz w:val="24"/>
          <w:szCs w:val="24"/>
          <w:lang w:val="en-US"/>
        </w:rPr>
        <w:t>overnment</w:t>
      </w:r>
      <w:r>
        <w:rPr>
          <w:rFonts w:ascii="Times New Roman" w:hAnsi="Times New Roman" w:cs="Times New Roman"/>
          <w:noProof/>
          <w:sz w:val="24"/>
          <w:szCs w:val="24"/>
          <w:lang w:val="en-US"/>
        </w:rPr>
        <w:t>s</w:t>
      </w:r>
      <w:r w:rsidRPr="009326D3">
        <w:rPr>
          <w:rFonts w:ascii="Times New Roman" w:hAnsi="Times New Roman" w:cs="Times New Roman"/>
          <w:noProof/>
          <w:sz w:val="24"/>
          <w:szCs w:val="24"/>
          <w:lang w:val="en-US"/>
        </w:rPr>
        <w:t xml:space="preserve"> should be modelling good practice in relation to timely payment, particularly if it imposes fines and penalties to taxpayers for similar delays. </w:t>
      </w:r>
    </w:p>
    <w:p w14:paraId="0D5F39A8" w14:textId="77777777" w:rsidR="00B84C20" w:rsidRPr="009326D3" w:rsidRDefault="00B84C20" w:rsidP="00B84C20">
      <w:pPr>
        <w:spacing w:after="0" w:line="240" w:lineRule="auto"/>
        <w:rPr>
          <w:noProof/>
          <w:lang w:val="en-US"/>
        </w:rPr>
      </w:pPr>
    </w:p>
    <w:p w14:paraId="14F71508" w14:textId="77777777" w:rsidR="00B84C20" w:rsidRPr="009326D3" w:rsidRDefault="00B84C20" w:rsidP="00B84C20">
      <w:pPr>
        <w:spacing w:after="0" w:line="240" w:lineRule="auto"/>
        <w:rPr>
          <w:rFonts w:ascii="Times New Roman" w:hAnsi="Times New Roman" w:cs="Times New Roman"/>
        </w:rPr>
      </w:pPr>
    </w:p>
    <w:p w14:paraId="65EE8548" w14:textId="77777777" w:rsidR="00B84C20" w:rsidRPr="003B3B78" w:rsidRDefault="00B84C20" w:rsidP="00B84C20">
      <w:pPr>
        <w:spacing w:after="0" w:line="240" w:lineRule="auto"/>
        <w:rPr>
          <w:rFonts w:ascii="Times New Roman" w:hAnsi="Times New Roman" w:cs="Times New Roman"/>
          <w:b/>
          <w:color w:val="4F81BD" w:themeColor="accent1"/>
        </w:rPr>
      </w:pPr>
      <w:r w:rsidRPr="009326D3">
        <w:rPr>
          <w:rFonts w:ascii="Times New Roman" w:hAnsi="Times New Roman" w:cs="Times New Roman"/>
          <w:b/>
          <w:color w:val="4F81BD" w:themeColor="accent1"/>
        </w:rPr>
        <w:t>Next Steps</w:t>
      </w:r>
    </w:p>
    <w:p w14:paraId="0A7C0FE6" w14:textId="77777777" w:rsidR="00B84C20" w:rsidRDefault="00B84C20" w:rsidP="00B84C20">
      <w:pPr>
        <w:spacing w:after="0" w:line="240" w:lineRule="auto"/>
        <w:rPr>
          <w:rFonts w:ascii="Times New Roman" w:hAnsi="Times New Roman" w:cs="Times New Roman"/>
        </w:rPr>
      </w:pPr>
    </w:p>
    <w:p w14:paraId="547A9DE1" w14:textId="77777777" w:rsidR="00B84C20" w:rsidRDefault="00B84C20" w:rsidP="00B84C20">
      <w:pPr>
        <w:spacing w:after="0" w:line="240" w:lineRule="auto"/>
        <w:rPr>
          <w:rFonts w:ascii="Times New Roman" w:hAnsi="Times New Roman" w:cs="Times New Roman"/>
        </w:rPr>
      </w:pPr>
    </w:p>
    <w:p w14:paraId="7F07AAD5" w14:textId="2C8C0F62" w:rsidR="00B84C20" w:rsidRDefault="00B84C20" w:rsidP="00B84C20">
      <w:pPr>
        <w:spacing w:after="0" w:line="24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A key reason</w:t>
      </w:r>
      <w:r w:rsidRPr="009326D3">
        <w:rPr>
          <w:rFonts w:ascii="Times New Roman" w:hAnsi="Times New Roman" w:cs="Times New Roman"/>
          <w:noProof/>
          <w:sz w:val="24"/>
          <w:szCs w:val="24"/>
          <w:lang w:val="en-US"/>
        </w:rPr>
        <w:t xml:space="preserve"> why TCOP undertook the survey was to gauge the conceptual differences and common points in relation to </w:t>
      </w:r>
      <w:r>
        <w:rPr>
          <w:rFonts w:ascii="Times New Roman" w:hAnsi="Times New Roman" w:cs="Times New Roman"/>
          <w:noProof/>
          <w:sz w:val="24"/>
          <w:szCs w:val="24"/>
          <w:lang w:val="en-US"/>
        </w:rPr>
        <w:t xml:space="preserve">major </w:t>
      </w:r>
      <w:r w:rsidRPr="009326D3">
        <w:rPr>
          <w:rFonts w:ascii="Times New Roman" w:hAnsi="Times New Roman" w:cs="Times New Roman"/>
          <w:noProof/>
          <w:sz w:val="24"/>
          <w:szCs w:val="24"/>
          <w:lang w:val="en-US"/>
        </w:rPr>
        <w:t>stages in the budget execution process.</w:t>
      </w:r>
      <w:r>
        <w:rPr>
          <w:rFonts w:ascii="Times New Roman" w:hAnsi="Times New Roman" w:cs="Times New Roman"/>
          <w:noProof/>
          <w:sz w:val="24"/>
          <w:szCs w:val="24"/>
          <w:lang w:val="en-US"/>
        </w:rPr>
        <w:t xml:space="preserve"> The questionnaire has shown significant divergence across member countries which also suggests that further discussions and work would be warranted. This could include an expansion of the questionnaire process, or establishment of a specific working group. A number of isssues arose which could be a useful focus for such a group which are detailed </w:t>
      </w:r>
      <w:r w:rsidR="000772E9">
        <w:rPr>
          <w:rFonts w:ascii="Times New Roman" w:hAnsi="Times New Roman" w:cs="Times New Roman"/>
          <w:noProof/>
          <w:sz w:val="24"/>
          <w:szCs w:val="24"/>
          <w:lang w:val="en-US"/>
        </w:rPr>
        <w:t>in the final section of this report.</w:t>
      </w:r>
      <w:r>
        <w:rPr>
          <w:rFonts w:ascii="Times New Roman" w:hAnsi="Times New Roman" w:cs="Times New Roman"/>
          <w:noProof/>
          <w:sz w:val="24"/>
          <w:szCs w:val="24"/>
          <w:lang w:val="en-US"/>
        </w:rPr>
        <w:t xml:space="preserve"> </w:t>
      </w:r>
    </w:p>
    <w:p w14:paraId="3274E798" w14:textId="130293B6" w:rsidR="00B84C20" w:rsidRPr="0090758C" w:rsidRDefault="00B84C20" w:rsidP="00D9731B">
      <w:pPr>
        <w:spacing w:after="0" w:line="240" w:lineRule="auto"/>
        <w:rPr>
          <w:rFonts w:ascii="Times New Roman" w:hAnsi="Times New Roman" w:cs="Times New Roman"/>
        </w:rPr>
      </w:pPr>
      <w:r w:rsidRPr="009326D3">
        <w:rPr>
          <w:rFonts w:ascii="Times New Roman" w:hAnsi="Times New Roman" w:cs="Times New Roman"/>
          <w:b/>
        </w:rPr>
        <w:br w:type="page"/>
      </w:r>
    </w:p>
    <w:p w14:paraId="0E7D5095" w14:textId="49E5871D" w:rsidR="001015CF" w:rsidRPr="00545837" w:rsidRDefault="001015CF" w:rsidP="001015CF">
      <w:pPr>
        <w:pStyle w:val="Heading1"/>
        <w:rPr>
          <w:rFonts w:ascii="Times New Roman" w:hAnsi="Times New Roman" w:cs="Times New Roman"/>
        </w:rPr>
      </w:pPr>
      <w:r w:rsidRPr="00545837">
        <w:rPr>
          <w:rFonts w:ascii="Times New Roman" w:hAnsi="Times New Roman" w:cs="Times New Roman"/>
        </w:rPr>
        <w:lastRenderedPageBreak/>
        <w:t>Introduction and Background</w:t>
      </w:r>
      <w:bookmarkEnd w:id="0"/>
    </w:p>
    <w:p w14:paraId="7889271D" w14:textId="77777777" w:rsidR="001015CF" w:rsidRPr="00545837" w:rsidRDefault="001015CF" w:rsidP="001015CF">
      <w:pPr>
        <w:rPr>
          <w:rFonts w:ascii="Times New Roman" w:hAnsi="Times New Roman" w:cs="Times New Roman"/>
          <w:b/>
        </w:rPr>
      </w:pPr>
    </w:p>
    <w:p w14:paraId="40AE6C36" w14:textId="77777777" w:rsidR="001015CF" w:rsidRPr="00545837" w:rsidRDefault="001015CF" w:rsidP="001015CF">
      <w:pPr>
        <w:pStyle w:val="Heading2"/>
        <w:rPr>
          <w:rFonts w:ascii="Times New Roman" w:hAnsi="Times New Roman" w:cs="Times New Roman"/>
          <w:sz w:val="28"/>
          <w:szCs w:val="28"/>
        </w:rPr>
      </w:pPr>
      <w:bookmarkStart w:id="2" w:name="_Toc250729957"/>
      <w:r w:rsidRPr="00545837">
        <w:rPr>
          <w:rFonts w:ascii="Times New Roman" w:hAnsi="Times New Roman" w:cs="Times New Roman"/>
          <w:sz w:val="28"/>
          <w:szCs w:val="28"/>
        </w:rPr>
        <w:t>What are PEMPAL and the TCOP</w:t>
      </w:r>
      <w:bookmarkEnd w:id="2"/>
      <w:r w:rsidRPr="00545837">
        <w:rPr>
          <w:rFonts w:ascii="Times New Roman" w:hAnsi="Times New Roman" w:cs="Times New Roman"/>
          <w:sz w:val="28"/>
          <w:szCs w:val="28"/>
        </w:rPr>
        <w:t>?</w:t>
      </w:r>
    </w:p>
    <w:p w14:paraId="7E7A2403" w14:textId="77777777" w:rsidR="001015CF" w:rsidRDefault="001015CF" w:rsidP="001015CF">
      <w:pPr>
        <w:rPr>
          <w:rStyle w:val="Strong"/>
          <w:rFonts w:ascii="Times New Roman" w:hAnsi="Times New Roman" w:cs="Times New Roman"/>
          <w:color w:val="4D4D4D"/>
          <w:sz w:val="24"/>
          <w:szCs w:val="24"/>
        </w:rPr>
      </w:pPr>
    </w:p>
    <w:p w14:paraId="2EC48379" w14:textId="3619D61F" w:rsidR="001015CF" w:rsidRPr="00545837" w:rsidRDefault="001015CF" w:rsidP="001015CF">
      <w:pPr>
        <w:rPr>
          <w:rFonts w:ascii="Times New Roman" w:hAnsi="Times New Roman" w:cs="Times New Roman"/>
          <w:sz w:val="24"/>
          <w:szCs w:val="24"/>
        </w:rPr>
      </w:pPr>
      <w:r w:rsidRPr="00545837">
        <w:rPr>
          <w:rStyle w:val="Strong"/>
          <w:rFonts w:ascii="Times New Roman" w:hAnsi="Times New Roman" w:cs="Times New Roman"/>
          <w:color w:val="4D4D4D"/>
          <w:sz w:val="24"/>
          <w:szCs w:val="24"/>
        </w:rPr>
        <w:t>The Public Expenditure Management Peer Assisted Learning (PEMPAL)</w:t>
      </w:r>
      <w:r w:rsidRPr="00545837">
        <w:rPr>
          <w:rFonts w:ascii="Times New Roman" w:hAnsi="Times New Roman" w:cs="Times New Roman"/>
          <w:color w:val="4D4D4D"/>
          <w:sz w:val="24"/>
          <w:szCs w:val="24"/>
        </w:rPr>
        <w:t xml:space="preserve"> is a network of </w:t>
      </w:r>
      <w:r w:rsidR="00904B6B">
        <w:rPr>
          <w:rFonts w:ascii="Times New Roman" w:hAnsi="Times New Roman" w:cs="Times New Roman"/>
          <w:color w:val="4D4D4D"/>
          <w:sz w:val="24"/>
          <w:szCs w:val="24"/>
        </w:rPr>
        <w:t xml:space="preserve">public </w:t>
      </w:r>
      <w:r w:rsidR="009B51FD">
        <w:rPr>
          <w:rFonts w:ascii="Times New Roman" w:hAnsi="Times New Roman" w:cs="Times New Roman"/>
          <w:color w:val="4D4D4D"/>
          <w:sz w:val="24"/>
          <w:szCs w:val="24"/>
        </w:rPr>
        <w:t>finance</w:t>
      </w:r>
      <w:r w:rsidRPr="00545837">
        <w:rPr>
          <w:rFonts w:ascii="Times New Roman" w:hAnsi="Times New Roman" w:cs="Times New Roman"/>
          <w:color w:val="4D4D4D"/>
          <w:sz w:val="24"/>
          <w:szCs w:val="24"/>
        </w:rPr>
        <w:t xml:space="preserve"> professionals </w:t>
      </w:r>
      <w:r w:rsidR="00904B6B">
        <w:rPr>
          <w:rFonts w:ascii="Times New Roman" w:hAnsi="Times New Roman" w:cs="Times New Roman"/>
          <w:color w:val="4D4D4D"/>
          <w:sz w:val="24"/>
          <w:szCs w:val="24"/>
        </w:rPr>
        <w:t xml:space="preserve">of </w:t>
      </w:r>
      <w:r w:rsidR="00345003" w:rsidRPr="00545837">
        <w:rPr>
          <w:rFonts w:ascii="Times New Roman" w:hAnsi="Times New Roman" w:cs="Times New Roman"/>
          <w:color w:val="4D4D4D"/>
          <w:sz w:val="24"/>
          <w:szCs w:val="24"/>
        </w:rPr>
        <w:t xml:space="preserve">the </w:t>
      </w:r>
      <w:r w:rsidRPr="00545837">
        <w:rPr>
          <w:rFonts w:ascii="Times New Roman" w:hAnsi="Times New Roman" w:cs="Times New Roman"/>
          <w:color w:val="4D4D4D"/>
          <w:sz w:val="24"/>
          <w:szCs w:val="24"/>
        </w:rPr>
        <w:t>Europe and Central Asia (ECA)</w:t>
      </w:r>
      <w:r w:rsidR="00904B6B">
        <w:rPr>
          <w:rFonts w:ascii="Times New Roman" w:hAnsi="Times New Roman" w:cs="Times New Roman"/>
          <w:color w:val="4D4D4D"/>
          <w:sz w:val="24"/>
          <w:szCs w:val="24"/>
        </w:rPr>
        <w:t xml:space="preserve"> countries</w:t>
      </w:r>
      <w:r w:rsidRPr="00545837">
        <w:rPr>
          <w:rFonts w:ascii="Times New Roman" w:hAnsi="Times New Roman" w:cs="Times New Roman"/>
          <w:color w:val="4D4D4D"/>
          <w:sz w:val="24"/>
          <w:szCs w:val="24"/>
        </w:rPr>
        <w:t xml:space="preserve">. These professionals benchmark their PEM systems against one another and pursue opportunities for ‘peer’ learning, </w:t>
      </w:r>
      <w:r w:rsidR="00345003" w:rsidRPr="00545837">
        <w:rPr>
          <w:rFonts w:ascii="Times New Roman" w:hAnsi="Times New Roman" w:cs="Times New Roman"/>
          <w:color w:val="4D4D4D"/>
          <w:sz w:val="24"/>
          <w:szCs w:val="24"/>
        </w:rPr>
        <w:t xml:space="preserve">which is </w:t>
      </w:r>
      <w:r w:rsidRPr="00545837">
        <w:rPr>
          <w:rFonts w:ascii="Times New Roman" w:hAnsi="Times New Roman" w:cs="Times New Roman"/>
          <w:color w:val="4D4D4D"/>
          <w:sz w:val="24"/>
          <w:szCs w:val="24"/>
        </w:rPr>
        <w:t>increasingly understood to enhance knowledge transfer. PEMPAL comprises three communities of practice</w:t>
      </w:r>
      <w:r w:rsidR="00904B6B">
        <w:rPr>
          <w:rFonts w:ascii="Times New Roman" w:hAnsi="Times New Roman" w:cs="Times New Roman"/>
          <w:color w:val="4D4D4D"/>
          <w:sz w:val="24"/>
          <w:szCs w:val="24"/>
        </w:rPr>
        <w:t xml:space="preserve"> (COPs)</w:t>
      </w:r>
      <w:r w:rsidRPr="00545837">
        <w:rPr>
          <w:rFonts w:ascii="Times New Roman" w:hAnsi="Times New Roman" w:cs="Times New Roman"/>
          <w:color w:val="4D4D4D"/>
          <w:sz w:val="24"/>
          <w:szCs w:val="24"/>
        </w:rPr>
        <w:t xml:space="preserve">, including the Treasury COP, which </w:t>
      </w:r>
      <w:r w:rsidRPr="00545837">
        <w:rPr>
          <w:rFonts w:ascii="Times New Roman" w:hAnsi="Times New Roman" w:cs="Times New Roman"/>
          <w:sz w:val="24"/>
          <w:szCs w:val="24"/>
        </w:rPr>
        <w:t xml:space="preserve">focuses its activities on challenges in implementing reform initiatives in treasury and on issues that are of professional interest to its members. </w:t>
      </w:r>
    </w:p>
    <w:p w14:paraId="70E65543" w14:textId="4F61DF2E" w:rsidR="00C30A6E" w:rsidRPr="00545837" w:rsidRDefault="00C30A6E" w:rsidP="001015CF">
      <w:pPr>
        <w:rPr>
          <w:rFonts w:ascii="Times New Roman" w:hAnsi="Times New Roman" w:cs="Times New Roman"/>
          <w:b/>
          <w:color w:val="4F81BD" w:themeColor="accent1"/>
        </w:rPr>
      </w:pPr>
      <w:r w:rsidRPr="00C30A6E">
        <w:rPr>
          <w:rFonts w:ascii="Times New Roman" w:hAnsi="Times New Roman" w:cs="Times New Roman"/>
          <w:b/>
          <w:color w:val="4F81BD" w:themeColor="accent1"/>
          <w:sz w:val="28"/>
          <w:szCs w:val="28"/>
        </w:rPr>
        <w:t xml:space="preserve">Background </w:t>
      </w:r>
    </w:p>
    <w:p w14:paraId="43F48083" w14:textId="745BADCA" w:rsidR="001A23F3" w:rsidRPr="00545837" w:rsidRDefault="001015CF" w:rsidP="001015CF">
      <w:pPr>
        <w:rPr>
          <w:rFonts w:ascii="Times New Roman" w:hAnsi="Times New Roman" w:cs="Times New Roman"/>
          <w:noProof/>
          <w:sz w:val="24"/>
          <w:szCs w:val="24"/>
          <w:lang w:val="en-US"/>
        </w:rPr>
      </w:pPr>
      <w:r w:rsidRPr="00545837">
        <w:rPr>
          <w:rFonts w:ascii="Times New Roman" w:hAnsi="Times New Roman" w:cs="Times New Roman"/>
          <w:noProof/>
          <w:sz w:val="24"/>
          <w:szCs w:val="24"/>
          <w:lang w:val="en-US"/>
        </w:rPr>
        <w:t xml:space="preserve">The issues of commitment control, recording accounts payable and arrears management and reporting have generated a great deal of interest in </w:t>
      </w:r>
      <w:r w:rsidR="00345003" w:rsidRPr="00545837">
        <w:rPr>
          <w:rFonts w:ascii="Times New Roman" w:hAnsi="Times New Roman" w:cs="Times New Roman"/>
          <w:noProof/>
          <w:sz w:val="24"/>
          <w:szCs w:val="24"/>
          <w:lang w:val="en-US"/>
        </w:rPr>
        <w:t>the</w:t>
      </w:r>
      <w:r w:rsidRPr="00545837">
        <w:rPr>
          <w:rFonts w:ascii="Times New Roman" w:hAnsi="Times New Roman" w:cs="Times New Roman"/>
          <w:noProof/>
          <w:sz w:val="24"/>
          <w:szCs w:val="24"/>
          <w:lang w:val="en-US"/>
        </w:rPr>
        <w:t xml:space="preserve"> </w:t>
      </w:r>
      <w:r w:rsidR="00345003" w:rsidRPr="00545837">
        <w:rPr>
          <w:rFonts w:ascii="Times New Roman" w:hAnsi="Times New Roman" w:cs="Times New Roman"/>
          <w:noProof/>
          <w:sz w:val="24"/>
          <w:szCs w:val="24"/>
          <w:lang w:val="en-US"/>
        </w:rPr>
        <w:t>T</w:t>
      </w:r>
      <w:r w:rsidRPr="00545837">
        <w:rPr>
          <w:rFonts w:ascii="Times New Roman" w:hAnsi="Times New Roman" w:cs="Times New Roman"/>
          <w:noProof/>
          <w:sz w:val="24"/>
          <w:szCs w:val="24"/>
          <w:lang w:val="en-US"/>
        </w:rPr>
        <w:t xml:space="preserve">reasury COP.  Earlier events and discussions within TCOP have revealed significant conceptual differences between countries when discussing these issues. In 2015 the Leadership Group of TCOP decided to include these concepts as a core focus for the a plenary meeting in Tirana, Albania in May 2015. To this end a questionnaire was formulated an distributed to member countries in </w:t>
      </w:r>
      <w:r w:rsidR="001A23F3" w:rsidRPr="00545837">
        <w:rPr>
          <w:rFonts w:ascii="Times New Roman" w:hAnsi="Times New Roman" w:cs="Times New Roman"/>
          <w:noProof/>
          <w:sz w:val="24"/>
          <w:szCs w:val="24"/>
          <w:lang w:val="en-US"/>
        </w:rPr>
        <w:t xml:space="preserve">April </w:t>
      </w:r>
      <w:r w:rsidRPr="00545837">
        <w:rPr>
          <w:rFonts w:ascii="Times New Roman" w:hAnsi="Times New Roman" w:cs="Times New Roman"/>
          <w:noProof/>
          <w:sz w:val="24"/>
          <w:szCs w:val="24"/>
          <w:lang w:val="en-US"/>
        </w:rPr>
        <w:t xml:space="preserve">2015. </w:t>
      </w:r>
      <w:r w:rsidR="001A23F3" w:rsidRPr="00545837">
        <w:rPr>
          <w:rFonts w:ascii="Times New Roman" w:hAnsi="Times New Roman" w:cs="Times New Roman"/>
          <w:noProof/>
          <w:sz w:val="24"/>
          <w:szCs w:val="24"/>
          <w:lang w:val="en-US"/>
        </w:rPr>
        <w:t xml:space="preserve">In all the survey comprised </w:t>
      </w:r>
      <w:r w:rsidR="00345003" w:rsidRPr="00545837">
        <w:rPr>
          <w:rFonts w:ascii="Times New Roman" w:hAnsi="Times New Roman" w:cs="Times New Roman"/>
          <w:noProof/>
          <w:sz w:val="24"/>
          <w:szCs w:val="24"/>
          <w:lang w:val="en-US"/>
        </w:rPr>
        <w:t>39</w:t>
      </w:r>
      <w:r w:rsidR="001A23F3" w:rsidRPr="00545837">
        <w:rPr>
          <w:rFonts w:ascii="Times New Roman" w:hAnsi="Times New Roman" w:cs="Times New Roman"/>
          <w:noProof/>
          <w:sz w:val="24"/>
          <w:szCs w:val="24"/>
          <w:lang w:val="en-US"/>
        </w:rPr>
        <w:t xml:space="preserve"> questions and </w:t>
      </w:r>
      <w:r w:rsidR="00345003" w:rsidRPr="00545837">
        <w:rPr>
          <w:rFonts w:ascii="Times New Roman" w:hAnsi="Times New Roman" w:cs="Times New Roman"/>
          <w:noProof/>
          <w:sz w:val="24"/>
          <w:szCs w:val="24"/>
          <w:lang w:val="en-US"/>
        </w:rPr>
        <w:t>wa</w:t>
      </w:r>
      <w:r w:rsidR="001A23F3" w:rsidRPr="00545837">
        <w:rPr>
          <w:rFonts w:ascii="Times New Roman" w:hAnsi="Times New Roman" w:cs="Times New Roman"/>
          <w:noProof/>
          <w:sz w:val="24"/>
          <w:szCs w:val="24"/>
          <w:lang w:val="en-US"/>
        </w:rPr>
        <w:t>s distributed in three languages English, Russian and Bosnian/Croatian/Serbian</w:t>
      </w:r>
      <w:r w:rsidR="00697BE4" w:rsidRPr="00545837">
        <w:rPr>
          <w:rStyle w:val="FootnoteReference"/>
          <w:rFonts w:ascii="Times New Roman" w:hAnsi="Times New Roman" w:cs="Times New Roman"/>
          <w:noProof/>
          <w:sz w:val="24"/>
          <w:szCs w:val="24"/>
          <w:lang w:val="en-US"/>
        </w:rPr>
        <w:footnoteReference w:id="2"/>
      </w:r>
      <w:r w:rsidR="001A23F3" w:rsidRPr="00545837">
        <w:rPr>
          <w:rFonts w:ascii="Times New Roman" w:hAnsi="Times New Roman" w:cs="Times New Roman"/>
          <w:noProof/>
          <w:sz w:val="24"/>
          <w:szCs w:val="24"/>
          <w:lang w:val="en-US"/>
        </w:rPr>
        <w:t>.</w:t>
      </w:r>
      <w:r w:rsidR="00697BE4" w:rsidRPr="00545837">
        <w:rPr>
          <w:rFonts w:ascii="Times New Roman" w:hAnsi="Times New Roman" w:cs="Times New Roman"/>
          <w:noProof/>
          <w:sz w:val="24"/>
          <w:szCs w:val="24"/>
          <w:lang w:val="en-US"/>
        </w:rPr>
        <w:t xml:space="preserve"> </w:t>
      </w:r>
      <w:r w:rsidR="00345003" w:rsidRPr="00545837">
        <w:rPr>
          <w:rFonts w:ascii="Times New Roman" w:hAnsi="Times New Roman" w:cs="Times New Roman"/>
          <w:noProof/>
          <w:sz w:val="24"/>
          <w:szCs w:val="24"/>
          <w:lang w:val="en-US"/>
        </w:rPr>
        <w:t>14</w:t>
      </w:r>
      <w:r w:rsidR="00697BE4" w:rsidRPr="00545837">
        <w:rPr>
          <w:rFonts w:ascii="Times New Roman" w:hAnsi="Times New Roman" w:cs="Times New Roman"/>
          <w:noProof/>
          <w:sz w:val="24"/>
          <w:szCs w:val="24"/>
          <w:lang w:val="en-US"/>
        </w:rPr>
        <w:t xml:space="preserve"> countries responed to the survey, 12 providing responses to all the questions posed</w:t>
      </w:r>
      <w:r w:rsidR="00697BE4" w:rsidRPr="00545837">
        <w:rPr>
          <w:rStyle w:val="FootnoteReference"/>
          <w:rFonts w:ascii="Times New Roman" w:hAnsi="Times New Roman" w:cs="Times New Roman"/>
          <w:noProof/>
          <w:sz w:val="24"/>
          <w:szCs w:val="24"/>
          <w:lang w:val="en-US"/>
        </w:rPr>
        <w:footnoteReference w:id="3"/>
      </w:r>
      <w:r w:rsidR="00697BE4" w:rsidRPr="00545837">
        <w:rPr>
          <w:rFonts w:ascii="Times New Roman" w:hAnsi="Times New Roman" w:cs="Times New Roman"/>
          <w:noProof/>
          <w:sz w:val="24"/>
          <w:szCs w:val="24"/>
          <w:lang w:val="en-US"/>
        </w:rPr>
        <w:t xml:space="preserve">.   </w:t>
      </w:r>
    </w:p>
    <w:p w14:paraId="260B081D" w14:textId="1B1FB461" w:rsidR="00C20587" w:rsidRPr="00545837" w:rsidRDefault="00C20587" w:rsidP="00545837">
      <w:pPr>
        <w:rPr>
          <w:rFonts w:ascii="Times New Roman" w:hAnsi="Times New Roman" w:cs="Times New Roman"/>
          <w:sz w:val="24"/>
          <w:szCs w:val="24"/>
        </w:rPr>
      </w:pPr>
      <w:r w:rsidRPr="00545837">
        <w:rPr>
          <w:rFonts w:ascii="Times New Roman" w:hAnsi="Times New Roman" w:cs="Times New Roman"/>
          <w:sz w:val="24"/>
          <w:szCs w:val="24"/>
        </w:rPr>
        <w:t>Each country has undertaken public financial management reforms in a different way and at a different pa</w:t>
      </w:r>
      <w:r w:rsidR="00345003" w:rsidRPr="00545837">
        <w:rPr>
          <w:rFonts w:ascii="Times New Roman" w:hAnsi="Times New Roman" w:cs="Times New Roman"/>
          <w:sz w:val="24"/>
          <w:szCs w:val="24"/>
        </w:rPr>
        <w:t>ce; however, each country shares</w:t>
      </w:r>
      <w:r w:rsidRPr="00545837">
        <w:rPr>
          <w:rFonts w:ascii="Times New Roman" w:hAnsi="Times New Roman" w:cs="Times New Roman"/>
          <w:sz w:val="24"/>
          <w:szCs w:val="24"/>
        </w:rPr>
        <w:t xml:space="preserve"> some common features:</w:t>
      </w:r>
      <w:r w:rsidR="00545837" w:rsidRPr="00545837">
        <w:rPr>
          <w:rFonts w:ascii="Times New Roman" w:hAnsi="Times New Roman" w:cs="Times New Roman"/>
          <w:sz w:val="24"/>
          <w:szCs w:val="24"/>
        </w:rPr>
        <w:t xml:space="preserve"> e</w:t>
      </w:r>
      <w:r w:rsidRPr="00545837">
        <w:rPr>
          <w:rFonts w:ascii="Times New Roman" w:hAnsi="Times New Roman" w:cs="Times New Roman"/>
          <w:sz w:val="24"/>
          <w:szCs w:val="24"/>
        </w:rPr>
        <w:t xml:space="preserve">ach is a transition economy and thus they </w:t>
      </w:r>
      <w:r w:rsidR="00545837" w:rsidRPr="00545837">
        <w:rPr>
          <w:rFonts w:ascii="Times New Roman" w:hAnsi="Times New Roman" w:cs="Times New Roman"/>
          <w:sz w:val="24"/>
          <w:szCs w:val="24"/>
        </w:rPr>
        <w:t>have</w:t>
      </w:r>
      <w:r w:rsidRPr="00545837">
        <w:rPr>
          <w:rFonts w:ascii="Times New Roman" w:hAnsi="Times New Roman" w:cs="Times New Roman"/>
          <w:sz w:val="24"/>
          <w:szCs w:val="24"/>
        </w:rPr>
        <w:t xml:space="preserve"> the same challenges in moving from a central planning approach to governance, to one which places an increased focus on devolution to Ministries, Departments and Agencies (MDAs) while seeking to retain strong central fiscal management;</w:t>
      </w:r>
      <w:r w:rsidR="00545837" w:rsidRPr="00545837">
        <w:rPr>
          <w:rFonts w:ascii="Times New Roman" w:hAnsi="Times New Roman" w:cs="Times New Roman"/>
          <w:sz w:val="24"/>
          <w:szCs w:val="24"/>
        </w:rPr>
        <w:t xml:space="preserve"> a</w:t>
      </w:r>
      <w:r w:rsidRPr="00545837">
        <w:rPr>
          <w:rFonts w:ascii="Times New Roman" w:hAnsi="Times New Roman" w:cs="Times New Roman"/>
          <w:sz w:val="24"/>
          <w:szCs w:val="24"/>
        </w:rPr>
        <w:t xml:space="preserve">utomation </w:t>
      </w:r>
      <w:r w:rsidR="00697BE4" w:rsidRPr="00545837">
        <w:rPr>
          <w:rFonts w:ascii="Times New Roman" w:hAnsi="Times New Roman" w:cs="Times New Roman"/>
          <w:sz w:val="24"/>
          <w:szCs w:val="24"/>
        </w:rPr>
        <w:t>is</w:t>
      </w:r>
      <w:r w:rsidRPr="00545837">
        <w:rPr>
          <w:rFonts w:ascii="Times New Roman" w:hAnsi="Times New Roman" w:cs="Times New Roman"/>
          <w:sz w:val="24"/>
          <w:szCs w:val="24"/>
        </w:rPr>
        <w:t xml:space="preserve"> a core component of the reform agenda</w:t>
      </w:r>
      <w:r w:rsidR="00545837" w:rsidRPr="00545837">
        <w:rPr>
          <w:rFonts w:ascii="Times New Roman" w:hAnsi="Times New Roman" w:cs="Times New Roman"/>
          <w:sz w:val="24"/>
          <w:szCs w:val="24"/>
        </w:rPr>
        <w:t xml:space="preserve"> providing an opportunity to consider reengineering of processes and elimination of duplicate manual steps and redundant controls</w:t>
      </w:r>
      <w:r w:rsidRPr="00545837">
        <w:rPr>
          <w:rFonts w:ascii="Times New Roman" w:hAnsi="Times New Roman" w:cs="Times New Roman"/>
          <w:sz w:val="24"/>
          <w:szCs w:val="24"/>
        </w:rPr>
        <w:t xml:space="preserve">. </w:t>
      </w:r>
    </w:p>
    <w:p w14:paraId="73C5E6B1" w14:textId="3E8AFA00" w:rsidR="001015CF" w:rsidRPr="00545837" w:rsidRDefault="001015CF" w:rsidP="001015CF">
      <w:pPr>
        <w:rPr>
          <w:rFonts w:ascii="Times New Roman" w:hAnsi="Times New Roman" w:cs="Times New Roman"/>
          <w:noProof/>
          <w:sz w:val="24"/>
          <w:szCs w:val="24"/>
          <w:lang w:val="en-US"/>
        </w:rPr>
      </w:pPr>
      <w:r w:rsidRPr="00545837">
        <w:rPr>
          <w:rFonts w:ascii="Times New Roman" w:hAnsi="Times New Roman" w:cs="Times New Roman"/>
          <w:noProof/>
          <w:sz w:val="24"/>
          <w:szCs w:val="24"/>
          <w:lang w:val="en-US"/>
        </w:rPr>
        <w:t xml:space="preserve">The following report is divided into three sections. Section one suggest a model of “good practice” for budget execution control. </w:t>
      </w:r>
      <w:r w:rsidR="00545837">
        <w:rPr>
          <w:rFonts w:ascii="Times New Roman" w:hAnsi="Times New Roman" w:cs="Times New Roman"/>
          <w:noProof/>
          <w:sz w:val="24"/>
          <w:szCs w:val="24"/>
          <w:lang w:val="en-US"/>
        </w:rPr>
        <w:t>This model was included with the survey t</w:t>
      </w:r>
      <w:r w:rsidRPr="00545837">
        <w:rPr>
          <w:rFonts w:ascii="Times New Roman" w:hAnsi="Times New Roman" w:cs="Times New Roman"/>
          <w:noProof/>
          <w:sz w:val="24"/>
          <w:szCs w:val="24"/>
          <w:lang w:val="en-US"/>
        </w:rPr>
        <w:t xml:space="preserve">o ensure a degree of uniformity </w:t>
      </w:r>
      <w:r w:rsidR="00545837">
        <w:rPr>
          <w:rFonts w:ascii="Times New Roman" w:hAnsi="Times New Roman" w:cs="Times New Roman"/>
          <w:noProof/>
          <w:sz w:val="24"/>
          <w:szCs w:val="24"/>
          <w:lang w:val="en-US"/>
        </w:rPr>
        <w:t>in the country</w:t>
      </w:r>
      <w:r w:rsidRPr="00545837">
        <w:rPr>
          <w:rFonts w:ascii="Times New Roman" w:hAnsi="Times New Roman" w:cs="Times New Roman"/>
          <w:noProof/>
          <w:sz w:val="24"/>
          <w:szCs w:val="24"/>
          <w:lang w:val="en-US"/>
        </w:rPr>
        <w:t xml:space="preserve"> questionnaire responses</w:t>
      </w:r>
      <w:r w:rsidR="00545837">
        <w:rPr>
          <w:rFonts w:ascii="Times New Roman" w:hAnsi="Times New Roman" w:cs="Times New Roman"/>
          <w:noProof/>
          <w:sz w:val="24"/>
          <w:szCs w:val="24"/>
          <w:lang w:val="en-US"/>
        </w:rPr>
        <w:t>. Section</w:t>
      </w:r>
      <w:r w:rsidRPr="00545837">
        <w:rPr>
          <w:rFonts w:ascii="Times New Roman" w:hAnsi="Times New Roman" w:cs="Times New Roman"/>
          <w:noProof/>
          <w:sz w:val="24"/>
          <w:szCs w:val="24"/>
          <w:lang w:val="en-US"/>
        </w:rPr>
        <w:t xml:space="preserve"> two presents the results and analysis of the survey responses from countries. Section three summarizes the key findings of the survey and suggests further areas of work for the TCOP</w:t>
      </w:r>
      <w:r w:rsidR="001A23F3" w:rsidRPr="00545837">
        <w:rPr>
          <w:rFonts w:ascii="Times New Roman" w:hAnsi="Times New Roman" w:cs="Times New Roman"/>
          <w:noProof/>
          <w:sz w:val="24"/>
          <w:szCs w:val="24"/>
          <w:lang w:val="en-US"/>
        </w:rPr>
        <w:t>. It also draws together some c</w:t>
      </w:r>
      <w:r w:rsidRPr="00545837">
        <w:rPr>
          <w:rFonts w:ascii="Times New Roman" w:hAnsi="Times New Roman" w:cs="Times New Roman"/>
          <w:noProof/>
          <w:sz w:val="24"/>
          <w:szCs w:val="24"/>
          <w:lang w:val="en-US"/>
        </w:rPr>
        <w:t>o</w:t>
      </w:r>
      <w:r w:rsidR="001A23F3" w:rsidRPr="00545837">
        <w:rPr>
          <w:rFonts w:ascii="Times New Roman" w:hAnsi="Times New Roman" w:cs="Times New Roman"/>
          <w:noProof/>
          <w:sz w:val="24"/>
          <w:szCs w:val="24"/>
          <w:lang w:val="en-US"/>
        </w:rPr>
        <w:t>r</w:t>
      </w:r>
      <w:r w:rsidRPr="00545837">
        <w:rPr>
          <w:rFonts w:ascii="Times New Roman" w:hAnsi="Times New Roman" w:cs="Times New Roman"/>
          <w:noProof/>
          <w:sz w:val="24"/>
          <w:szCs w:val="24"/>
          <w:lang w:val="en-US"/>
        </w:rPr>
        <w:t xml:space="preserve">e conclusions from the survey results. </w:t>
      </w:r>
    </w:p>
    <w:p w14:paraId="0A2FF87C" w14:textId="77777777" w:rsidR="001015CF" w:rsidRPr="00024200" w:rsidRDefault="001015CF" w:rsidP="001015CF">
      <w:pPr>
        <w:rPr>
          <w:rFonts w:ascii="Times New Roman" w:hAnsi="Times New Roman" w:cs="Times New Roman"/>
          <w:b/>
          <w:noProof/>
          <w:color w:val="4F81BD" w:themeColor="accent1"/>
          <w:sz w:val="32"/>
          <w:szCs w:val="32"/>
          <w:lang w:val="en-US"/>
        </w:rPr>
      </w:pPr>
      <w:r w:rsidRPr="00024200">
        <w:rPr>
          <w:rFonts w:ascii="Times New Roman" w:hAnsi="Times New Roman" w:cs="Times New Roman"/>
          <w:b/>
          <w:noProof/>
          <w:color w:val="4F81BD" w:themeColor="accent1"/>
          <w:sz w:val="32"/>
          <w:szCs w:val="32"/>
          <w:lang w:val="en-US"/>
        </w:rPr>
        <w:lastRenderedPageBreak/>
        <w:t xml:space="preserve">Section One – Core Stages in a Good Practice Budget Excuction Process  </w:t>
      </w:r>
    </w:p>
    <w:p w14:paraId="0B1B0FED" w14:textId="26D24916" w:rsidR="00C20587" w:rsidRPr="00545837" w:rsidRDefault="001015CF" w:rsidP="001015CF">
      <w:pPr>
        <w:rPr>
          <w:rFonts w:ascii="Times New Roman" w:hAnsi="Times New Roman" w:cs="Times New Roman"/>
          <w:noProof/>
          <w:sz w:val="24"/>
          <w:szCs w:val="24"/>
          <w:lang w:val="en-US"/>
        </w:rPr>
      </w:pPr>
      <w:r w:rsidRPr="00545837">
        <w:rPr>
          <w:rFonts w:ascii="Times New Roman" w:hAnsi="Times New Roman" w:cs="Times New Roman"/>
          <w:noProof/>
          <w:sz w:val="24"/>
          <w:szCs w:val="24"/>
          <w:lang w:val="en-US"/>
        </w:rPr>
        <w:t>The following is a brief explanation of each stage of the budget execution process including a process flow diagram (see Figure 1) which was used to assist  officials understand their current process and to benchmark them against  “ good practice</w:t>
      </w:r>
      <w:r w:rsidR="008D6FF8">
        <w:rPr>
          <w:rStyle w:val="FootnoteReference"/>
          <w:rFonts w:ascii="Times New Roman" w:hAnsi="Times New Roman" w:cs="Times New Roman"/>
          <w:noProof/>
          <w:szCs w:val="24"/>
          <w:lang w:val="en-US"/>
        </w:rPr>
        <w:footnoteReference w:id="4"/>
      </w:r>
      <w:r w:rsidRPr="00545837">
        <w:rPr>
          <w:rFonts w:ascii="Times New Roman" w:hAnsi="Times New Roman" w:cs="Times New Roman"/>
          <w:noProof/>
          <w:sz w:val="24"/>
          <w:szCs w:val="24"/>
          <w:lang w:val="en-US"/>
        </w:rPr>
        <w:t xml:space="preserve">.” </w:t>
      </w:r>
      <w:r w:rsidR="00545837">
        <w:rPr>
          <w:rFonts w:ascii="Times New Roman" w:hAnsi="Times New Roman" w:cs="Times New Roman"/>
          <w:noProof/>
          <w:sz w:val="24"/>
          <w:szCs w:val="24"/>
          <w:lang w:val="en-US"/>
        </w:rPr>
        <w:t xml:space="preserve"> Each country was requested to </w:t>
      </w:r>
      <w:r w:rsidRPr="00545837">
        <w:rPr>
          <w:rFonts w:ascii="Times New Roman" w:hAnsi="Times New Roman" w:cs="Times New Roman"/>
          <w:noProof/>
          <w:sz w:val="24"/>
          <w:szCs w:val="24"/>
          <w:lang w:val="en-US"/>
        </w:rPr>
        <w:t>re</w:t>
      </w:r>
      <w:r w:rsidR="00545837">
        <w:rPr>
          <w:rFonts w:ascii="Times New Roman" w:hAnsi="Times New Roman" w:cs="Times New Roman"/>
          <w:noProof/>
          <w:sz w:val="24"/>
          <w:szCs w:val="24"/>
          <w:lang w:val="en-US"/>
        </w:rPr>
        <w:t xml:space="preserve">view the model </w:t>
      </w:r>
      <w:r w:rsidRPr="00545837">
        <w:rPr>
          <w:rFonts w:ascii="Times New Roman" w:hAnsi="Times New Roman" w:cs="Times New Roman"/>
          <w:noProof/>
          <w:sz w:val="24"/>
          <w:szCs w:val="24"/>
          <w:lang w:val="en-US"/>
        </w:rPr>
        <w:t xml:space="preserve">before proceeding to answer the questionnaire </w:t>
      </w:r>
      <w:r w:rsidR="00545837">
        <w:rPr>
          <w:rFonts w:ascii="Times New Roman" w:hAnsi="Times New Roman" w:cs="Times New Roman"/>
          <w:noProof/>
          <w:sz w:val="24"/>
          <w:szCs w:val="24"/>
          <w:lang w:val="en-US"/>
        </w:rPr>
        <w:t xml:space="preserve">which is included </w:t>
      </w:r>
      <w:r w:rsidRPr="00545837">
        <w:rPr>
          <w:rFonts w:ascii="Times New Roman" w:hAnsi="Times New Roman" w:cs="Times New Roman"/>
          <w:noProof/>
          <w:sz w:val="24"/>
          <w:szCs w:val="24"/>
          <w:lang w:val="en-US"/>
        </w:rPr>
        <w:t>at</w:t>
      </w:r>
      <w:r w:rsidR="00545837">
        <w:rPr>
          <w:rFonts w:ascii="Times New Roman" w:hAnsi="Times New Roman" w:cs="Times New Roman"/>
          <w:noProof/>
          <w:sz w:val="24"/>
          <w:szCs w:val="24"/>
          <w:lang w:val="en-US"/>
        </w:rPr>
        <w:t xml:space="preserve"> A</w:t>
      </w:r>
      <w:r w:rsidRPr="00545837">
        <w:rPr>
          <w:rFonts w:ascii="Times New Roman" w:hAnsi="Times New Roman" w:cs="Times New Roman"/>
          <w:noProof/>
          <w:sz w:val="24"/>
          <w:szCs w:val="24"/>
          <w:lang w:val="en-US"/>
        </w:rPr>
        <w:t xml:space="preserve">ppendix A.  </w:t>
      </w:r>
    </w:p>
    <w:p w14:paraId="283EA82D" w14:textId="77777777" w:rsidR="00C20587" w:rsidRPr="00545837" w:rsidRDefault="00C20587" w:rsidP="001015CF">
      <w:pPr>
        <w:rPr>
          <w:rFonts w:ascii="Times New Roman" w:hAnsi="Times New Roman" w:cs="Times New Roman"/>
          <w:i/>
          <w:noProof/>
          <w:color w:val="4F81BD" w:themeColor="accent1"/>
          <w:sz w:val="24"/>
          <w:szCs w:val="24"/>
          <w:lang w:val="en-US"/>
        </w:rPr>
      </w:pPr>
      <w:r w:rsidRPr="00545837">
        <w:rPr>
          <w:rFonts w:ascii="Times New Roman" w:hAnsi="Times New Roman" w:cs="Times New Roman"/>
          <w:i/>
          <w:noProof/>
          <w:color w:val="4F81BD" w:themeColor="accent1"/>
          <w:sz w:val="24"/>
          <w:szCs w:val="24"/>
          <w:lang w:val="en-US"/>
        </w:rPr>
        <w:t>Figure one – Suggested “Good Practice” Stages in Budget Execution</w:t>
      </w:r>
    </w:p>
    <w:p w14:paraId="06C69F37" w14:textId="77777777" w:rsidR="00C20587" w:rsidRDefault="00C20587" w:rsidP="001015CF">
      <w:pPr>
        <w:rPr>
          <w:noProof/>
          <w:lang w:val="en-US"/>
        </w:rPr>
      </w:pPr>
      <w:r>
        <w:rPr>
          <w:noProof/>
          <w:lang w:val="en-US"/>
        </w:rPr>
        <w:t xml:space="preserve"> </w:t>
      </w:r>
    </w:p>
    <w:p w14:paraId="0CD6C4CB" w14:textId="77777777" w:rsidR="00C20587" w:rsidRDefault="00C20587" w:rsidP="001015CF">
      <w:pPr>
        <w:rPr>
          <w:noProof/>
          <w:lang w:val="en-US"/>
        </w:rPr>
      </w:pPr>
      <w:r w:rsidRPr="007F3374">
        <w:rPr>
          <w:noProof/>
          <w:lang w:val="en-US"/>
        </w:rPr>
        <w:drawing>
          <wp:inline distT="0" distB="0" distL="0" distR="0" wp14:anchorId="23147EC9" wp14:editId="64509BA4">
            <wp:extent cx="5082105" cy="3864869"/>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2504" cy="3865173"/>
                    </a:xfrm>
                    <a:prstGeom prst="rect">
                      <a:avLst/>
                    </a:prstGeom>
                    <a:noFill/>
                    <a:ln>
                      <a:noFill/>
                    </a:ln>
                  </pic:spPr>
                </pic:pic>
              </a:graphicData>
            </a:graphic>
          </wp:inline>
        </w:drawing>
      </w:r>
    </w:p>
    <w:p w14:paraId="264861FC" w14:textId="21F7C6FC" w:rsidR="00C20587" w:rsidRPr="00545837" w:rsidRDefault="00C20587" w:rsidP="00C20587">
      <w:pPr>
        <w:rPr>
          <w:noProof/>
          <w:sz w:val="24"/>
          <w:szCs w:val="24"/>
          <w:lang w:val="en-US"/>
        </w:rPr>
      </w:pPr>
      <w:r w:rsidRPr="00545837">
        <w:rPr>
          <w:b/>
          <w:noProof/>
          <w:sz w:val="24"/>
          <w:szCs w:val="24"/>
          <w:lang w:val="en-US"/>
        </w:rPr>
        <w:t>Stage 1  -  Pre-commitment/requistion.</w:t>
      </w:r>
      <w:r w:rsidRPr="00545837">
        <w:rPr>
          <w:noProof/>
          <w:sz w:val="24"/>
          <w:szCs w:val="24"/>
          <w:lang w:val="en-US"/>
        </w:rPr>
        <w:t xml:space="preserve"> It is likely that some elements of pre-commitment will exist in each country. These elements may be entirely within the </w:t>
      </w:r>
      <w:r w:rsidR="009B51FD">
        <w:rPr>
          <w:noProof/>
          <w:sz w:val="24"/>
          <w:szCs w:val="24"/>
          <w:lang w:val="en-US"/>
        </w:rPr>
        <w:t>government financial management information system (</w:t>
      </w:r>
      <w:r w:rsidRPr="00545837">
        <w:rPr>
          <w:noProof/>
          <w:sz w:val="24"/>
          <w:szCs w:val="24"/>
          <w:lang w:val="en-US"/>
        </w:rPr>
        <w:t>FMIS</w:t>
      </w:r>
      <w:r w:rsidR="009B51FD">
        <w:rPr>
          <w:noProof/>
          <w:sz w:val="24"/>
          <w:szCs w:val="24"/>
          <w:lang w:val="en-US"/>
        </w:rPr>
        <w:t>)</w:t>
      </w:r>
      <w:r w:rsidRPr="00545837">
        <w:rPr>
          <w:noProof/>
          <w:sz w:val="24"/>
          <w:szCs w:val="24"/>
          <w:lang w:val="en-US"/>
        </w:rPr>
        <w:t xml:space="preserve">, partially in the system, or </w:t>
      </w:r>
      <w:r w:rsidR="00004B1D" w:rsidRPr="00545837">
        <w:rPr>
          <w:noProof/>
          <w:sz w:val="24"/>
          <w:szCs w:val="24"/>
          <w:lang w:val="en-US"/>
        </w:rPr>
        <w:t>entirely external to the FMIS</w:t>
      </w:r>
      <w:r w:rsidRPr="00545837">
        <w:rPr>
          <w:noProof/>
          <w:sz w:val="24"/>
          <w:szCs w:val="24"/>
          <w:lang w:val="en-US"/>
        </w:rPr>
        <w:t>. The processes may also be largely recorded manually, partially automated, or</w:t>
      </w:r>
      <w:r w:rsidR="00545837">
        <w:rPr>
          <w:noProof/>
          <w:sz w:val="24"/>
          <w:szCs w:val="24"/>
          <w:lang w:val="en-US"/>
        </w:rPr>
        <w:t>,</w:t>
      </w:r>
      <w:r w:rsidRPr="00545837">
        <w:rPr>
          <w:noProof/>
          <w:sz w:val="24"/>
          <w:szCs w:val="24"/>
          <w:lang w:val="en-US"/>
        </w:rPr>
        <w:t xml:space="preserve"> as is becoming more common in countries, recorded in a separate procurement system that is designed to faciliate and control much of the pre-commitment requirements in accordance with procurement laws and instructions.  </w:t>
      </w:r>
    </w:p>
    <w:p w14:paraId="41E3C9E7" w14:textId="77777777" w:rsidR="00C20587" w:rsidRPr="00545837" w:rsidRDefault="00C20587" w:rsidP="00C20587">
      <w:pPr>
        <w:rPr>
          <w:noProof/>
          <w:sz w:val="24"/>
          <w:szCs w:val="24"/>
          <w:lang w:val="en-US"/>
        </w:rPr>
      </w:pPr>
      <w:r w:rsidRPr="00545837">
        <w:rPr>
          <w:noProof/>
          <w:sz w:val="24"/>
          <w:szCs w:val="24"/>
          <w:lang w:val="en-US"/>
        </w:rPr>
        <w:t xml:space="preserve">At this stage the decision to purchase goods or services is made. This may also involve the tendering process. For most countries the processes for selecting the successful vendor is </w:t>
      </w:r>
      <w:r w:rsidRPr="00545837">
        <w:rPr>
          <w:noProof/>
          <w:sz w:val="24"/>
          <w:szCs w:val="24"/>
          <w:lang w:val="en-US"/>
        </w:rPr>
        <w:lastRenderedPageBreak/>
        <w:t xml:space="preserve">determined by a market based assessment, with the rigor of the selection process increasing with the value of the goods or services to be acquired.   </w:t>
      </w:r>
    </w:p>
    <w:p w14:paraId="64501BA8" w14:textId="24743E18" w:rsidR="00C20587" w:rsidRPr="00545837" w:rsidRDefault="00C20587" w:rsidP="00C20587">
      <w:pPr>
        <w:rPr>
          <w:noProof/>
          <w:sz w:val="24"/>
          <w:szCs w:val="24"/>
          <w:lang w:val="en-US"/>
        </w:rPr>
      </w:pPr>
      <w:r w:rsidRPr="00545837">
        <w:rPr>
          <w:noProof/>
          <w:sz w:val="24"/>
          <w:szCs w:val="24"/>
          <w:lang w:val="en-US"/>
        </w:rPr>
        <w:t xml:space="preserve">Ideally, a requisition records a value against the relevant budget/appropriation. However, at this stage it may only be a reservation against the budget, not a commitment, as this records the intention to purchase but it is not legally binding. </w:t>
      </w:r>
    </w:p>
    <w:p w14:paraId="7041EAEC" w14:textId="77777777" w:rsidR="00C20587" w:rsidRPr="00545837" w:rsidRDefault="00C20587" w:rsidP="00C20587">
      <w:pPr>
        <w:rPr>
          <w:noProof/>
          <w:sz w:val="24"/>
          <w:szCs w:val="24"/>
          <w:lang w:val="en-US"/>
        </w:rPr>
      </w:pPr>
      <w:r w:rsidRPr="00545837">
        <w:rPr>
          <w:b/>
          <w:noProof/>
          <w:sz w:val="24"/>
          <w:szCs w:val="24"/>
          <w:lang w:val="en-US"/>
        </w:rPr>
        <w:t>Step 2</w:t>
      </w:r>
      <w:r w:rsidRPr="00545837">
        <w:rPr>
          <w:noProof/>
          <w:sz w:val="24"/>
          <w:szCs w:val="24"/>
          <w:lang w:val="en-US"/>
        </w:rPr>
        <w:t xml:space="preserve"> – </w:t>
      </w:r>
      <w:r w:rsidRPr="00545837">
        <w:rPr>
          <w:b/>
          <w:noProof/>
          <w:sz w:val="24"/>
          <w:szCs w:val="24"/>
          <w:lang w:val="en-US"/>
        </w:rPr>
        <w:t>Recording of commitments for all contracts</w:t>
      </w:r>
      <w:r w:rsidRPr="00545837">
        <w:rPr>
          <w:rStyle w:val="FootnoteReference"/>
          <w:b/>
          <w:noProof/>
          <w:sz w:val="24"/>
          <w:szCs w:val="24"/>
          <w:lang w:val="en-US"/>
        </w:rPr>
        <w:footnoteReference w:id="5"/>
      </w:r>
      <w:r w:rsidRPr="00545837">
        <w:rPr>
          <w:b/>
          <w:noProof/>
          <w:sz w:val="24"/>
          <w:szCs w:val="24"/>
          <w:lang w:val="en-US"/>
        </w:rPr>
        <w:t xml:space="preserve"> at the time the contract is agreed with a supplier.</w:t>
      </w:r>
      <w:r w:rsidRPr="00545837">
        <w:rPr>
          <w:noProof/>
          <w:sz w:val="24"/>
          <w:szCs w:val="24"/>
          <w:lang w:val="en-US"/>
        </w:rPr>
        <w:t xml:space="preserve"> This ensures that funds are set aside for the supplier, and that the Treasury has additional information about likely future cashflows in the accounting system for better cash planning and forecasting. Using a system generated purchase order also ensures that suppliers are aware that if they do not have this purchase order they do not have a guarrantee from the Treasury on behalf of the government regarding future payment. In some countries this external control ensures unoffical commitments by Ministries, Departments and Agencies (MDAs) are not supported by suppliers as they will not agree to provide goods or services unless they have this system generated purchase order to prove that the commitment has been officially recorded. The purchase order may be issued from a procurement system, however, if it is to be an effective budget and cash control, it must also be recorded in the FMIS system soon after the contract is signed.</w:t>
      </w:r>
    </w:p>
    <w:p w14:paraId="2BDE5958" w14:textId="77777777" w:rsidR="00C20587" w:rsidRPr="00545837" w:rsidRDefault="00C20587" w:rsidP="00C20587">
      <w:pPr>
        <w:rPr>
          <w:noProof/>
          <w:sz w:val="24"/>
          <w:szCs w:val="24"/>
          <w:lang w:val="en-US"/>
        </w:rPr>
      </w:pPr>
      <w:r w:rsidRPr="00545837">
        <w:rPr>
          <w:b/>
          <w:noProof/>
          <w:sz w:val="24"/>
          <w:szCs w:val="24"/>
          <w:lang w:val="en-US"/>
        </w:rPr>
        <w:t>Step 3</w:t>
      </w:r>
      <w:r w:rsidRPr="00545837">
        <w:rPr>
          <w:noProof/>
          <w:sz w:val="24"/>
          <w:szCs w:val="24"/>
          <w:lang w:val="en-US"/>
        </w:rPr>
        <w:t xml:space="preserve"> – </w:t>
      </w:r>
      <w:r w:rsidRPr="00545837">
        <w:rPr>
          <w:b/>
          <w:noProof/>
          <w:sz w:val="24"/>
          <w:szCs w:val="24"/>
          <w:lang w:val="en-US"/>
        </w:rPr>
        <w:t>Registration of the receipt of the goods or service.</w:t>
      </w:r>
      <w:r w:rsidRPr="00545837">
        <w:rPr>
          <w:noProof/>
          <w:sz w:val="24"/>
          <w:szCs w:val="24"/>
          <w:lang w:val="en-US"/>
        </w:rPr>
        <w:t xml:space="preserve"> In the private sector, this is generally recognised as the point in time a contract becomes a liability, or accounts payable. Receiving the goods and services in accordance with the contract means that payment should be made in accordance with the terms of the contract. Generally speaking the recording of the receipt of the goods or service should be separate from the payment processing controls which commence when you match the invoice to the purchase order.</w:t>
      </w:r>
    </w:p>
    <w:p w14:paraId="0C165752" w14:textId="0B31B159" w:rsidR="00C20587" w:rsidRPr="00545837" w:rsidRDefault="00C20587" w:rsidP="00C20587">
      <w:pPr>
        <w:rPr>
          <w:noProof/>
          <w:sz w:val="24"/>
          <w:szCs w:val="24"/>
          <w:lang w:val="en-US"/>
        </w:rPr>
      </w:pPr>
      <w:r w:rsidRPr="00545837">
        <w:rPr>
          <w:b/>
          <w:noProof/>
          <w:sz w:val="24"/>
          <w:szCs w:val="24"/>
          <w:lang w:val="en-US"/>
        </w:rPr>
        <w:t>Step 4</w:t>
      </w:r>
      <w:r w:rsidRPr="00545837">
        <w:rPr>
          <w:noProof/>
          <w:sz w:val="24"/>
          <w:szCs w:val="24"/>
          <w:lang w:val="en-US"/>
        </w:rPr>
        <w:t xml:space="preserve"> – </w:t>
      </w:r>
      <w:r w:rsidRPr="00545837">
        <w:rPr>
          <w:b/>
          <w:noProof/>
          <w:sz w:val="24"/>
          <w:szCs w:val="24"/>
          <w:lang w:val="en-US"/>
        </w:rPr>
        <w:t>Matching the invoice in the FMIS system with the purchase order/commitment</w:t>
      </w:r>
      <w:r w:rsidRPr="00545837">
        <w:rPr>
          <w:rStyle w:val="FootnoteReference"/>
          <w:b/>
          <w:noProof/>
          <w:sz w:val="24"/>
          <w:szCs w:val="24"/>
          <w:lang w:val="en-US"/>
        </w:rPr>
        <w:footnoteReference w:id="6"/>
      </w:r>
      <w:r w:rsidRPr="00545837">
        <w:rPr>
          <w:b/>
          <w:noProof/>
          <w:sz w:val="24"/>
          <w:szCs w:val="24"/>
          <w:lang w:val="en-US"/>
        </w:rPr>
        <w:t>.</w:t>
      </w:r>
      <w:r w:rsidRPr="00545837">
        <w:rPr>
          <w:noProof/>
          <w:sz w:val="24"/>
          <w:szCs w:val="24"/>
          <w:lang w:val="en-US"/>
        </w:rPr>
        <w:t xml:space="preserve"> Many governments require the receipt of a correctly rendered invoice before recognising the accounts payable. Under the broader concept of accrual accounting, recognition is normally based only on Step 3.  This is however, a reasonable additional level of countrol imposed by governments. In general, suppliers will submit invoices at the same time goods and services are delivered, thus recognising receipt of goods and services and matching the invoice to the system generated purchase order </w:t>
      </w:r>
      <w:r w:rsidR="009326D3">
        <w:rPr>
          <w:noProof/>
          <w:sz w:val="24"/>
          <w:szCs w:val="24"/>
          <w:lang w:val="en-US"/>
        </w:rPr>
        <w:t>may</w:t>
      </w:r>
      <w:r w:rsidRPr="00545837">
        <w:rPr>
          <w:noProof/>
          <w:sz w:val="24"/>
          <w:szCs w:val="24"/>
          <w:lang w:val="en-US"/>
        </w:rPr>
        <w:t xml:space="preserve"> occur largely at the same time. This is the time that the legal obligation, the contract, becomes a financial obligation. It also involves matching the invoice to the original commitment (purchase order) which provides a further check that the invoice remains within the originally approved commitment amount. </w:t>
      </w:r>
      <w:r w:rsidRPr="00545837">
        <w:rPr>
          <w:noProof/>
          <w:sz w:val="24"/>
          <w:szCs w:val="24"/>
          <w:lang w:val="en-US"/>
        </w:rPr>
        <w:lastRenderedPageBreak/>
        <w:t>Invoices that exceed the approved commitment amount</w:t>
      </w:r>
      <w:r w:rsidRPr="00545837">
        <w:rPr>
          <w:rStyle w:val="FootnoteReference"/>
          <w:noProof/>
          <w:sz w:val="24"/>
          <w:szCs w:val="24"/>
          <w:lang w:val="en-US"/>
        </w:rPr>
        <w:footnoteReference w:id="7"/>
      </w:r>
      <w:r w:rsidRPr="00545837">
        <w:rPr>
          <w:noProof/>
          <w:sz w:val="24"/>
          <w:szCs w:val="24"/>
          <w:lang w:val="en-US"/>
        </w:rPr>
        <w:t xml:space="preserve"> should require further approval before being accepted for payment.</w:t>
      </w:r>
    </w:p>
    <w:p w14:paraId="502089CE" w14:textId="0138C835" w:rsidR="00C20587" w:rsidRPr="00545837" w:rsidRDefault="00C20587" w:rsidP="00C20587">
      <w:pPr>
        <w:rPr>
          <w:noProof/>
          <w:sz w:val="24"/>
          <w:szCs w:val="24"/>
          <w:lang w:val="en-US"/>
        </w:rPr>
      </w:pPr>
      <w:r w:rsidRPr="00545837">
        <w:rPr>
          <w:b/>
          <w:noProof/>
          <w:sz w:val="24"/>
          <w:szCs w:val="24"/>
          <w:lang w:val="en-US"/>
        </w:rPr>
        <w:t>Step 5</w:t>
      </w:r>
      <w:r w:rsidRPr="00545837">
        <w:rPr>
          <w:noProof/>
          <w:sz w:val="24"/>
          <w:szCs w:val="24"/>
          <w:lang w:val="en-US"/>
        </w:rPr>
        <w:t xml:space="preserve"> – </w:t>
      </w:r>
      <w:r w:rsidRPr="00545837">
        <w:rPr>
          <w:b/>
          <w:noProof/>
          <w:sz w:val="24"/>
          <w:szCs w:val="24"/>
          <w:lang w:val="en-US"/>
        </w:rPr>
        <w:t>Pending Payment</w:t>
      </w:r>
      <w:r w:rsidRPr="00545837">
        <w:rPr>
          <w:noProof/>
          <w:sz w:val="24"/>
          <w:szCs w:val="24"/>
          <w:lang w:val="en-US"/>
        </w:rPr>
        <w:t xml:space="preserve">  - This stage represents the period between when the government recognizes the accounts payable, and makes the payment, which is often called the government’s “terms of trade” or “due date” for payment. Many countries define a standard terms of trade for making payments, for example 30 days</w:t>
      </w:r>
      <w:r w:rsidRPr="00545837">
        <w:rPr>
          <w:rStyle w:val="FootnoteReference"/>
          <w:noProof/>
          <w:sz w:val="24"/>
          <w:szCs w:val="24"/>
          <w:lang w:val="en-US"/>
        </w:rPr>
        <w:footnoteReference w:id="8"/>
      </w:r>
      <w:r w:rsidRPr="00545837">
        <w:rPr>
          <w:noProof/>
          <w:sz w:val="24"/>
          <w:szCs w:val="24"/>
          <w:lang w:val="en-US"/>
        </w:rPr>
        <w:t xml:space="preserve"> after goods and services are received along with the correctly rendered invoice. The FMIS system would make the payments on the due date, neither late or early, to provide certainty regarding cashflows and also certainty for the supplier about when the payment will be made. Early payment would only be made if the supplier offered a discount which compensated the government for the “cash foregone”  in making the early payment</w:t>
      </w:r>
      <w:r w:rsidR="009326D3">
        <w:rPr>
          <w:noProof/>
          <w:sz w:val="24"/>
          <w:szCs w:val="24"/>
          <w:lang w:val="en-US"/>
        </w:rPr>
        <w:t>.</w:t>
      </w:r>
      <w:r w:rsidRPr="00545837">
        <w:rPr>
          <w:noProof/>
          <w:sz w:val="24"/>
          <w:szCs w:val="24"/>
          <w:lang w:val="en-US"/>
        </w:rPr>
        <w:t xml:space="preserve"> </w:t>
      </w:r>
    </w:p>
    <w:p w14:paraId="0B537357" w14:textId="77777777" w:rsidR="00C20587" w:rsidRPr="00545837" w:rsidRDefault="00C20587" w:rsidP="00C20587">
      <w:pPr>
        <w:rPr>
          <w:noProof/>
          <w:sz w:val="24"/>
          <w:szCs w:val="24"/>
          <w:lang w:val="en-US"/>
        </w:rPr>
      </w:pPr>
      <w:r w:rsidRPr="00545837">
        <w:rPr>
          <w:b/>
          <w:noProof/>
          <w:sz w:val="24"/>
          <w:szCs w:val="24"/>
          <w:lang w:val="en-US"/>
        </w:rPr>
        <w:t>Stage 6</w:t>
      </w:r>
      <w:r w:rsidRPr="00545837">
        <w:rPr>
          <w:noProof/>
          <w:sz w:val="24"/>
          <w:szCs w:val="24"/>
          <w:lang w:val="en-US"/>
        </w:rPr>
        <w:t xml:space="preserve"> –</w:t>
      </w:r>
      <w:r w:rsidRPr="00545837">
        <w:rPr>
          <w:b/>
          <w:noProof/>
          <w:sz w:val="24"/>
          <w:szCs w:val="24"/>
          <w:lang w:val="en-US"/>
        </w:rPr>
        <w:t xml:space="preserve"> Payments</w:t>
      </w:r>
      <w:r w:rsidRPr="00545837">
        <w:rPr>
          <w:noProof/>
          <w:sz w:val="24"/>
          <w:szCs w:val="24"/>
          <w:lang w:val="en-US"/>
        </w:rPr>
        <w:t xml:space="preserve"> are made on the due date automatically by the FMIS system (assuming no cash rationing). The payment is both a cash and accrual transaction. Under accrual the accounts payable or liability is reduced. As all the earlier steps are also within the FMIS system, the Treasury can largely release all payments each day, subject to having sufficient liquidity to cover these payments. Ideally the treasury will actively manage and forecast its cash requirements and seek to ensure adequate cash is available each day</w:t>
      </w:r>
      <w:r w:rsidRPr="00545837">
        <w:rPr>
          <w:rStyle w:val="FootnoteReference"/>
          <w:noProof/>
          <w:sz w:val="24"/>
          <w:szCs w:val="24"/>
          <w:lang w:val="en-US"/>
        </w:rPr>
        <w:footnoteReference w:id="9"/>
      </w:r>
      <w:r w:rsidRPr="00545837">
        <w:rPr>
          <w:noProof/>
          <w:sz w:val="24"/>
          <w:szCs w:val="24"/>
          <w:lang w:val="en-US"/>
        </w:rPr>
        <w:t>.</w:t>
      </w:r>
    </w:p>
    <w:p w14:paraId="1B7C795E" w14:textId="7A6547EE" w:rsidR="001A23F3" w:rsidRPr="00545837" w:rsidRDefault="00C20587" w:rsidP="00C20587">
      <w:pPr>
        <w:rPr>
          <w:noProof/>
          <w:sz w:val="24"/>
          <w:szCs w:val="24"/>
          <w:lang w:val="en-US"/>
        </w:rPr>
      </w:pPr>
      <w:r w:rsidRPr="00545837">
        <w:rPr>
          <w:b/>
          <w:noProof/>
          <w:sz w:val="24"/>
          <w:szCs w:val="24"/>
          <w:lang w:val="en-US"/>
        </w:rPr>
        <w:t xml:space="preserve">Stage 7 – Arrears - Delayed payments. </w:t>
      </w:r>
      <w:r w:rsidRPr="00545837">
        <w:rPr>
          <w:noProof/>
          <w:sz w:val="24"/>
          <w:szCs w:val="24"/>
          <w:lang w:val="en-US"/>
        </w:rPr>
        <w:t>Ideally stage seven does not occur. The “due date” ensures that the concept of an arrear is well defined as it will be all the payments that are not paid by the due date. Aging arrears now also becomes possibilty by requesting a system based report for those payments which exceed 30 days, 60 days</w:t>
      </w:r>
      <w:r w:rsidR="009326D3">
        <w:rPr>
          <w:noProof/>
          <w:sz w:val="24"/>
          <w:szCs w:val="24"/>
          <w:lang w:val="en-US"/>
        </w:rPr>
        <w:t>,</w:t>
      </w:r>
      <w:r w:rsidRPr="00545837">
        <w:rPr>
          <w:noProof/>
          <w:sz w:val="24"/>
          <w:szCs w:val="24"/>
          <w:lang w:val="en-US"/>
        </w:rPr>
        <w:t xml:space="preserve"> etc.</w:t>
      </w:r>
    </w:p>
    <w:p w14:paraId="1148DDCC" w14:textId="77777777" w:rsidR="00C20587" w:rsidRPr="00024200" w:rsidRDefault="003C4945" w:rsidP="00C20587">
      <w:pPr>
        <w:rPr>
          <w:rFonts w:ascii="Times New Roman" w:hAnsi="Times New Roman" w:cs="Times New Roman"/>
          <w:b/>
          <w:noProof/>
          <w:color w:val="4F81BD" w:themeColor="accent1"/>
          <w:sz w:val="32"/>
          <w:szCs w:val="32"/>
          <w:lang w:val="en-US"/>
        </w:rPr>
      </w:pPr>
      <w:r w:rsidRPr="00024200">
        <w:rPr>
          <w:rFonts w:ascii="Times New Roman" w:hAnsi="Times New Roman" w:cs="Times New Roman"/>
          <w:b/>
          <w:noProof/>
          <w:color w:val="4F81BD" w:themeColor="accent1"/>
          <w:sz w:val="32"/>
          <w:szCs w:val="32"/>
          <w:lang w:val="en-US"/>
        </w:rPr>
        <w:t>Section Two  - Questionnaire Responses and Analysis</w:t>
      </w:r>
    </w:p>
    <w:p w14:paraId="33719C00" w14:textId="63AB5174" w:rsidR="00C20587" w:rsidRPr="009326D3" w:rsidRDefault="00AF160C" w:rsidP="00C20587">
      <w:pPr>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The questionnaire was also structured i</w:t>
      </w:r>
      <w:r w:rsidR="00024200">
        <w:rPr>
          <w:rFonts w:ascii="Times New Roman" w:hAnsi="Times New Roman" w:cs="Times New Roman"/>
          <w:noProof/>
          <w:sz w:val="24"/>
          <w:szCs w:val="24"/>
          <w:lang w:val="en-US"/>
        </w:rPr>
        <w:t>n</w:t>
      </w:r>
      <w:r w:rsidRPr="009326D3">
        <w:rPr>
          <w:rFonts w:ascii="Times New Roman" w:hAnsi="Times New Roman" w:cs="Times New Roman"/>
          <w:noProof/>
          <w:sz w:val="24"/>
          <w:szCs w:val="24"/>
          <w:lang w:val="en-US"/>
        </w:rPr>
        <w:t xml:space="preserve"> seven stages to reflect </w:t>
      </w:r>
      <w:r w:rsidR="00024200">
        <w:rPr>
          <w:rFonts w:ascii="Times New Roman" w:hAnsi="Times New Roman" w:cs="Times New Roman"/>
          <w:noProof/>
          <w:sz w:val="24"/>
          <w:szCs w:val="24"/>
          <w:lang w:val="en-US"/>
        </w:rPr>
        <w:t xml:space="preserve">the </w:t>
      </w:r>
      <w:r w:rsidRPr="009326D3">
        <w:rPr>
          <w:rFonts w:ascii="Times New Roman" w:hAnsi="Times New Roman" w:cs="Times New Roman"/>
          <w:noProof/>
          <w:sz w:val="24"/>
          <w:szCs w:val="24"/>
          <w:lang w:val="en-US"/>
        </w:rPr>
        <w:t xml:space="preserve"> </w:t>
      </w:r>
      <w:r w:rsidR="00024200">
        <w:rPr>
          <w:rFonts w:ascii="Times New Roman" w:hAnsi="Times New Roman" w:cs="Times New Roman"/>
          <w:noProof/>
          <w:sz w:val="24"/>
          <w:szCs w:val="24"/>
          <w:lang w:val="en-US"/>
        </w:rPr>
        <w:t>structure of the “</w:t>
      </w:r>
      <w:r w:rsidRPr="009326D3">
        <w:rPr>
          <w:rFonts w:ascii="Times New Roman" w:hAnsi="Times New Roman" w:cs="Times New Roman"/>
          <w:noProof/>
          <w:sz w:val="24"/>
          <w:szCs w:val="24"/>
          <w:lang w:val="en-US"/>
        </w:rPr>
        <w:t>good practice</w:t>
      </w:r>
      <w:r w:rsidR="00024200">
        <w:rPr>
          <w:rFonts w:ascii="Times New Roman" w:hAnsi="Times New Roman" w:cs="Times New Roman"/>
          <w:noProof/>
          <w:sz w:val="24"/>
          <w:szCs w:val="24"/>
          <w:lang w:val="en-US"/>
        </w:rPr>
        <w:t>”</w:t>
      </w:r>
      <w:r w:rsidRPr="009326D3">
        <w:rPr>
          <w:rFonts w:ascii="Times New Roman" w:hAnsi="Times New Roman" w:cs="Times New Roman"/>
          <w:noProof/>
          <w:sz w:val="24"/>
          <w:szCs w:val="24"/>
          <w:lang w:val="en-US"/>
        </w:rPr>
        <w:t xml:space="preserve"> procurement and budget execution process. The following </w:t>
      </w:r>
      <w:r w:rsidR="00024200">
        <w:rPr>
          <w:rFonts w:ascii="Times New Roman" w:hAnsi="Times New Roman" w:cs="Times New Roman"/>
          <w:noProof/>
          <w:sz w:val="24"/>
          <w:szCs w:val="24"/>
          <w:lang w:val="en-US"/>
        </w:rPr>
        <w:t>section includes graphs,</w:t>
      </w:r>
      <w:r w:rsidRPr="009326D3">
        <w:rPr>
          <w:rFonts w:ascii="Times New Roman" w:hAnsi="Times New Roman" w:cs="Times New Roman"/>
          <w:noProof/>
          <w:sz w:val="24"/>
          <w:szCs w:val="24"/>
          <w:lang w:val="en-US"/>
        </w:rPr>
        <w:t xml:space="preserve"> tables and text </w:t>
      </w:r>
      <w:r w:rsidR="00024200">
        <w:rPr>
          <w:rFonts w:ascii="Times New Roman" w:hAnsi="Times New Roman" w:cs="Times New Roman"/>
          <w:noProof/>
          <w:sz w:val="24"/>
          <w:szCs w:val="24"/>
          <w:lang w:val="en-US"/>
        </w:rPr>
        <w:t xml:space="preserve">of </w:t>
      </w:r>
      <w:r w:rsidRPr="009326D3">
        <w:rPr>
          <w:rFonts w:ascii="Times New Roman" w:hAnsi="Times New Roman" w:cs="Times New Roman"/>
          <w:noProof/>
          <w:sz w:val="24"/>
          <w:szCs w:val="24"/>
          <w:lang w:val="en-US"/>
        </w:rPr>
        <w:t xml:space="preserve">the key findings from each set of questions.     </w:t>
      </w:r>
      <w:r w:rsidR="00C20587" w:rsidRPr="009326D3">
        <w:rPr>
          <w:rFonts w:ascii="Times New Roman" w:hAnsi="Times New Roman" w:cs="Times New Roman"/>
          <w:noProof/>
          <w:sz w:val="24"/>
          <w:szCs w:val="24"/>
          <w:lang w:val="en-US"/>
        </w:rPr>
        <w:t xml:space="preserve">     </w:t>
      </w:r>
    </w:p>
    <w:p w14:paraId="287A6B04" w14:textId="15BC2BCF" w:rsidR="00C20587" w:rsidRPr="00024200" w:rsidRDefault="00AF160C" w:rsidP="00C20587">
      <w:pPr>
        <w:rPr>
          <w:rFonts w:ascii="Times New Roman" w:hAnsi="Times New Roman" w:cs="Times New Roman"/>
          <w:b/>
          <w:noProof/>
          <w:color w:val="4F81BD" w:themeColor="accent1"/>
          <w:sz w:val="28"/>
          <w:szCs w:val="28"/>
          <w:lang w:val="en-US"/>
        </w:rPr>
      </w:pPr>
      <w:r w:rsidRPr="00024200">
        <w:rPr>
          <w:rFonts w:ascii="Times New Roman" w:hAnsi="Times New Roman" w:cs="Times New Roman"/>
          <w:b/>
          <w:noProof/>
          <w:color w:val="4F81BD" w:themeColor="accent1"/>
          <w:sz w:val="28"/>
          <w:szCs w:val="28"/>
          <w:lang w:val="en-US"/>
        </w:rPr>
        <w:t>Stage 1 -  Pre</w:t>
      </w:r>
      <w:r w:rsidR="00017DBE" w:rsidRPr="00024200">
        <w:rPr>
          <w:rFonts w:ascii="Times New Roman" w:hAnsi="Times New Roman" w:cs="Times New Roman"/>
          <w:b/>
          <w:noProof/>
          <w:color w:val="4F81BD" w:themeColor="accent1"/>
          <w:sz w:val="28"/>
          <w:szCs w:val="28"/>
          <w:lang w:val="en-US"/>
        </w:rPr>
        <w:t xml:space="preserve"> </w:t>
      </w:r>
      <w:r w:rsidRPr="00024200">
        <w:rPr>
          <w:rFonts w:ascii="Times New Roman" w:hAnsi="Times New Roman" w:cs="Times New Roman"/>
          <w:b/>
          <w:noProof/>
          <w:color w:val="4F81BD" w:themeColor="accent1"/>
          <w:sz w:val="28"/>
          <w:szCs w:val="28"/>
          <w:lang w:val="en-US"/>
        </w:rPr>
        <w:t xml:space="preserve">- Commitment. </w:t>
      </w:r>
    </w:p>
    <w:p w14:paraId="1A7EDB7D" w14:textId="34403694" w:rsidR="00004B1D" w:rsidRPr="009326D3" w:rsidRDefault="00004B1D">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This s</w:t>
      </w:r>
      <w:r w:rsidR="00185A04" w:rsidRPr="009326D3">
        <w:rPr>
          <w:rFonts w:ascii="Times New Roman" w:hAnsi="Times New Roman" w:cs="Times New Roman"/>
          <w:sz w:val="24"/>
          <w:szCs w:val="24"/>
        </w:rPr>
        <w:t>tage</w:t>
      </w:r>
      <w:r w:rsidRPr="009326D3">
        <w:rPr>
          <w:rFonts w:ascii="Times New Roman" w:hAnsi="Times New Roman" w:cs="Times New Roman"/>
          <w:sz w:val="24"/>
          <w:szCs w:val="24"/>
        </w:rPr>
        <w:t xml:space="preserve"> comprised four questions. </w:t>
      </w:r>
    </w:p>
    <w:p w14:paraId="7BFFCA92" w14:textId="77777777" w:rsidR="00004B1D" w:rsidRPr="009326D3" w:rsidRDefault="00004B1D">
      <w:pPr>
        <w:spacing w:after="0" w:line="240" w:lineRule="auto"/>
        <w:rPr>
          <w:rFonts w:ascii="Times New Roman" w:hAnsi="Times New Roman" w:cs="Times New Roman"/>
          <w:sz w:val="24"/>
          <w:szCs w:val="24"/>
        </w:rPr>
      </w:pPr>
    </w:p>
    <w:p w14:paraId="00908387" w14:textId="3E60AD8D" w:rsidR="00767980" w:rsidRPr="009326D3" w:rsidRDefault="00EB1A33">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The survey presumption was that f</w:t>
      </w:r>
      <w:r w:rsidR="001A23F3" w:rsidRPr="009326D3">
        <w:rPr>
          <w:rFonts w:ascii="Times New Roman" w:hAnsi="Times New Roman" w:cs="Times New Roman"/>
          <w:sz w:val="24"/>
          <w:szCs w:val="24"/>
        </w:rPr>
        <w:t>or m</w:t>
      </w:r>
      <w:r w:rsidR="00767980" w:rsidRPr="009326D3">
        <w:rPr>
          <w:rFonts w:ascii="Times New Roman" w:hAnsi="Times New Roman" w:cs="Times New Roman"/>
          <w:sz w:val="24"/>
          <w:szCs w:val="24"/>
        </w:rPr>
        <w:t>any</w:t>
      </w:r>
      <w:r w:rsidR="001A23F3" w:rsidRPr="009326D3">
        <w:rPr>
          <w:rFonts w:ascii="Times New Roman" w:hAnsi="Times New Roman" w:cs="Times New Roman"/>
          <w:sz w:val="24"/>
          <w:szCs w:val="24"/>
        </w:rPr>
        <w:t xml:space="preserve"> countries the pre-commitment phase is dealt with under procurement rules and laws. This survey was not seeking to determine the nature of </w:t>
      </w:r>
      <w:r w:rsidR="00767980" w:rsidRPr="009326D3">
        <w:rPr>
          <w:rFonts w:ascii="Times New Roman" w:hAnsi="Times New Roman" w:cs="Times New Roman"/>
          <w:sz w:val="24"/>
          <w:szCs w:val="24"/>
        </w:rPr>
        <w:t>procurement</w:t>
      </w:r>
      <w:r w:rsidR="001A23F3" w:rsidRPr="009326D3">
        <w:rPr>
          <w:rFonts w:ascii="Times New Roman" w:hAnsi="Times New Roman" w:cs="Times New Roman"/>
          <w:sz w:val="24"/>
          <w:szCs w:val="24"/>
        </w:rPr>
        <w:t xml:space="preserve"> arrangements </w:t>
      </w:r>
      <w:r w:rsidR="00767980" w:rsidRPr="009326D3">
        <w:rPr>
          <w:rFonts w:ascii="Times New Roman" w:hAnsi="Times New Roman" w:cs="Times New Roman"/>
          <w:sz w:val="24"/>
          <w:szCs w:val="24"/>
        </w:rPr>
        <w:t>in detail, as this would require a survey in itself. The focus was</w:t>
      </w:r>
      <w:r w:rsidR="001A23F3" w:rsidRPr="009326D3">
        <w:rPr>
          <w:rFonts w:ascii="Times New Roman" w:hAnsi="Times New Roman" w:cs="Times New Roman"/>
          <w:sz w:val="24"/>
          <w:szCs w:val="24"/>
        </w:rPr>
        <w:t xml:space="preserve"> in relation</w:t>
      </w:r>
      <w:r w:rsidR="00767980" w:rsidRPr="009326D3">
        <w:rPr>
          <w:rFonts w:ascii="Times New Roman" w:hAnsi="Times New Roman" w:cs="Times New Roman"/>
          <w:sz w:val="24"/>
          <w:szCs w:val="24"/>
        </w:rPr>
        <w:t xml:space="preserve"> to whether pre-commitment also records a reservation against budget allocations for control and planning purposes</w:t>
      </w:r>
      <w:r w:rsidR="00024200">
        <w:rPr>
          <w:rFonts w:ascii="Times New Roman" w:hAnsi="Times New Roman" w:cs="Times New Roman"/>
          <w:sz w:val="24"/>
          <w:szCs w:val="24"/>
        </w:rPr>
        <w:t>, sometimes referred to as a requisition</w:t>
      </w:r>
      <w:r w:rsidR="00767980" w:rsidRPr="009326D3">
        <w:rPr>
          <w:rFonts w:ascii="Times New Roman" w:hAnsi="Times New Roman" w:cs="Times New Roman"/>
          <w:sz w:val="24"/>
          <w:szCs w:val="24"/>
        </w:rPr>
        <w:t xml:space="preserve">. </w:t>
      </w:r>
      <w:r w:rsidR="001A23F3" w:rsidRPr="009326D3">
        <w:rPr>
          <w:rFonts w:ascii="Times New Roman" w:hAnsi="Times New Roman" w:cs="Times New Roman"/>
          <w:sz w:val="24"/>
          <w:szCs w:val="24"/>
        </w:rPr>
        <w:t xml:space="preserve">  </w:t>
      </w:r>
    </w:p>
    <w:p w14:paraId="39E0C23F" w14:textId="77777777" w:rsidR="00767980" w:rsidRPr="009326D3" w:rsidRDefault="00767980">
      <w:pPr>
        <w:spacing w:after="0" w:line="240" w:lineRule="auto"/>
        <w:rPr>
          <w:rFonts w:ascii="Times New Roman" w:hAnsi="Times New Roman" w:cs="Times New Roman"/>
          <w:sz w:val="24"/>
          <w:szCs w:val="24"/>
        </w:rPr>
      </w:pPr>
    </w:p>
    <w:p w14:paraId="7E88C64C" w14:textId="12BE3D84" w:rsidR="00767980" w:rsidRPr="009326D3" w:rsidRDefault="00194528" w:rsidP="00767980">
      <w:pPr>
        <w:spacing w:after="0"/>
        <w:rPr>
          <w:rFonts w:ascii="Times New Roman" w:hAnsi="Times New Roman" w:cs="Times New Roman"/>
          <w:b/>
          <w:i/>
          <w:sz w:val="24"/>
          <w:szCs w:val="24"/>
          <w:lang w:val="en-US"/>
        </w:rPr>
      </w:pPr>
      <w:r w:rsidRPr="009326D3">
        <w:rPr>
          <w:rFonts w:ascii="Times New Roman" w:hAnsi="Times New Roman" w:cs="Times New Roman"/>
          <w:b/>
          <w:i/>
          <w:sz w:val="24"/>
          <w:szCs w:val="24"/>
          <w:lang w:val="en-US"/>
        </w:rPr>
        <w:lastRenderedPageBreak/>
        <w:t>Q1</w:t>
      </w:r>
      <w:r w:rsidR="00767980" w:rsidRPr="009326D3">
        <w:rPr>
          <w:rFonts w:ascii="Times New Roman" w:hAnsi="Times New Roman" w:cs="Times New Roman"/>
          <w:b/>
          <w:i/>
          <w:sz w:val="24"/>
          <w:szCs w:val="24"/>
          <w:lang w:val="en-US"/>
        </w:rPr>
        <w:t>. Does your country have a pre-commitment stage in the budget execution process</w:t>
      </w:r>
      <w:r w:rsidR="00004B1D" w:rsidRPr="009326D3">
        <w:rPr>
          <w:rStyle w:val="FootnoteReference"/>
          <w:rFonts w:ascii="Times New Roman" w:hAnsi="Times New Roman" w:cs="Times New Roman"/>
          <w:b/>
          <w:i/>
          <w:sz w:val="24"/>
          <w:szCs w:val="24"/>
          <w:lang w:val="en-US"/>
        </w:rPr>
        <w:footnoteReference w:id="10"/>
      </w:r>
      <w:r w:rsidR="00767980" w:rsidRPr="009326D3">
        <w:rPr>
          <w:rFonts w:ascii="Times New Roman" w:hAnsi="Times New Roman" w:cs="Times New Roman"/>
          <w:b/>
          <w:i/>
          <w:sz w:val="24"/>
          <w:szCs w:val="24"/>
          <w:lang w:val="en-US"/>
        </w:rPr>
        <w:t>?</w:t>
      </w:r>
    </w:p>
    <w:p w14:paraId="5C6482F1" w14:textId="77777777" w:rsidR="00004B1D" w:rsidRPr="009326D3" w:rsidRDefault="00004B1D" w:rsidP="00767980">
      <w:pPr>
        <w:spacing w:after="0"/>
        <w:rPr>
          <w:rFonts w:ascii="Times New Roman" w:hAnsi="Times New Roman" w:cs="Times New Roman"/>
          <w:b/>
          <w:sz w:val="24"/>
          <w:szCs w:val="24"/>
          <w:u w:val="single"/>
          <w:lang w:val="en-US"/>
        </w:rPr>
      </w:pPr>
    </w:p>
    <w:p w14:paraId="18999A49" w14:textId="4A542084" w:rsidR="00A81E14" w:rsidRPr="009326D3" w:rsidRDefault="00004B1D" w:rsidP="00E10B47">
      <w:pPr>
        <w:spacing w:after="0"/>
        <w:rPr>
          <w:rFonts w:ascii="Times New Roman" w:hAnsi="Times New Roman" w:cs="Times New Roman"/>
          <w:sz w:val="24"/>
          <w:szCs w:val="24"/>
          <w:lang w:val="en-US"/>
        </w:rPr>
      </w:pPr>
      <w:r w:rsidRPr="009326D3">
        <w:rPr>
          <w:rFonts w:ascii="Times New Roman" w:hAnsi="Times New Roman" w:cs="Times New Roman"/>
          <w:sz w:val="24"/>
          <w:szCs w:val="24"/>
          <w:lang w:val="en-US"/>
        </w:rPr>
        <w:t xml:space="preserve">Interestingly, only </w:t>
      </w:r>
      <w:r w:rsidR="00C32720" w:rsidRPr="009326D3">
        <w:rPr>
          <w:rFonts w:ascii="Times New Roman" w:hAnsi="Times New Roman" w:cs="Times New Roman"/>
          <w:sz w:val="24"/>
          <w:szCs w:val="24"/>
          <w:lang w:val="en-US"/>
        </w:rPr>
        <w:t>eight</w:t>
      </w:r>
      <w:r w:rsidRPr="009326D3">
        <w:rPr>
          <w:rFonts w:ascii="Times New Roman" w:hAnsi="Times New Roman" w:cs="Times New Roman"/>
          <w:sz w:val="24"/>
          <w:szCs w:val="24"/>
          <w:lang w:val="en-US"/>
        </w:rPr>
        <w:t xml:space="preserve"> of </w:t>
      </w:r>
      <w:r w:rsidR="00C32720" w:rsidRPr="009326D3">
        <w:rPr>
          <w:rFonts w:ascii="Times New Roman" w:hAnsi="Times New Roman" w:cs="Times New Roman"/>
          <w:sz w:val="24"/>
          <w:szCs w:val="24"/>
          <w:lang w:val="en-US"/>
        </w:rPr>
        <w:t>fourteen</w:t>
      </w:r>
      <w:r w:rsidRPr="009326D3">
        <w:rPr>
          <w:rFonts w:ascii="Times New Roman" w:hAnsi="Times New Roman" w:cs="Times New Roman"/>
          <w:sz w:val="24"/>
          <w:szCs w:val="24"/>
          <w:lang w:val="en-US"/>
        </w:rPr>
        <w:t xml:space="preserve"> countries indicated that they had a pre-commitment stage.  As </w:t>
      </w:r>
      <w:r w:rsidRPr="003B3B78">
        <w:rPr>
          <w:rFonts w:ascii="Times New Roman" w:hAnsi="Times New Roman" w:cs="Times New Roman"/>
          <w:sz w:val="24"/>
          <w:szCs w:val="24"/>
          <w:lang w:val="en-US"/>
        </w:rPr>
        <w:t xml:space="preserve">pre-commitment would normally include the procurement stage of budget execution and the initial decision to purchase goods and services, it is likely that </w:t>
      </w:r>
      <w:r w:rsidR="00024200" w:rsidRPr="003B3B78">
        <w:rPr>
          <w:rFonts w:ascii="Times New Roman" w:hAnsi="Times New Roman" w:cs="Times New Roman"/>
          <w:sz w:val="24"/>
          <w:szCs w:val="24"/>
          <w:lang w:val="en-US"/>
        </w:rPr>
        <w:t>all</w:t>
      </w:r>
      <w:r w:rsidRPr="003B3B78">
        <w:rPr>
          <w:rFonts w:ascii="Times New Roman" w:hAnsi="Times New Roman" w:cs="Times New Roman"/>
          <w:sz w:val="24"/>
          <w:szCs w:val="24"/>
          <w:lang w:val="en-US"/>
        </w:rPr>
        <w:t xml:space="preserve"> countr</w:t>
      </w:r>
      <w:r w:rsidR="00024200" w:rsidRPr="003B3B78">
        <w:rPr>
          <w:rFonts w:ascii="Times New Roman" w:hAnsi="Times New Roman" w:cs="Times New Roman"/>
          <w:sz w:val="24"/>
          <w:szCs w:val="24"/>
          <w:lang w:val="en-US"/>
        </w:rPr>
        <w:t>ies</w:t>
      </w:r>
      <w:r w:rsidRPr="003B3B78">
        <w:rPr>
          <w:rFonts w:ascii="Times New Roman" w:hAnsi="Times New Roman" w:cs="Times New Roman"/>
          <w:sz w:val="24"/>
          <w:szCs w:val="24"/>
          <w:lang w:val="en-US"/>
        </w:rPr>
        <w:t xml:space="preserve"> </w:t>
      </w:r>
      <w:r w:rsidR="00FA4947" w:rsidRPr="003B3B78">
        <w:rPr>
          <w:rFonts w:ascii="Times New Roman" w:hAnsi="Times New Roman" w:cs="Times New Roman"/>
          <w:sz w:val="24"/>
          <w:szCs w:val="24"/>
          <w:lang w:val="en-US"/>
        </w:rPr>
        <w:t>ha</w:t>
      </w:r>
      <w:r w:rsidR="00024200" w:rsidRPr="003B3B78">
        <w:rPr>
          <w:rFonts w:ascii="Times New Roman" w:hAnsi="Times New Roman" w:cs="Times New Roman"/>
          <w:sz w:val="24"/>
          <w:szCs w:val="24"/>
          <w:lang w:val="en-US"/>
        </w:rPr>
        <w:t>ve some</w:t>
      </w:r>
      <w:r w:rsidR="00FA4947" w:rsidRPr="003B3B78">
        <w:rPr>
          <w:rFonts w:ascii="Times New Roman" w:hAnsi="Times New Roman" w:cs="Times New Roman"/>
          <w:sz w:val="24"/>
          <w:szCs w:val="24"/>
          <w:lang w:val="en-US"/>
        </w:rPr>
        <w:t xml:space="preserve"> elements of pre-commitment</w:t>
      </w:r>
      <w:r w:rsidRPr="003B3B78">
        <w:rPr>
          <w:rFonts w:ascii="Times New Roman" w:hAnsi="Times New Roman" w:cs="Times New Roman"/>
          <w:sz w:val="24"/>
          <w:szCs w:val="24"/>
          <w:lang w:val="en-US"/>
        </w:rPr>
        <w:t>. There may</w:t>
      </w:r>
      <w:r w:rsidR="00024200" w:rsidRPr="003B3B78">
        <w:rPr>
          <w:rFonts w:ascii="Times New Roman" w:hAnsi="Times New Roman" w:cs="Times New Roman"/>
          <w:sz w:val="24"/>
          <w:szCs w:val="24"/>
          <w:lang w:val="en-US"/>
        </w:rPr>
        <w:t>,</w:t>
      </w:r>
      <w:r w:rsidRPr="003B3B78">
        <w:rPr>
          <w:rFonts w:ascii="Times New Roman" w:hAnsi="Times New Roman" w:cs="Times New Roman"/>
          <w:sz w:val="24"/>
          <w:szCs w:val="24"/>
          <w:lang w:val="en-US"/>
        </w:rPr>
        <w:t xml:space="preserve"> however, be some</w:t>
      </w:r>
      <w:r w:rsidR="00EB1A33" w:rsidRPr="003B3B78">
        <w:rPr>
          <w:rFonts w:ascii="Times New Roman" w:hAnsi="Times New Roman" w:cs="Times New Roman"/>
          <w:sz w:val="24"/>
          <w:szCs w:val="24"/>
          <w:lang w:val="en-US"/>
        </w:rPr>
        <w:t xml:space="preserve"> misunderstanding regarding the relationship of </w:t>
      </w:r>
      <w:r w:rsidR="00FA4947" w:rsidRPr="003B3B78">
        <w:rPr>
          <w:rFonts w:ascii="Times New Roman" w:hAnsi="Times New Roman" w:cs="Times New Roman"/>
          <w:sz w:val="24"/>
          <w:szCs w:val="24"/>
          <w:lang w:val="en-US"/>
        </w:rPr>
        <w:t xml:space="preserve">the </w:t>
      </w:r>
      <w:r w:rsidR="00EB1A33" w:rsidRPr="003B3B78">
        <w:rPr>
          <w:rFonts w:ascii="Times New Roman" w:hAnsi="Times New Roman" w:cs="Times New Roman"/>
          <w:sz w:val="24"/>
          <w:szCs w:val="24"/>
          <w:lang w:val="en-US"/>
        </w:rPr>
        <w:t>procurement</w:t>
      </w:r>
      <w:r w:rsidR="00FA4947" w:rsidRPr="003B3B78">
        <w:rPr>
          <w:rFonts w:ascii="Times New Roman" w:hAnsi="Times New Roman" w:cs="Times New Roman"/>
          <w:sz w:val="24"/>
          <w:szCs w:val="24"/>
          <w:lang w:val="en-US"/>
        </w:rPr>
        <w:t xml:space="preserve"> process,</w:t>
      </w:r>
      <w:r w:rsidRPr="003B3B78">
        <w:rPr>
          <w:rFonts w:ascii="Times New Roman" w:hAnsi="Times New Roman" w:cs="Times New Roman"/>
          <w:sz w:val="24"/>
          <w:szCs w:val="24"/>
          <w:lang w:val="en-US"/>
        </w:rPr>
        <w:t xml:space="preserve"> and the commitment stage of the payment and budget execution process.</w:t>
      </w:r>
      <w:r w:rsidRPr="009326D3">
        <w:rPr>
          <w:rFonts w:ascii="Times New Roman" w:hAnsi="Times New Roman" w:cs="Times New Roman"/>
          <w:sz w:val="24"/>
          <w:szCs w:val="24"/>
          <w:lang w:val="en-US"/>
        </w:rPr>
        <w:t xml:space="preserve"> </w:t>
      </w:r>
    </w:p>
    <w:p w14:paraId="06971DF7" w14:textId="77777777" w:rsidR="00E10B47" w:rsidRPr="009326D3" w:rsidRDefault="00E10B47" w:rsidP="00E10B47">
      <w:pPr>
        <w:spacing w:after="0"/>
        <w:rPr>
          <w:rFonts w:ascii="Times New Roman" w:hAnsi="Times New Roman" w:cs="Times New Roman"/>
          <w:sz w:val="24"/>
          <w:szCs w:val="24"/>
          <w:lang w:val="en-US"/>
        </w:rPr>
      </w:pPr>
    </w:p>
    <w:p w14:paraId="2BE8D9E8" w14:textId="78787F35" w:rsidR="009D2DE7" w:rsidRPr="009326D3" w:rsidRDefault="009D2DE7" w:rsidP="00767980">
      <w:pPr>
        <w:rPr>
          <w:rFonts w:ascii="Times New Roman" w:hAnsi="Times New Roman" w:cs="Times New Roman"/>
          <w:sz w:val="24"/>
          <w:szCs w:val="24"/>
          <w:lang w:val="en-US"/>
        </w:rPr>
      </w:pPr>
      <w:r w:rsidRPr="009326D3">
        <w:rPr>
          <w:rFonts w:ascii="Times New Roman" w:hAnsi="Times New Roman" w:cs="Times New Roman"/>
          <w:sz w:val="24"/>
          <w:szCs w:val="24"/>
          <w:lang w:val="en-US"/>
        </w:rPr>
        <w:t xml:space="preserve">Of the </w:t>
      </w:r>
      <w:r w:rsidR="00C32720" w:rsidRPr="009326D3">
        <w:rPr>
          <w:rFonts w:ascii="Times New Roman" w:hAnsi="Times New Roman" w:cs="Times New Roman"/>
          <w:sz w:val="24"/>
          <w:szCs w:val="24"/>
          <w:lang w:val="en-US"/>
        </w:rPr>
        <w:t xml:space="preserve">eight </w:t>
      </w:r>
      <w:r w:rsidRPr="009326D3">
        <w:rPr>
          <w:rFonts w:ascii="Times New Roman" w:hAnsi="Times New Roman" w:cs="Times New Roman"/>
          <w:sz w:val="24"/>
          <w:szCs w:val="24"/>
          <w:lang w:val="en-US"/>
        </w:rPr>
        <w:t xml:space="preserve">countries that indicated they had a pre-commitment stage (See table 1), </w:t>
      </w:r>
      <w:r w:rsidR="00E10B47" w:rsidRPr="009326D3">
        <w:rPr>
          <w:rFonts w:ascii="Times New Roman" w:hAnsi="Times New Roman" w:cs="Times New Roman"/>
          <w:sz w:val="24"/>
          <w:szCs w:val="24"/>
          <w:lang w:val="en-US"/>
        </w:rPr>
        <w:t>three indicated it was defined in both the Public Financial Management</w:t>
      </w:r>
      <w:r w:rsidR="00C32720" w:rsidRPr="009326D3">
        <w:rPr>
          <w:rFonts w:ascii="Times New Roman" w:hAnsi="Times New Roman" w:cs="Times New Roman"/>
          <w:sz w:val="24"/>
          <w:szCs w:val="24"/>
          <w:lang w:val="en-US"/>
        </w:rPr>
        <w:t xml:space="preserve"> (PFM) and Procurement laws; </w:t>
      </w:r>
      <w:r w:rsidRPr="009326D3">
        <w:rPr>
          <w:rFonts w:ascii="Times New Roman" w:hAnsi="Times New Roman" w:cs="Times New Roman"/>
          <w:sz w:val="24"/>
          <w:szCs w:val="24"/>
          <w:lang w:val="en-US"/>
        </w:rPr>
        <w:t>one indicated that this was defined i</w:t>
      </w:r>
      <w:r w:rsidR="00A81E14" w:rsidRPr="009326D3">
        <w:rPr>
          <w:rFonts w:ascii="Times New Roman" w:hAnsi="Times New Roman" w:cs="Times New Roman"/>
          <w:sz w:val="24"/>
          <w:szCs w:val="24"/>
          <w:lang w:val="en-US"/>
        </w:rPr>
        <w:t xml:space="preserve">n </w:t>
      </w:r>
      <w:r w:rsidR="00024200">
        <w:rPr>
          <w:rFonts w:ascii="Times New Roman" w:hAnsi="Times New Roman" w:cs="Times New Roman"/>
          <w:sz w:val="24"/>
          <w:szCs w:val="24"/>
          <w:lang w:val="en-US"/>
        </w:rPr>
        <w:t xml:space="preserve">both </w:t>
      </w:r>
      <w:r w:rsidR="00A81E14" w:rsidRPr="009326D3">
        <w:rPr>
          <w:rFonts w:ascii="Times New Roman" w:hAnsi="Times New Roman" w:cs="Times New Roman"/>
          <w:sz w:val="24"/>
          <w:szCs w:val="24"/>
          <w:lang w:val="en-US"/>
        </w:rPr>
        <w:t>the Public Financial Management (PFM) Law</w:t>
      </w:r>
      <w:r w:rsidR="00E10B47" w:rsidRPr="009326D3">
        <w:rPr>
          <w:rFonts w:ascii="Times New Roman" w:hAnsi="Times New Roman" w:cs="Times New Roman"/>
          <w:sz w:val="24"/>
          <w:szCs w:val="24"/>
          <w:lang w:val="en-US"/>
        </w:rPr>
        <w:t xml:space="preserve"> and </w:t>
      </w:r>
      <w:r w:rsidR="00C32720" w:rsidRPr="009326D3">
        <w:rPr>
          <w:rFonts w:ascii="Times New Roman" w:hAnsi="Times New Roman" w:cs="Times New Roman"/>
          <w:sz w:val="24"/>
          <w:szCs w:val="24"/>
          <w:lang w:val="en-US"/>
        </w:rPr>
        <w:t xml:space="preserve">the Law </w:t>
      </w:r>
      <w:r w:rsidR="00FA4947" w:rsidRPr="009326D3">
        <w:rPr>
          <w:rFonts w:ascii="Times New Roman" w:hAnsi="Times New Roman" w:cs="Times New Roman"/>
          <w:sz w:val="24"/>
          <w:szCs w:val="24"/>
          <w:lang w:val="en-US"/>
        </w:rPr>
        <w:t>o</w:t>
      </w:r>
      <w:r w:rsidR="00C32720" w:rsidRPr="009326D3">
        <w:rPr>
          <w:rFonts w:ascii="Times New Roman" w:hAnsi="Times New Roman" w:cs="Times New Roman"/>
          <w:sz w:val="24"/>
          <w:szCs w:val="24"/>
          <w:lang w:val="en-US"/>
        </w:rPr>
        <w:t>n Fiscal Responsibility</w:t>
      </w:r>
      <w:r w:rsidR="00A81E14" w:rsidRPr="009326D3">
        <w:rPr>
          <w:rFonts w:ascii="Times New Roman" w:hAnsi="Times New Roman" w:cs="Times New Roman"/>
          <w:sz w:val="24"/>
          <w:szCs w:val="24"/>
          <w:lang w:val="en-US"/>
        </w:rPr>
        <w:t xml:space="preserve">; two </w:t>
      </w:r>
      <w:r w:rsidRPr="009326D3">
        <w:rPr>
          <w:rFonts w:ascii="Times New Roman" w:hAnsi="Times New Roman" w:cs="Times New Roman"/>
          <w:sz w:val="24"/>
          <w:szCs w:val="24"/>
          <w:lang w:val="en-US"/>
        </w:rPr>
        <w:t>in</w:t>
      </w:r>
      <w:r w:rsidR="00C32720" w:rsidRPr="009326D3">
        <w:rPr>
          <w:rFonts w:ascii="Times New Roman" w:hAnsi="Times New Roman" w:cs="Times New Roman"/>
          <w:sz w:val="24"/>
          <w:szCs w:val="24"/>
          <w:lang w:val="en-US"/>
        </w:rPr>
        <w:t>dicated it was in</w:t>
      </w:r>
      <w:r w:rsidRPr="009326D3">
        <w:rPr>
          <w:rFonts w:ascii="Times New Roman" w:hAnsi="Times New Roman" w:cs="Times New Roman"/>
          <w:sz w:val="24"/>
          <w:szCs w:val="24"/>
          <w:lang w:val="en-US"/>
        </w:rPr>
        <w:t xml:space="preserve"> the </w:t>
      </w:r>
      <w:r w:rsidR="00A81E14" w:rsidRPr="009326D3">
        <w:rPr>
          <w:rFonts w:ascii="Times New Roman" w:hAnsi="Times New Roman" w:cs="Times New Roman"/>
          <w:sz w:val="24"/>
          <w:szCs w:val="24"/>
          <w:lang w:val="en-US"/>
        </w:rPr>
        <w:t>P</w:t>
      </w:r>
      <w:r w:rsidRPr="009326D3">
        <w:rPr>
          <w:rFonts w:ascii="Times New Roman" w:hAnsi="Times New Roman" w:cs="Times New Roman"/>
          <w:sz w:val="24"/>
          <w:szCs w:val="24"/>
          <w:lang w:val="en-US"/>
        </w:rPr>
        <w:t xml:space="preserve">rocurement </w:t>
      </w:r>
      <w:r w:rsidR="00A81E14" w:rsidRPr="009326D3">
        <w:rPr>
          <w:rFonts w:ascii="Times New Roman" w:hAnsi="Times New Roman" w:cs="Times New Roman"/>
          <w:sz w:val="24"/>
          <w:szCs w:val="24"/>
          <w:lang w:val="en-US"/>
        </w:rPr>
        <w:t>L</w:t>
      </w:r>
      <w:r w:rsidRPr="009326D3">
        <w:rPr>
          <w:rFonts w:ascii="Times New Roman" w:hAnsi="Times New Roman" w:cs="Times New Roman"/>
          <w:sz w:val="24"/>
          <w:szCs w:val="24"/>
          <w:lang w:val="en-US"/>
        </w:rPr>
        <w:t>aw</w:t>
      </w:r>
      <w:r w:rsidR="00C32720" w:rsidRPr="009326D3">
        <w:rPr>
          <w:rFonts w:ascii="Times New Roman" w:hAnsi="Times New Roman" w:cs="Times New Roman"/>
          <w:sz w:val="24"/>
          <w:szCs w:val="24"/>
          <w:lang w:val="en-US"/>
        </w:rPr>
        <w:t xml:space="preserve"> and budget execution instruction</w:t>
      </w:r>
      <w:r w:rsidR="00FA4947" w:rsidRPr="009326D3">
        <w:rPr>
          <w:rFonts w:ascii="Times New Roman" w:hAnsi="Times New Roman" w:cs="Times New Roman"/>
          <w:sz w:val="24"/>
          <w:szCs w:val="24"/>
          <w:lang w:val="en-US"/>
        </w:rPr>
        <w:t>s</w:t>
      </w:r>
      <w:r w:rsidR="00C32720" w:rsidRPr="009326D3">
        <w:rPr>
          <w:rFonts w:ascii="Times New Roman" w:hAnsi="Times New Roman" w:cs="Times New Roman"/>
          <w:sz w:val="24"/>
          <w:szCs w:val="24"/>
          <w:lang w:val="en-US"/>
        </w:rPr>
        <w:t xml:space="preserve"> (other legislative instruments)</w:t>
      </w:r>
      <w:r w:rsidRPr="009326D3">
        <w:rPr>
          <w:rFonts w:ascii="Times New Roman" w:hAnsi="Times New Roman" w:cs="Times New Roman"/>
          <w:sz w:val="24"/>
          <w:szCs w:val="24"/>
          <w:lang w:val="en-US"/>
        </w:rPr>
        <w:t xml:space="preserve">; </w:t>
      </w:r>
      <w:r w:rsidR="00C32720" w:rsidRPr="009326D3">
        <w:rPr>
          <w:rFonts w:ascii="Times New Roman" w:hAnsi="Times New Roman" w:cs="Times New Roman"/>
          <w:sz w:val="24"/>
          <w:szCs w:val="24"/>
          <w:lang w:val="en-US"/>
        </w:rPr>
        <w:t>one</w:t>
      </w:r>
      <w:r w:rsidRPr="009326D3">
        <w:rPr>
          <w:rFonts w:ascii="Times New Roman" w:hAnsi="Times New Roman" w:cs="Times New Roman"/>
          <w:sz w:val="24"/>
          <w:szCs w:val="24"/>
          <w:lang w:val="en-US"/>
        </w:rPr>
        <w:t xml:space="preserve"> indicated that it was defined </w:t>
      </w:r>
      <w:r w:rsidR="00C32720" w:rsidRPr="009326D3">
        <w:rPr>
          <w:rFonts w:ascii="Times New Roman" w:hAnsi="Times New Roman" w:cs="Times New Roman"/>
          <w:sz w:val="24"/>
          <w:szCs w:val="24"/>
          <w:lang w:val="en-US"/>
        </w:rPr>
        <w:t>in a Cabinet Resolution (other legislative instruments)</w:t>
      </w:r>
      <w:r w:rsidR="008A7117">
        <w:rPr>
          <w:rFonts w:ascii="Times New Roman" w:hAnsi="Times New Roman" w:cs="Times New Roman"/>
          <w:sz w:val="24"/>
          <w:szCs w:val="24"/>
          <w:lang w:val="en-US"/>
        </w:rPr>
        <w:t xml:space="preserve">; and one did not indicate where it was recorded </w:t>
      </w:r>
      <w:r w:rsidRPr="009326D3">
        <w:rPr>
          <w:rFonts w:ascii="Times New Roman" w:hAnsi="Times New Roman" w:cs="Times New Roman"/>
          <w:sz w:val="24"/>
          <w:szCs w:val="24"/>
          <w:lang w:val="en-US"/>
        </w:rPr>
        <w:t xml:space="preserve">. </w:t>
      </w:r>
      <w:r w:rsidR="00C32720" w:rsidRPr="009326D3">
        <w:rPr>
          <w:rFonts w:ascii="Times New Roman" w:hAnsi="Times New Roman" w:cs="Times New Roman"/>
          <w:sz w:val="24"/>
          <w:szCs w:val="24"/>
          <w:lang w:val="en-US"/>
        </w:rPr>
        <w:t xml:space="preserve">One further country indicated that it was subject to the individual instructions of each </w:t>
      </w:r>
      <w:r w:rsidR="00C30A6E" w:rsidRPr="009326D3">
        <w:rPr>
          <w:rFonts w:ascii="Times New Roman" w:hAnsi="Times New Roman" w:cs="Times New Roman"/>
          <w:sz w:val="24"/>
          <w:szCs w:val="24"/>
          <w:lang w:val="en-US"/>
        </w:rPr>
        <w:t>Min</w:t>
      </w:r>
      <w:r w:rsidR="00E610FE" w:rsidRPr="009326D3">
        <w:rPr>
          <w:rFonts w:ascii="Times New Roman" w:hAnsi="Times New Roman" w:cs="Times New Roman"/>
          <w:sz w:val="24"/>
          <w:szCs w:val="24"/>
          <w:lang w:val="en-US"/>
        </w:rPr>
        <w:t>i</w:t>
      </w:r>
      <w:r w:rsidR="00C30A6E" w:rsidRPr="009326D3">
        <w:rPr>
          <w:rFonts w:ascii="Times New Roman" w:hAnsi="Times New Roman" w:cs="Times New Roman"/>
          <w:sz w:val="24"/>
          <w:szCs w:val="24"/>
          <w:lang w:val="en-US"/>
        </w:rPr>
        <w:t>s</w:t>
      </w:r>
      <w:r w:rsidR="00E610FE" w:rsidRPr="009326D3">
        <w:rPr>
          <w:rFonts w:ascii="Times New Roman" w:hAnsi="Times New Roman" w:cs="Times New Roman"/>
          <w:sz w:val="24"/>
          <w:szCs w:val="24"/>
          <w:lang w:val="en-US"/>
        </w:rPr>
        <w:t>try, Department and Agency (MDA)</w:t>
      </w:r>
      <w:r w:rsidR="00C32720" w:rsidRPr="009326D3">
        <w:rPr>
          <w:rFonts w:ascii="Times New Roman" w:hAnsi="Times New Roman" w:cs="Times New Roman"/>
          <w:sz w:val="24"/>
          <w:szCs w:val="24"/>
          <w:lang w:val="en-US"/>
        </w:rPr>
        <w:t xml:space="preserve">.  </w:t>
      </w:r>
      <w:r w:rsidR="00FA4947" w:rsidRPr="009326D3">
        <w:rPr>
          <w:rFonts w:ascii="Times New Roman" w:hAnsi="Times New Roman" w:cs="Times New Roman"/>
          <w:sz w:val="24"/>
          <w:szCs w:val="24"/>
          <w:lang w:val="en-US"/>
        </w:rPr>
        <w:t xml:space="preserve">This later response is from an EU accession country and therefore it is most likely that additional general procurement legislation also applies. </w:t>
      </w:r>
    </w:p>
    <w:p w14:paraId="602C4286" w14:textId="24743D3A" w:rsidR="00767980" w:rsidRPr="009326D3" w:rsidRDefault="00194528" w:rsidP="00767980">
      <w:pPr>
        <w:rPr>
          <w:rFonts w:ascii="Times New Roman" w:hAnsi="Times New Roman" w:cs="Times New Roman"/>
          <w:b/>
          <w:i/>
          <w:sz w:val="24"/>
          <w:szCs w:val="24"/>
          <w:lang w:val="en-US"/>
        </w:rPr>
      </w:pPr>
      <w:r w:rsidRPr="009326D3">
        <w:rPr>
          <w:rFonts w:ascii="Times New Roman" w:hAnsi="Times New Roman" w:cs="Times New Roman"/>
          <w:b/>
          <w:i/>
          <w:sz w:val="24"/>
          <w:szCs w:val="24"/>
          <w:lang w:val="en-US"/>
        </w:rPr>
        <w:t>Q2</w:t>
      </w:r>
      <w:r w:rsidR="00767980" w:rsidRPr="009326D3">
        <w:rPr>
          <w:rFonts w:ascii="Times New Roman" w:hAnsi="Times New Roman" w:cs="Times New Roman"/>
          <w:b/>
          <w:i/>
          <w:sz w:val="24"/>
          <w:szCs w:val="24"/>
          <w:lang w:val="en-US"/>
        </w:rPr>
        <w:t>. Where is the pre-commitment stage defined in your Public Financial Management Process?</w:t>
      </w:r>
    </w:p>
    <w:p w14:paraId="66C6B38D" w14:textId="076A0D75" w:rsidR="00FA4947" w:rsidRPr="009326D3" w:rsidRDefault="00FA4947" w:rsidP="00767980">
      <w:pPr>
        <w:rPr>
          <w:rFonts w:ascii="Times New Roman" w:hAnsi="Times New Roman" w:cs="Times New Roman"/>
          <w:i/>
          <w:color w:val="4F81BD" w:themeColor="accent1"/>
          <w:sz w:val="24"/>
          <w:szCs w:val="24"/>
          <w:lang w:val="en-US"/>
        </w:rPr>
      </w:pPr>
      <w:r w:rsidRPr="009326D3">
        <w:rPr>
          <w:rFonts w:ascii="Times New Roman" w:hAnsi="Times New Roman" w:cs="Times New Roman"/>
          <w:i/>
          <w:color w:val="4F81BD" w:themeColor="accent1"/>
          <w:sz w:val="24"/>
          <w:szCs w:val="24"/>
          <w:lang w:val="en-US"/>
        </w:rPr>
        <w:t xml:space="preserve">Table 1 – Legislative Basis for Pre-commitments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64"/>
        <w:gridCol w:w="1055"/>
        <w:gridCol w:w="1651"/>
        <w:gridCol w:w="5385"/>
      </w:tblGrid>
      <w:tr w:rsidR="00004B1D" w:rsidRPr="00012E05" w14:paraId="39C7C10E" w14:textId="77777777" w:rsidTr="001B4892">
        <w:trPr>
          <w:trHeight w:val="711"/>
        </w:trPr>
        <w:tc>
          <w:tcPr>
            <w:tcW w:w="0" w:type="auto"/>
            <w:shd w:val="clear" w:color="auto" w:fill="808080" w:themeFill="background1" w:themeFillShade="80"/>
            <w:noWrap/>
            <w:vAlign w:val="bottom"/>
          </w:tcPr>
          <w:p w14:paraId="19B60F18" w14:textId="664481A6" w:rsidR="00004B1D" w:rsidRPr="00017DBE" w:rsidRDefault="00004B1D" w:rsidP="00017DBE">
            <w:pPr>
              <w:spacing w:after="0" w:line="240" w:lineRule="auto"/>
              <w:rPr>
                <w:rFonts w:asciiTheme="majorHAnsi" w:eastAsia="Times New Roman" w:hAnsiTheme="majorHAnsi" w:cs="Microsoft Sans Serif"/>
                <w:b/>
                <w:sz w:val="24"/>
                <w:szCs w:val="24"/>
                <w:lang w:val="en-US" w:eastAsia="ru-RU"/>
              </w:rPr>
            </w:pPr>
            <w:r w:rsidRPr="00017DBE">
              <w:rPr>
                <w:rFonts w:asciiTheme="majorHAnsi" w:eastAsia="Times New Roman" w:hAnsiTheme="majorHAnsi" w:cs="Microsoft Sans Serif"/>
                <w:b/>
                <w:sz w:val="24"/>
                <w:szCs w:val="24"/>
                <w:lang w:val="en-US" w:eastAsia="ru-RU"/>
              </w:rPr>
              <w:t>Country</w:t>
            </w:r>
          </w:p>
        </w:tc>
        <w:tc>
          <w:tcPr>
            <w:tcW w:w="0" w:type="auto"/>
            <w:shd w:val="clear" w:color="auto" w:fill="808080" w:themeFill="background1" w:themeFillShade="80"/>
            <w:vAlign w:val="bottom"/>
          </w:tcPr>
          <w:p w14:paraId="550A98AA" w14:textId="58AFCD86" w:rsidR="00004B1D" w:rsidRPr="00017DBE" w:rsidRDefault="009D2DE7" w:rsidP="001B4892">
            <w:pPr>
              <w:spacing w:after="0" w:line="240" w:lineRule="auto"/>
              <w:rPr>
                <w:rFonts w:asciiTheme="majorHAnsi" w:hAnsiTheme="majorHAnsi"/>
                <w:b/>
                <w:sz w:val="24"/>
                <w:szCs w:val="24"/>
                <w:lang w:val="en-US"/>
              </w:rPr>
            </w:pPr>
            <w:r w:rsidRPr="001B4892">
              <w:rPr>
                <w:rFonts w:asciiTheme="majorHAnsi" w:eastAsia="Times New Roman" w:hAnsiTheme="majorHAnsi" w:cs="Microsoft Sans Serif"/>
                <w:b/>
                <w:sz w:val="24"/>
                <w:szCs w:val="24"/>
                <w:lang w:val="en-US" w:eastAsia="ru-RU"/>
              </w:rPr>
              <w:t>Budget</w:t>
            </w:r>
            <w:r w:rsidRPr="00017DBE">
              <w:rPr>
                <w:rFonts w:asciiTheme="majorHAnsi" w:hAnsiTheme="majorHAnsi"/>
                <w:b/>
                <w:sz w:val="24"/>
                <w:szCs w:val="24"/>
                <w:lang w:val="en-US"/>
              </w:rPr>
              <w:t xml:space="preserve"> </w:t>
            </w:r>
            <w:r w:rsidR="00004B1D" w:rsidRPr="00017DBE">
              <w:rPr>
                <w:rFonts w:asciiTheme="majorHAnsi" w:hAnsiTheme="majorHAnsi"/>
                <w:b/>
                <w:sz w:val="24"/>
                <w:szCs w:val="24"/>
                <w:lang w:val="en-US"/>
              </w:rPr>
              <w:t>Law</w:t>
            </w:r>
          </w:p>
        </w:tc>
        <w:tc>
          <w:tcPr>
            <w:tcW w:w="0" w:type="auto"/>
            <w:shd w:val="clear" w:color="auto" w:fill="808080" w:themeFill="background1" w:themeFillShade="80"/>
            <w:vAlign w:val="bottom"/>
          </w:tcPr>
          <w:p w14:paraId="128F926B" w14:textId="78185633" w:rsidR="00004B1D" w:rsidRPr="00017DBE" w:rsidRDefault="009D2DE7" w:rsidP="00017DBE">
            <w:pPr>
              <w:spacing w:after="0" w:line="240" w:lineRule="auto"/>
              <w:rPr>
                <w:rFonts w:asciiTheme="majorHAnsi" w:hAnsiTheme="majorHAnsi"/>
                <w:b/>
                <w:sz w:val="24"/>
                <w:szCs w:val="24"/>
                <w:lang w:val="en-US"/>
              </w:rPr>
            </w:pPr>
            <w:r w:rsidRPr="00017DBE">
              <w:rPr>
                <w:rFonts w:asciiTheme="majorHAnsi" w:hAnsiTheme="majorHAnsi"/>
                <w:b/>
                <w:sz w:val="24"/>
                <w:szCs w:val="24"/>
                <w:lang w:val="en-US"/>
              </w:rPr>
              <w:t>Pr</w:t>
            </w:r>
            <w:r w:rsidR="00004B1D" w:rsidRPr="00017DBE">
              <w:rPr>
                <w:rFonts w:asciiTheme="majorHAnsi" w:hAnsiTheme="majorHAnsi"/>
                <w:b/>
                <w:sz w:val="24"/>
                <w:szCs w:val="24"/>
                <w:lang w:val="en-US"/>
              </w:rPr>
              <w:t>ocurement</w:t>
            </w:r>
            <w:r w:rsidRPr="00017DBE">
              <w:rPr>
                <w:rFonts w:asciiTheme="majorHAnsi" w:hAnsiTheme="majorHAnsi"/>
                <w:b/>
                <w:sz w:val="24"/>
                <w:szCs w:val="24"/>
                <w:lang w:val="en-US"/>
              </w:rPr>
              <w:t xml:space="preserve"> </w:t>
            </w:r>
            <w:r w:rsidR="00004B1D" w:rsidRPr="00017DBE">
              <w:rPr>
                <w:rFonts w:asciiTheme="majorHAnsi" w:hAnsiTheme="majorHAnsi"/>
                <w:b/>
                <w:sz w:val="24"/>
                <w:szCs w:val="24"/>
                <w:lang w:val="en-US"/>
              </w:rPr>
              <w:t>Law</w:t>
            </w:r>
          </w:p>
        </w:tc>
        <w:tc>
          <w:tcPr>
            <w:tcW w:w="0" w:type="auto"/>
            <w:shd w:val="clear" w:color="auto" w:fill="808080" w:themeFill="background1" w:themeFillShade="80"/>
            <w:vAlign w:val="bottom"/>
          </w:tcPr>
          <w:p w14:paraId="28F0D27D" w14:textId="77777777" w:rsidR="00004B1D" w:rsidRPr="00017DBE" w:rsidRDefault="00004B1D" w:rsidP="00017DBE">
            <w:pPr>
              <w:spacing w:after="0" w:line="240" w:lineRule="auto"/>
              <w:rPr>
                <w:rFonts w:asciiTheme="majorHAnsi" w:eastAsia="Times New Roman" w:hAnsiTheme="majorHAnsi" w:cs="Microsoft Sans Serif"/>
                <w:b/>
                <w:sz w:val="24"/>
                <w:szCs w:val="24"/>
                <w:lang w:eastAsia="ru-RU"/>
              </w:rPr>
            </w:pPr>
            <w:r w:rsidRPr="00017DBE">
              <w:rPr>
                <w:rFonts w:asciiTheme="majorHAnsi" w:hAnsiTheme="majorHAnsi"/>
                <w:b/>
                <w:sz w:val="24"/>
                <w:szCs w:val="24"/>
              </w:rPr>
              <w:t>Other (please specify)</w:t>
            </w:r>
          </w:p>
        </w:tc>
      </w:tr>
      <w:tr w:rsidR="00004B1D" w:rsidRPr="005C79AC" w14:paraId="6D1FBFBC" w14:textId="77777777" w:rsidTr="001B4892">
        <w:trPr>
          <w:trHeight w:val="1290"/>
        </w:trPr>
        <w:tc>
          <w:tcPr>
            <w:tcW w:w="0" w:type="auto"/>
            <w:shd w:val="clear" w:color="auto" w:fill="auto"/>
            <w:noWrap/>
            <w:vAlign w:val="bottom"/>
            <w:hideMark/>
          </w:tcPr>
          <w:p w14:paraId="3F46000A" w14:textId="77777777" w:rsidR="00004B1D" w:rsidRPr="00017DBE" w:rsidRDefault="00004B1D" w:rsidP="00004B1D">
            <w:pPr>
              <w:spacing w:after="0" w:line="240" w:lineRule="auto"/>
              <w:rPr>
                <w:rFonts w:ascii="Microsoft Sans Serif" w:eastAsia="Times New Roman" w:hAnsi="Microsoft Sans Serif" w:cs="Microsoft Sans Serif"/>
                <w:b/>
                <w:sz w:val="20"/>
                <w:szCs w:val="20"/>
                <w:lang w:eastAsia="ru-RU"/>
              </w:rPr>
            </w:pPr>
            <w:r w:rsidRPr="00017DBE">
              <w:rPr>
                <w:rFonts w:ascii="Microsoft Sans Serif" w:eastAsia="Times New Roman" w:hAnsi="Microsoft Sans Serif" w:cs="Microsoft Sans Serif"/>
                <w:b/>
                <w:sz w:val="20"/>
                <w:szCs w:val="20"/>
                <w:lang w:eastAsia="ru-RU"/>
              </w:rPr>
              <w:t>Albania</w:t>
            </w:r>
          </w:p>
        </w:tc>
        <w:tc>
          <w:tcPr>
            <w:tcW w:w="0" w:type="auto"/>
            <w:shd w:val="clear" w:color="auto" w:fill="auto"/>
            <w:vAlign w:val="bottom"/>
          </w:tcPr>
          <w:p w14:paraId="50214851" w14:textId="77777777" w:rsidR="00004B1D" w:rsidRPr="00017DBE" w:rsidRDefault="00004B1D" w:rsidP="00004B1D">
            <w:pPr>
              <w:rPr>
                <w:rFonts w:ascii="Microsoft Sans Serif" w:hAnsi="Microsoft Sans Serif" w:cs="Microsoft Sans Serif"/>
                <w:sz w:val="20"/>
                <w:szCs w:val="20"/>
              </w:rPr>
            </w:pPr>
          </w:p>
        </w:tc>
        <w:tc>
          <w:tcPr>
            <w:tcW w:w="0" w:type="auto"/>
            <w:shd w:val="clear" w:color="auto" w:fill="auto"/>
            <w:vAlign w:val="bottom"/>
          </w:tcPr>
          <w:p w14:paraId="27E02FE8" w14:textId="518F2F56" w:rsidR="00004B1D" w:rsidRPr="00017DBE" w:rsidRDefault="009D2DE7" w:rsidP="00004B1D">
            <w:pPr>
              <w:rPr>
                <w:rFonts w:ascii="Microsoft Sans Serif" w:hAnsi="Microsoft Sans Serif" w:cs="Microsoft Sans Serif"/>
                <w:sz w:val="20"/>
                <w:szCs w:val="20"/>
              </w:rPr>
            </w:pPr>
            <w:r w:rsidRPr="00017DBE">
              <w:rPr>
                <w:rFonts w:ascii="Microsoft Sans Serif" w:hAnsi="Microsoft Sans Serif" w:cs="Microsoft Sans Serif"/>
                <w:sz w:val="20"/>
                <w:szCs w:val="20"/>
              </w:rPr>
              <w:t>X</w:t>
            </w:r>
          </w:p>
        </w:tc>
        <w:tc>
          <w:tcPr>
            <w:tcW w:w="0" w:type="auto"/>
            <w:shd w:val="clear" w:color="auto" w:fill="auto"/>
            <w:vAlign w:val="bottom"/>
          </w:tcPr>
          <w:p w14:paraId="5E9AA102" w14:textId="77777777" w:rsidR="00004B1D" w:rsidRPr="00017DBE" w:rsidRDefault="00004B1D" w:rsidP="00004B1D">
            <w:pPr>
              <w:rPr>
                <w:rFonts w:asciiTheme="majorHAnsi" w:hAnsiTheme="majorHAnsi" w:cs="Microsoft Sans Serif"/>
                <w:sz w:val="20"/>
                <w:szCs w:val="20"/>
                <w:lang w:val="en-US"/>
              </w:rPr>
            </w:pPr>
            <w:r w:rsidRPr="00017DBE">
              <w:rPr>
                <w:rFonts w:asciiTheme="majorHAnsi" w:hAnsiTheme="majorHAnsi" w:cs="Microsoft Sans Serif"/>
                <w:sz w:val="20"/>
                <w:szCs w:val="20"/>
                <w:lang w:val="en-US"/>
              </w:rPr>
              <w:t>Instruction no.3, dated on January 17, 2014, titled: "On Budget implementation for 2014 year"</w:t>
            </w:r>
          </w:p>
        </w:tc>
      </w:tr>
      <w:tr w:rsidR="00004B1D" w:rsidRPr="005C79AC" w14:paraId="3B6926F3" w14:textId="77777777" w:rsidTr="001B4892">
        <w:trPr>
          <w:trHeight w:val="255"/>
        </w:trPr>
        <w:tc>
          <w:tcPr>
            <w:tcW w:w="0" w:type="auto"/>
            <w:shd w:val="clear" w:color="auto" w:fill="auto"/>
            <w:noWrap/>
            <w:vAlign w:val="bottom"/>
            <w:hideMark/>
          </w:tcPr>
          <w:p w14:paraId="38908F72" w14:textId="77777777" w:rsidR="00004B1D" w:rsidRPr="00017DBE" w:rsidRDefault="00004B1D" w:rsidP="00004B1D">
            <w:pPr>
              <w:spacing w:after="0" w:line="240" w:lineRule="auto"/>
              <w:rPr>
                <w:rFonts w:ascii="Microsoft Sans Serif" w:eastAsia="Times New Roman" w:hAnsi="Microsoft Sans Serif" w:cs="Microsoft Sans Serif"/>
                <w:b/>
                <w:sz w:val="20"/>
                <w:szCs w:val="20"/>
                <w:lang w:val="en-US" w:eastAsia="ru-RU"/>
              </w:rPr>
            </w:pPr>
            <w:r w:rsidRPr="00017DBE">
              <w:rPr>
                <w:rFonts w:ascii="Microsoft Sans Serif" w:eastAsia="Times New Roman" w:hAnsi="Microsoft Sans Serif" w:cs="Microsoft Sans Serif"/>
                <w:b/>
                <w:sz w:val="20"/>
                <w:szCs w:val="20"/>
                <w:lang w:val="en-US" w:eastAsia="ru-RU"/>
              </w:rPr>
              <w:t>Croatia</w:t>
            </w:r>
          </w:p>
        </w:tc>
        <w:tc>
          <w:tcPr>
            <w:tcW w:w="0" w:type="auto"/>
            <w:shd w:val="clear" w:color="auto" w:fill="auto"/>
            <w:vAlign w:val="bottom"/>
          </w:tcPr>
          <w:p w14:paraId="50369549" w14:textId="293A2B57" w:rsidR="00004B1D" w:rsidRPr="00017DBE" w:rsidRDefault="00004B1D" w:rsidP="00004B1D">
            <w:pPr>
              <w:rPr>
                <w:rFonts w:ascii="Microsoft Sans Serif" w:hAnsi="Microsoft Sans Serif" w:cs="Microsoft Sans Serif"/>
                <w:sz w:val="20"/>
                <w:szCs w:val="20"/>
              </w:rPr>
            </w:pPr>
            <w:r w:rsidRPr="00017DBE">
              <w:rPr>
                <w:rFonts w:ascii="Microsoft Sans Serif" w:hAnsi="Microsoft Sans Serif" w:cs="Microsoft Sans Serif"/>
                <w:sz w:val="20"/>
                <w:szCs w:val="20"/>
              </w:rPr>
              <w:t>X</w:t>
            </w:r>
          </w:p>
        </w:tc>
        <w:tc>
          <w:tcPr>
            <w:tcW w:w="0" w:type="auto"/>
            <w:shd w:val="clear" w:color="auto" w:fill="auto"/>
            <w:vAlign w:val="bottom"/>
          </w:tcPr>
          <w:p w14:paraId="590A00B6" w14:textId="77777777" w:rsidR="00004B1D" w:rsidRPr="00017DBE" w:rsidRDefault="00004B1D" w:rsidP="00004B1D">
            <w:pPr>
              <w:rPr>
                <w:rFonts w:ascii="Microsoft Sans Serif" w:hAnsi="Microsoft Sans Serif" w:cs="Microsoft Sans Serif"/>
                <w:sz w:val="20"/>
                <w:szCs w:val="20"/>
              </w:rPr>
            </w:pPr>
          </w:p>
        </w:tc>
        <w:tc>
          <w:tcPr>
            <w:tcW w:w="0" w:type="auto"/>
            <w:shd w:val="clear" w:color="auto" w:fill="auto"/>
            <w:vAlign w:val="bottom"/>
          </w:tcPr>
          <w:p w14:paraId="6FCA353C" w14:textId="0EAB683F" w:rsidR="00004B1D" w:rsidRPr="00017DBE" w:rsidRDefault="009D2DE7" w:rsidP="00004B1D">
            <w:pPr>
              <w:rPr>
                <w:rFonts w:asciiTheme="majorHAnsi" w:hAnsiTheme="majorHAnsi" w:cs="Microsoft Sans Serif"/>
                <w:sz w:val="20"/>
                <w:szCs w:val="20"/>
                <w:lang w:val="en-US"/>
              </w:rPr>
            </w:pPr>
            <w:r w:rsidRPr="00017DBE">
              <w:rPr>
                <w:rFonts w:asciiTheme="majorHAnsi" w:hAnsiTheme="majorHAnsi" w:cs="Microsoft Sans Serif"/>
                <w:sz w:val="20"/>
                <w:szCs w:val="20"/>
                <w:lang w:val="en-US"/>
              </w:rPr>
              <w:t>The Law on Fiscal Responsibility</w:t>
            </w:r>
            <w:proofErr w:type="gramStart"/>
            <w:r w:rsidRPr="00017DBE">
              <w:rPr>
                <w:rFonts w:asciiTheme="majorHAnsi" w:hAnsiTheme="majorHAnsi" w:cs="Microsoft Sans Serif"/>
                <w:sz w:val="20"/>
                <w:szCs w:val="20"/>
                <w:lang w:val="en-US"/>
              </w:rPr>
              <w:t>,  rulebook</w:t>
            </w:r>
            <w:proofErr w:type="gramEnd"/>
            <w:r w:rsidRPr="00017DBE">
              <w:rPr>
                <w:rFonts w:asciiTheme="majorHAnsi" w:hAnsiTheme="majorHAnsi" w:cs="Microsoft Sans Serif"/>
                <w:sz w:val="20"/>
                <w:szCs w:val="20"/>
                <w:lang w:val="en-US"/>
              </w:rPr>
              <w:t xml:space="preserve"> on the method and conditions of state budget execution, transfer of funds to the state budget and keeping records on transferred finances.</w:t>
            </w:r>
          </w:p>
        </w:tc>
      </w:tr>
      <w:tr w:rsidR="00004B1D" w:rsidRPr="00012E05" w14:paraId="70833742" w14:textId="77777777" w:rsidTr="001B4892">
        <w:trPr>
          <w:trHeight w:val="255"/>
        </w:trPr>
        <w:tc>
          <w:tcPr>
            <w:tcW w:w="0" w:type="auto"/>
            <w:shd w:val="clear" w:color="auto" w:fill="auto"/>
            <w:noWrap/>
            <w:vAlign w:val="bottom"/>
            <w:hideMark/>
          </w:tcPr>
          <w:p w14:paraId="0906983F" w14:textId="77777777" w:rsidR="00004B1D" w:rsidRPr="00017DBE" w:rsidRDefault="00004B1D" w:rsidP="00004B1D">
            <w:pPr>
              <w:spacing w:after="0" w:line="240" w:lineRule="auto"/>
              <w:rPr>
                <w:rFonts w:ascii="Microsoft Sans Serif" w:eastAsia="Times New Roman" w:hAnsi="Microsoft Sans Serif" w:cs="Microsoft Sans Serif"/>
                <w:b/>
                <w:sz w:val="20"/>
                <w:szCs w:val="20"/>
                <w:lang w:eastAsia="ru-RU"/>
              </w:rPr>
            </w:pPr>
            <w:r w:rsidRPr="00017DBE">
              <w:rPr>
                <w:rFonts w:ascii="Microsoft Sans Serif" w:eastAsia="Times New Roman" w:hAnsi="Microsoft Sans Serif" w:cs="Microsoft Sans Serif"/>
                <w:b/>
                <w:sz w:val="20"/>
                <w:szCs w:val="20"/>
                <w:lang w:eastAsia="ru-RU"/>
              </w:rPr>
              <w:t>Kazakhstan</w:t>
            </w:r>
          </w:p>
        </w:tc>
        <w:tc>
          <w:tcPr>
            <w:tcW w:w="0" w:type="auto"/>
            <w:shd w:val="clear" w:color="auto" w:fill="auto"/>
            <w:vAlign w:val="bottom"/>
          </w:tcPr>
          <w:p w14:paraId="7F4DB9B8" w14:textId="4FFAF99A" w:rsidR="00004B1D" w:rsidRPr="00017DBE" w:rsidRDefault="00004B1D" w:rsidP="00004B1D">
            <w:pPr>
              <w:rPr>
                <w:rFonts w:ascii="Microsoft Sans Serif" w:hAnsi="Microsoft Sans Serif" w:cs="Microsoft Sans Serif"/>
                <w:sz w:val="20"/>
                <w:szCs w:val="20"/>
              </w:rPr>
            </w:pPr>
            <w:r w:rsidRPr="00017DBE">
              <w:rPr>
                <w:rFonts w:ascii="Microsoft Sans Serif" w:hAnsi="Microsoft Sans Serif" w:cs="Microsoft Sans Serif"/>
                <w:sz w:val="20"/>
                <w:szCs w:val="20"/>
              </w:rPr>
              <w:t>X</w:t>
            </w:r>
          </w:p>
        </w:tc>
        <w:tc>
          <w:tcPr>
            <w:tcW w:w="0" w:type="auto"/>
            <w:shd w:val="clear" w:color="auto" w:fill="auto"/>
            <w:vAlign w:val="bottom"/>
          </w:tcPr>
          <w:p w14:paraId="63DAC74B" w14:textId="15B905C0" w:rsidR="00004B1D" w:rsidRPr="00017DBE" w:rsidRDefault="009D2DE7" w:rsidP="00004B1D">
            <w:pPr>
              <w:rPr>
                <w:rFonts w:ascii="Microsoft Sans Serif" w:hAnsi="Microsoft Sans Serif" w:cs="Microsoft Sans Serif"/>
                <w:sz w:val="20"/>
                <w:szCs w:val="20"/>
              </w:rPr>
            </w:pPr>
            <w:r w:rsidRPr="00017DBE">
              <w:rPr>
                <w:rFonts w:ascii="Microsoft Sans Serif" w:hAnsi="Microsoft Sans Serif" w:cs="Microsoft Sans Serif"/>
                <w:sz w:val="20"/>
                <w:szCs w:val="20"/>
              </w:rPr>
              <w:t>X</w:t>
            </w:r>
          </w:p>
        </w:tc>
        <w:tc>
          <w:tcPr>
            <w:tcW w:w="0" w:type="auto"/>
            <w:shd w:val="clear" w:color="auto" w:fill="auto"/>
            <w:vAlign w:val="bottom"/>
          </w:tcPr>
          <w:p w14:paraId="5B1C8766" w14:textId="77777777" w:rsidR="00004B1D" w:rsidRPr="00017DBE" w:rsidRDefault="00004B1D" w:rsidP="00004B1D">
            <w:pPr>
              <w:rPr>
                <w:rFonts w:asciiTheme="majorHAnsi" w:hAnsiTheme="majorHAnsi" w:cs="Microsoft Sans Serif"/>
                <w:sz w:val="20"/>
                <w:szCs w:val="20"/>
              </w:rPr>
            </w:pPr>
          </w:p>
        </w:tc>
      </w:tr>
      <w:tr w:rsidR="00004B1D" w:rsidRPr="00012E05" w14:paraId="250B25DB" w14:textId="77777777" w:rsidTr="001B4892">
        <w:trPr>
          <w:trHeight w:val="255"/>
        </w:trPr>
        <w:tc>
          <w:tcPr>
            <w:tcW w:w="0" w:type="auto"/>
            <w:shd w:val="clear" w:color="auto" w:fill="auto"/>
            <w:noWrap/>
            <w:vAlign w:val="bottom"/>
            <w:hideMark/>
          </w:tcPr>
          <w:p w14:paraId="74EBCBB2" w14:textId="77777777" w:rsidR="00004B1D" w:rsidRPr="00017DBE" w:rsidRDefault="00004B1D" w:rsidP="00004B1D">
            <w:pPr>
              <w:spacing w:after="0" w:line="240" w:lineRule="auto"/>
              <w:rPr>
                <w:rFonts w:ascii="Microsoft Sans Serif" w:eastAsia="Times New Roman" w:hAnsi="Microsoft Sans Serif" w:cs="Microsoft Sans Serif"/>
                <w:b/>
                <w:sz w:val="20"/>
                <w:szCs w:val="20"/>
                <w:lang w:eastAsia="ru-RU"/>
              </w:rPr>
            </w:pPr>
            <w:r w:rsidRPr="00017DBE">
              <w:rPr>
                <w:rFonts w:ascii="Microsoft Sans Serif" w:eastAsia="Times New Roman" w:hAnsi="Microsoft Sans Serif" w:cs="Microsoft Sans Serif"/>
                <w:b/>
                <w:sz w:val="20"/>
                <w:szCs w:val="20"/>
                <w:lang w:eastAsia="ru-RU"/>
              </w:rPr>
              <w:t>Kyrgyz Republic</w:t>
            </w:r>
          </w:p>
        </w:tc>
        <w:tc>
          <w:tcPr>
            <w:tcW w:w="0" w:type="auto"/>
            <w:shd w:val="clear" w:color="auto" w:fill="auto"/>
            <w:vAlign w:val="bottom"/>
          </w:tcPr>
          <w:p w14:paraId="14D65C8B" w14:textId="7073CE42" w:rsidR="00004B1D" w:rsidRPr="00017DBE" w:rsidRDefault="00004B1D" w:rsidP="00004B1D">
            <w:pPr>
              <w:rPr>
                <w:rFonts w:ascii="Microsoft Sans Serif" w:hAnsi="Microsoft Sans Serif" w:cs="Microsoft Sans Serif"/>
                <w:sz w:val="20"/>
                <w:szCs w:val="20"/>
              </w:rPr>
            </w:pPr>
            <w:r w:rsidRPr="00017DBE">
              <w:rPr>
                <w:rFonts w:ascii="Microsoft Sans Serif" w:hAnsi="Microsoft Sans Serif" w:cs="Microsoft Sans Serif"/>
                <w:sz w:val="20"/>
                <w:szCs w:val="20"/>
              </w:rPr>
              <w:t>X</w:t>
            </w:r>
          </w:p>
        </w:tc>
        <w:tc>
          <w:tcPr>
            <w:tcW w:w="0" w:type="auto"/>
            <w:shd w:val="clear" w:color="auto" w:fill="auto"/>
            <w:vAlign w:val="bottom"/>
          </w:tcPr>
          <w:p w14:paraId="7EA90367" w14:textId="071D3630" w:rsidR="00004B1D" w:rsidRPr="00017DBE" w:rsidRDefault="009D2DE7" w:rsidP="00004B1D">
            <w:pPr>
              <w:rPr>
                <w:rFonts w:ascii="Microsoft Sans Serif" w:hAnsi="Microsoft Sans Serif" w:cs="Microsoft Sans Serif"/>
                <w:sz w:val="20"/>
                <w:szCs w:val="20"/>
              </w:rPr>
            </w:pPr>
            <w:r w:rsidRPr="00017DBE">
              <w:rPr>
                <w:rFonts w:ascii="Microsoft Sans Serif" w:hAnsi="Microsoft Sans Serif" w:cs="Microsoft Sans Serif"/>
                <w:sz w:val="20"/>
                <w:szCs w:val="20"/>
              </w:rPr>
              <w:t>X</w:t>
            </w:r>
          </w:p>
        </w:tc>
        <w:tc>
          <w:tcPr>
            <w:tcW w:w="0" w:type="auto"/>
            <w:shd w:val="clear" w:color="auto" w:fill="auto"/>
            <w:vAlign w:val="bottom"/>
          </w:tcPr>
          <w:p w14:paraId="34F48E7D" w14:textId="77777777" w:rsidR="00004B1D" w:rsidRPr="00017DBE" w:rsidRDefault="00004B1D" w:rsidP="00004B1D">
            <w:pPr>
              <w:rPr>
                <w:rFonts w:asciiTheme="majorHAnsi" w:hAnsiTheme="majorHAnsi" w:cs="Microsoft Sans Serif"/>
                <w:sz w:val="20"/>
                <w:szCs w:val="20"/>
              </w:rPr>
            </w:pPr>
          </w:p>
        </w:tc>
      </w:tr>
      <w:tr w:rsidR="00004B1D" w:rsidRPr="005C79AC" w14:paraId="28A52C65" w14:textId="77777777" w:rsidTr="001B4892">
        <w:trPr>
          <w:trHeight w:val="255"/>
        </w:trPr>
        <w:tc>
          <w:tcPr>
            <w:tcW w:w="0" w:type="auto"/>
            <w:shd w:val="clear" w:color="auto" w:fill="auto"/>
            <w:noWrap/>
            <w:vAlign w:val="bottom"/>
            <w:hideMark/>
          </w:tcPr>
          <w:p w14:paraId="637CCDAE" w14:textId="77777777" w:rsidR="00004B1D" w:rsidRPr="00017DBE" w:rsidRDefault="00004B1D" w:rsidP="00004B1D">
            <w:pPr>
              <w:spacing w:after="0" w:line="240" w:lineRule="auto"/>
              <w:rPr>
                <w:rFonts w:ascii="Microsoft Sans Serif" w:eastAsia="Times New Roman" w:hAnsi="Microsoft Sans Serif" w:cs="Microsoft Sans Serif"/>
                <w:b/>
                <w:sz w:val="20"/>
                <w:szCs w:val="20"/>
                <w:lang w:val="en-US" w:eastAsia="ru-RU"/>
              </w:rPr>
            </w:pPr>
            <w:r w:rsidRPr="00017DBE">
              <w:rPr>
                <w:rFonts w:ascii="Microsoft Sans Serif" w:eastAsia="Times New Roman" w:hAnsi="Microsoft Sans Serif" w:cs="Microsoft Sans Serif"/>
                <w:b/>
                <w:sz w:val="20"/>
                <w:szCs w:val="20"/>
                <w:lang w:val="en-US" w:eastAsia="ru-RU"/>
              </w:rPr>
              <w:t>Montenegro</w:t>
            </w:r>
          </w:p>
        </w:tc>
        <w:tc>
          <w:tcPr>
            <w:tcW w:w="0" w:type="auto"/>
            <w:shd w:val="clear" w:color="auto" w:fill="auto"/>
            <w:vAlign w:val="bottom"/>
          </w:tcPr>
          <w:p w14:paraId="376C67D1" w14:textId="77777777" w:rsidR="00004B1D" w:rsidRPr="00017DBE" w:rsidRDefault="00004B1D" w:rsidP="00004B1D">
            <w:pPr>
              <w:rPr>
                <w:rFonts w:ascii="Microsoft Sans Serif" w:hAnsi="Microsoft Sans Serif" w:cs="Microsoft Sans Serif"/>
                <w:sz w:val="20"/>
                <w:szCs w:val="20"/>
              </w:rPr>
            </w:pPr>
          </w:p>
        </w:tc>
        <w:tc>
          <w:tcPr>
            <w:tcW w:w="0" w:type="auto"/>
            <w:shd w:val="clear" w:color="auto" w:fill="auto"/>
            <w:vAlign w:val="bottom"/>
          </w:tcPr>
          <w:p w14:paraId="54D799C3" w14:textId="57E68778" w:rsidR="00004B1D" w:rsidRPr="00017DBE" w:rsidRDefault="009D2DE7" w:rsidP="00004B1D">
            <w:pPr>
              <w:rPr>
                <w:rFonts w:ascii="Microsoft Sans Serif" w:hAnsi="Microsoft Sans Serif" w:cs="Microsoft Sans Serif"/>
                <w:sz w:val="20"/>
                <w:szCs w:val="20"/>
              </w:rPr>
            </w:pPr>
            <w:r w:rsidRPr="00017DBE">
              <w:rPr>
                <w:rFonts w:ascii="Microsoft Sans Serif" w:hAnsi="Microsoft Sans Serif" w:cs="Microsoft Sans Serif"/>
                <w:sz w:val="20"/>
                <w:szCs w:val="20"/>
              </w:rPr>
              <w:t>X</w:t>
            </w:r>
          </w:p>
        </w:tc>
        <w:tc>
          <w:tcPr>
            <w:tcW w:w="0" w:type="auto"/>
            <w:shd w:val="clear" w:color="auto" w:fill="auto"/>
            <w:vAlign w:val="bottom"/>
          </w:tcPr>
          <w:p w14:paraId="6E32A9B3" w14:textId="77777777" w:rsidR="00004B1D" w:rsidRPr="00017DBE" w:rsidRDefault="00004B1D" w:rsidP="00004B1D">
            <w:pPr>
              <w:rPr>
                <w:rFonts w:asciiTheme="majorHAnsi" w:hAnsiTheme="majorHAnsi"/>
                <w:sz w:val="20"/>
                <w:szCs w:val="20"/>
                <w:lang w:val="en-US"/>
              </w:rPr>
            </w:pPr>
            <w:r w:rsidRPr="00017DBE">
              <w:rPr>
                <w:rFonts w:asciiTheme="majorHAnsi" w:hAnsiTheme="majorHAnsi"/>
                <w:sz w:val="20"/>
                <w:szCs w:val="20"/>
                <w:lang w:val="en-US"/>
              </w:rPr>
              <w:t>Instructions on the State Treasury Operations</w:t>
            </w:r>
          </w:p>
        </w:tc>
      </w:tr>
      <w:tr w:rsidR="00004B1D" w:rsidRPr="00012E05" w14:paraId="63C0058C" w14:textId="77777777" w:rsidTr="001B4892">
        <w:trPr>
          <w:trHeight w:val="255"/>
        </w:trPr>
        <w:tc>
          <w:tcPr>
            <w:tcW w:w="0" w:type="auto"/>
            <w:shd w:val="clear" w:color="auto" w:fill="auto"/>
            <w:noWrap/>
            <w:vAlign w:val="bottom"/>
          </w:tcPr>
          <w:p w14:paraId="63A4D59D" w14:textId="0E7651E2" w:rsidR="00004B1D" w:rsidRPr="00017DBE" w:rsidRDefault="00004B1D" w:rsidP="00004B1D">
            <w:pPr>
              <w:spacing w:after="0" w:line="240" w:lineRule="auto"/>
              <w:rPr>
                <w:rFonts w:ascii="Microsoft Sans Serif" w:eastAsia="Times New Roman" w:hAnsi="Microsoft Sans Serif" w:cs="Microsoft Sans Serif"/>
                <w:b/>
                <w:sz w:val="20"/>
                <w:szCs w:val="20"/>
                <w:lang w:val="en-US" w:eastAsia="ru-RU"/>
              </w:rPr>
            </w:pPr>
            <w:r w:rsidRPr="00017DBE">
              <w:rPr>
                <w:rFonts w:ascii="Microsoft Sans Serif" w:eastAsia="Times New Roman" w:hAnsi="Microsoft Sans Serif" w:cs="Microsoft Sans Serif"/>
                <w:b/>
                <w:sz w:val="20"/>
                <w:szCs w:val="20"/>
                <w:lang w:val="en-US" w:eastAsia="ru-RU"/>
              </w:rPr>
              <w:t>Ru</w:t>
            </w:r>
            <w:r w:rsidR="009D2DE7" w:rsidRPr="00017DBE">
              <w:rPr>
                <w:rFonts w:ascii="Microsoft Sans Serif" w:eastAsia="Times New Roman" w:hAnsi="Microsoft Sans Serif" w:cs="Microsoft Sans Serif"/>
                <w:b/>
                <w:sz w:val="20"/>
                <w:szCs w:val="20"/>
                <w:lang w:val="en-US" w:eastAsia="ru-RU"/>
              </w:rPr>
              <w:t>s</w:t>
            </w:r>
            <w:r w:rsidRPr="00017DBE">
              <w:rPr>
                <w:rFonts w:ascii="Microsoft Sans Serif" w:eastAsia="Times New Roman" w:hAnsi="Microsoft Sans Serif" w:cs="Microsoft Sans Serif"/>
                <w:b/>
                <w:sz w:val="20"/>
                <w:szCs w:val="20"/>
                <w:lang w:val="en-US" w:eastAsia="ru-RU"/>
              </w:rPr>
              <w:t>sia</w:t>
            </w:r>
          </w:p>
        </w:tc>
        <w:tc>
          <w:tcPr>
            <w:tcW w:w="0" w:type="auto"/>
            <w:shd w:val="clear" w:color="auto" w:fill="auto"/>
            <w:vAlign w:val="bottom"/>
          </w:tcPr>
          <w:p w14:paraId="61BE57C4" w14:textId="5E54BBF3" w:rsidR="00004B1D" w:rsidRPr="00017DBE" w:rsidRDefault="00004B1D" w:rsidP="00004B1D">
            <w:pPr>
              <w:rPr>
                <w:rFonts w:ascii="Microsoft Sans Serif" w:hAnsi="Microsoft Sans Serif" w:cs="Microsoft Sans Serif"/>
                <w:sz w:val="20"/>
                <w:szCs w:val="20"/>
                <w:lang w:val="en-US"/>
              </w:rPr>
            </w:pPr>
            <w:r w:rsidRPr="00017DBE">
              <w:rPr>
                <w:rFonts w:ascii="Microsoft Sans Serif" w:hAnsi="Microsoft Sans Serif" w:cs="Microsoft Sans Serif"/>
                <w:sz w:val="20"/>
                <w:szCs w:val="20"/>
                <w:lang w:val="en-US"/>
              </w:rPr>
              <w:t>X</w:t>
            </w:r>
          </w:p>
        </w:tc>
        <w:tc>
          <w:tcPr>
            <w:tcW w:w="0" w:type="auto"/>
            <w:shd w:val="clear" w:color="auto" w:fill="auto"/>
            <w:vAlign w:val="bottom"/>
          </w:tcPr>
          <w:p w14:paraId="5E39E3C7" w14:textId="79BBFB6C" w:rsidR="00004B1D" w:rsidRPr="00017DBE" w:rsidRDefault="009D2DE7" w:rsidP="00004B1D">
            <w:pPr>
              <w:rPr>
                <w:rFonts w:ascii="Microsoft Sans Serif" w:hAnsi="Microsoft Sans Serif" w:cs="Microsoft Sans Serif"/>
                <w:sz w:val="20"/>
                <w:szCs w:val="20"/>
                <w:lang w:val="en-US"/>
              </w:rPr>
            </w:pPr>
            <w:r w:rsidRPr="00017DBE">
              <w:rPr>
                <w:rFonts w:ascii="Microsoft Sans Serif" w:hAnsi="Microsoft Sans Serif" w:cs="Microsoft Sans Serif"/>
                <w:sz w:val="20"/>
                <w:szCs w:val="20"/>
                <w:lang w:val="en-US"/>
              </w:rPr>
              <w:t>X</w:t>
            </w:r>
          </w:p>
        </w:tc>
        <w:tc>
          <w:tcPr>
            <w:tcW w:w="0" w:type="auto"/>
            <w:shd w:val="clear" w:color="auto" w:fill="auto"/>
            <w:vAlign w:val="bottom"/>
          </w:tcPr>
          <w:p w14:paraId="6DE42082" w14:textId="77777777" w:rsidR="00004B1D" w:rsidRPr="00017DBE" w:rsidRDefault="00004B1D" w:rsidP="00004B1D">
            <w:pPr>
              <w:rPr>
                <w:rFonts w:asciiTheme="majorHAnsi" w:hAnsiTheme="majorHAnsi" w:cs="Microsoft Sans Serif"/>
                <w:sz w:val="20"/>
                <w:szCs w:val="20"/>
              </w:rPr>
            </w:pPr>
          </w:p>
        </w:tc>
      </w:tr>
      <w:tr w:rsidR="00004B1D" w:rsidRPr="00012E05" w14:paraId="035CE20B" w14:textId="77777777" w:rsidTr="001B4892">
        <w:trPr>
          <w:trHeight w:val="255"/>
        </w:trPr>
        <w:tc>
          <w:tcPr>
            <w:tcW w:w="0" w:type="auto"/>
            <w:shd w:val="clear" w:color="auto" w:fill="auto"/>
            <w:noWrap/>
            <w:vAlign w:val="bottom"/>
            <w:hideMark/>
          </w:tcPr>
          <w:p w14:paraId="58A1C278" w14:textId="77777777" w:rsidR="00004B1D" w:rsidRPr="00017DBE" w:rsidRDefault="00004B1D" w:rsidP="00004B1D">
            <w:pPr>
              <w:spacing w:after="0" w:line="240" w:lineRule="auto"/>
              <w:rPr>
                <w:rFonts w:ascii="Microsoft Sans Serif" w:eastAsia="Times New Roman" w:hAnsi="Microsoft Sans Serif" w:cs="Microsoft Sans Serif"/>
                <w:b/>
                <w:sz w:val="20"/>
                <w:szCs w:val="20"/>
                <w:lang w:eastAsia="ru-RU"/>
              </w:rPr>
            </w:pPr>
            <w:r w:rsidRPr="00017DBE">
              <w:rPr>
                <w:rFonts w:ascii="Microsoft Sans Serif" w:eastAsia="Times New Roman" w:hAnsi="Microsoft Sans Serif" w:cs="Microsoft Sans Serif"/>
                <w:b/>
                <w:sz w:val="20"/>
                <w:szCs w:val="20"/>
                <w:lang w:eastAsia="ru-RU"/>
              </w:rPr>
              <w:t>Tajikistan</w:t>
            </w:r>
          </w:p>
        </w:tc>
        <w:tc>
          <w:tcPr>
            <w:tcW w:w="0" w:type="auto"/>
            <w:shd w:val="clear" w:color="auto" w:fill="auto"/>
            <w:vAlign w:val="bottom"/>
          </w:tcPr>
          <w:p w14:paraId="43CA9DF5" w14:textId="77777777" w:rsidR="00004B1D" w:rsidRPr="00017DBE" w:rsidRDefault="00004B1D" w:rsidP="00004B1D">
            <w:pPr>
              <w:rPr>
                <w:rFonts w:ascii="Microsoft Sans Serif" w:hAnsi="Microsoft Sans Serif" w:cs="Microsoft Sans Serif"/>
                <w:sz w:val="20"/>
                <w:szCs w:val="20"/>
              </w:rPr>
            </w:pPr>
          </w:p>
        </w:tc>
        <w:tc>
          <w:tcPr>
            <w:tcW w:w="0" w:type="auto"/>
            <w:shd w:val="clear" w:color="auto" w:fill="auto"/>
            <w:vAlign w:val="bottom"/>
          </w:tcPr>
          <w:p w14:paraId="4F1AA887" w14:textId="77777777" w:rsidR="00004B1D" w:rsidRPr="00017DBE" w:rsidRDefault="00004B1D" w:rsidP="00004B1D">
            <w:pPr>
              <w:rPr>
                <w:rFonts w:ascii="Microsoft Sans Serif" w:hAnsi="Microsoft Sans Serif" w:cs="Microsoft Sans Serif"/>
                <w:sz w:val="20"/>
                <w:szCs w:val="20"/>
              </w:rPr>
            </w:pPr>
          </w:p>
        </w:tc>
        <w:tc>
          <w:tcPr>
            <w:tcW w:w="0" w:type="auto"/>
            <w:shd w:val="clear" w:color="auto" w:fill="auto"/>
            <w:vAlign w:val="bottom"/>
          </w:tcPr>
          <w:p w14:paraId="4CC02BCB" w14:textId="77777777" w:rsidR="00004B1D" w:rsidRPr="00017DBE" w:rsidRDefault="00004B1D" w:rsidP="00004B1D">
            <w:pPr>
              <w:rPr>
                <w:rFonts w:asciiTheme="majorHAnsi" w:hAnsiTheme="majorHAnsi" w:cs="Microsoft Sans Serif"/>
                <w:sz w:val="20"/>
                <w:szCs w:val="20"/>
              </w:rPr>
            </w:pPr>
          </w:p>
        </w:tc>
      </w:tr>
      <w:tr w:rsidR="00004B1D" w:rsidRPr="005C79AC" w14:paraId="23B0DE4F" w14:textId="77777777" w:rsidTr="001B4892">
        <w:trPr>
          <w:trHeight w:val="255"/>
        </w:trPr>
        <w:tc>
          <w:tcPr>
            <w:tcW w:w="0" w:type="auto"/>
            <w:shd w:val="clear" w:color="auto" w:fill="auto"/>
            <w:noWrap/>
            <w:vAlign w:val="bottom"/>
            <w:hideMark/>
          </w:tcPr>
          <w:p w14:paraId="5570E1E9" w14:textId="77777777" w:rsidR="00004B1D" w:rsidRPr="00017DBE" w:rsidRDefault="00004B1D" w:rsidP="00004B1D">
            <w:pPr>
              <w:spacing w:after="0" w:line="240" w:lineRule="auto"/>
              <w:rPr>
                <w:rFonts w:ascii="Microsoft Sans Serif" w:eastAsia="Times New Roman" w:hAnsi="Microsoft Sans Serif" w:cs="Microsoft Sans Serif"/>
                <w:b/>
                <w:sz w:val="20"/>
                <w:szCs w:val="20"/>
                <w:lang w:eastAsia="ru-RU"/>
              </w:rPr>
            </w:pPr>
            <w:r w:rsidRPr="00017DBE">
              <w:rPr>
                <w:rFonts w:ascii="Microsoft Sans Serif" w:eastAsia="Times New Roman" w:hAnsi="Microsoft Sans Serif" w:cs="Microsoft Sans Serif"/>
                <w:b/>
                <w:sz w:val="20"/>
                <w:szCs w:val="20"/>
                <w:lang w:eastAsia="ru-RU"/>
              </w:rPr>
              <w:t>Ukraine</w:t>
            </w:r>
          </w:p>
        </w:tc>
        <w:tc>
          <w:tcPr>
            <w:tcW w:w="0" w:type="auto"/>
            <w:shd w:val="clear" w:color="auto" w:fill="auto"/>
            <w:vAlign w:val="bottom"/>
          </w:tcPr>
          <w:p w14:paraId="6FD56299" w14:textId="77777777" w:rsidR="00004B1D" w:rsidRPr="00017DBE" w:rsidRDefault="00004B1D" w:rsidP="00004B1D">
            <w:pPr>
              <w:rPr>
                <w:rFonts w:ascii="Microsoft Sans Serif" w:hAnsi="Microsoft Sans Serif" w:cs="Microsoft Sans Serif"/>
                <w:sz w:val="20"/>
                <w:szCs w:val="20"/>
              </w:rPr>
            </w:pPr>
          </w:p>
        </w:tc>
        <w:tc>
          <w:tcPr>
            <w:tcW w:w="0" w:type="auto"/>
            <w:shd w:val="clear" w:color="auto" w:fill="auto"/>
            <w:vAlign w:val="bottom"/>
          </w:tcPr>
          <w:p w14:paraId="68347CFE" w14:textId="77777777" w:rsidR="00004B1D" w:rsidRPr="00017DBE" w:rsidRDefault="00004B1D" w:rsidP="00004B1D">
            <w:pPr>
              <w:rPr>
                <w:rFonts w:ascii="Microsoft Sans Serif" w:hAnsi="Microsoft Sans Serif" w:cs="Microsoft Sans Serif"/>
                <w:sz w:val="20"/>
                <w:szCs w:val="20"/>
              </w:rPr>
            </w:pPr>
          </w:p>
        </w:tc>
        <w:tc>
          <w:tcPr>
            <w:tcW w:w="0" w:type="auto"/>
            <w:shd w:val="clear" w:color="auto" w:fill="auto"/>
            <w:vAlign w:val="bottom"/>
          </w:tcPr>
          <w:p w14:paraId="40AC0E64" w14:textId="77777777" w:rsidR="00004B1D" w:rsidRPr="00017DBE" w:rsidRDefault="00004B1D" w:rsidP="00004B1D">
            <w:pPr>
              <w:rPr>
                <w:rFonts w:asciiTheme="majorHAnsi" w:hAnsiTheme="majorHAnsi" w:cs="Microsoft Sans Serif"/>
                <w:sz w:val="20"/>
                <w:szCs w:val="20"/>
                <w:lang w:val="en-US"/>
              </w:rPr>
            </w:pPr>
            <w:r w:rsidRPr="00017DBE">
              <w:rPr>
                <w:rFonts w:asciiTheme="majorHAnsi" w:hAnsiTheme="majorHAnsi" w:cs="Microsoft Sans Serif"/>
                <w:sz w:val="20"/>
                <w:szCs w:val="20"/>
                <w:lang w:val="en-US"/>
              </w:rPr>
              <w:t>Resolution of the Cabinet of Ministers of Ukraine 23.04.2014 №117</w:t>
            </w:r>
          </w:p>
        </w:tc>
      </w:tr>
      <w:tr w:rsidR="00004B1D" w:rsidRPr="00045C28" w14:paraId="1A80DB29" w14:textId="77777777" w:rsidTr="001B4892">
        <w:trPr>
          <w:trHeight w:val="255"/>
        </w:trPr>
        <w:tc>
          <w:tcPr>
            <w:tcW w:w="0" w:type="auto"/>
            <w:shd w:val="clear" w:color="auto" w:fill="auto"/>
            <w:noWrap/>
            <w:vAlign w:val="bottom"/>
          </w:tcPr>
          <w:p w14:paraId="534D3738" w14:textId="0AFB0646" w:rsidR="00004B1D" w:rsidRPr="00017DBE" w:rsidRDefault="009D2DE7" w:rsidP="00004B1D">
            <w:pPr>
              <w:spacing w:after="0" w:line="240" w:lineRule="auto"/>
              <w:rPr>
                <w:rFonts w:ascii="Microsoft Sans Serif" w:eastAsia="Times New Roman" w:hAnsi="Microsoft Sans Serif" w:cs="Microsoft Sans Serif"/>
                <w:b/>
                <w:sz w:val="20"/>
                <w:szCs w:val="20"/>
                <w:lang w:val="en-US" w:eastAsia="ru-RU"/>
              </w:rPr>
            </w:pPr>
            <w:r w:rsidRPr="00017DBE">
              <w:rPr>
                <w:rFonts w:ascii="Microsoft Sans Serif" w:eastAsia="Times New Roman" w:hAnsi="Microsoft Sans Serif" w:cs="Microsoft Sans Serif"/>
                <w:b/>
                <w:sz w:val="20"/>
                <w:szCs w:val="20"/>
                <w:lang w:val="en-US" w:eastAsia="ru-RU"/>
              </w:rPr>
              <w:t>Total</w:t>
            </w:r>
          </w:p>
        </w:tc>
        <w:tc>
          <w:tcPr>
            <w:tcW w:w="0" w:type="auto"/>
            <w:shd w:val="clear" w:color="auto" w:fill="auto"/>
            <w:vAlign w:val="bottom"/>
          </w:tcPr>
          <w:p w14:paraId="4B6EC78A" w14:textId="77777777" w:rsidR="00004B1D" w:rsidRPr="00017DBE" w:rsidRDefault="00004B1D" w:rsidP="00004B1D">
            <w:pPr>
              <w:rPr>
                <w:rFonts w:ascii="Microsoft Sans Serif" w:hAnsi="Microsoft Sans Serif" w:cs="Microsoft Sans Serif"/>
                <w:b/>
                <w:sz w:val="20"/>
                <w:szCs w:val="20"/>
                <w:lang w:val="en-US"/>
              </w:rPr>
            </w:pPr>
            <w:r w:rsidRPr="00017DBE">
              <w:rPr>
                <w:rFonts w:ascii="Microsoft Sans Serif" w:hAnsi="Microsoft Sans Serif" w:cs="Microsoft Sans Serif"/>
                <w:b/>
                <w:sz w:val="20"/>
                <w:szCs w:val="20"/>
                <w:lang w:val="en-US"/>
              </w:rPr>
              <w:t>4</w:t>
            </w:r>
          </w:p>
        </w:tc>
        <w:tc>
          <w:tcPr>
            <w:tcW w:w="0" w:type="auto"/>
            <w:shd w:val="clear" w:color="auto" w:fill="auto"/>
            <w:vAlign w:val="bottom"/>
          </w:tcPr>
          <w:p w14:paraId="73E9D31E" w14:textId="77777777" w:rsidR="00004B1D" w:rsidRPr="00017DBE" w:rsidRDefault="00004B1D" w:rsidP="00004B1D">
            <w:pPr>
              <w:rPr>
                <w:rFonts w:ascii="Microsoft Sans Serif" w:hAnsi="Microsoft Sans Serif" w:cs="Microsoft Sans Serif"/>
                <w:b/>
                <w:sz w:val="20"/>
                <w:szCs w:val="20"/>
              </w:rPr>
            </w:pPr>
            <w:r w:rsidRPr="00017DBE">
              <w:rPr>
                <w:rFonts w:ascii="Microsoft Sans Serif" w:hAnsi="Microsoft Sans Serif" w:cs="Microsoft Sans Serif"/>
                <w:b/>
                <w:sz w:val="20"/>
                <w:szCs w:val="20"/>
              </w:rPr>
              <w:t>5</w:t>
            </w:r>
          </w:p>
        </w:tc>
        <w:tc>
          <w:tcPr>
            <w:tcW w:w="0" w:type="auto"/>
            <w:shd w:val="clear" w:color="auto" w:fill="auto"/>
            <w:vAlign w:val="bottom"/>
          </w:tcPr>
          <w:p w14:paraId="6C552BDE" w14:textId="52B1EA4C" w:rsidR="00004B1D" w:rsidRPr="00017DBE" w:rsidRDefault="009D2DE7" w:rsidP="00004B1D">
            <w:pPr>
              <w:rPr>
                <w:rFonts w:ascii="Microsoft Sans Serif" w:hAnsi="Microsoft Sans Serif" w:cs="Microsoft Sans Serif"/>
                <w:b/>
                <w:sz w:val="20"/>
                <w:szCs w:val="20"/>
                <w:lang w:val="en-US"/>
              </w:rPr>
            </w:pPr>
            <w:r w:rsidRPr="00017DBE">
              <w:rPr>
                <w:rFonts w:ascii="Microsoft Sans Serif" w:hAnsi="Microsoft Sans Serif" w:cs="Microsoft Sans Serif"/>
                <w:b/>
                <w:sz w:val="20"/>
                <w:szCs w:val="20"/>
                <w:lang w:val="en-US"/>
              </w:rPr>
              <w:t>5</w:t>
            </w:r>
          </w:p>
        </w:tc>
      </w:tr>
    </w:tbl>
    <w:p w14:paraId="7EC64D97" w14:textId="77777777" w:rsidR="002B0D1B" w:rsidRPr="009326D3" w:rsidRDefault="002B0D1B">
      <w:pPr>
        <w:spacing w:after="0" w:line="240" w:lineRule="auto"/>
        <w:rPr>
          <w:rFonts w:ascii="Times New Roman" w:hAnsi="Times New Roman" w:cs="Times New Roman"/>
          <w:sz w:val="24"/>
          <w:szCs w:val="24"/>
        </w:rPr>
      </w:pPr>
    </w:p>
    <w:p w14:paraId="189B9018" w14:textId="24794F4B" w:rsidR="002B0D1B" w:rsidRPr="009326D3" w:rsidRDefault="00194528" w:rsidP="002B0D1B">
      <w:pPr>
        <w:rPr>
          <w:rFonts w:ascii="Times New Roman" w:hAnsi="Times New Roman" w:cs="Times New Roman"/>
          <w:b/>
          <w:i/>
          <w:sz w:val="24"/>
          <w:szCs w:val="24"/>
          <w:lang w:val="en-US"/>
        </w:rPr>
      </w:pPr>
      <w:r w:rsidRPr="009326D3">
        <w:rPr>
          <w:rFonts w:ascii="Times New Roman" w:hAnsi="Times New Roman" w:cs="Times New Roman"/>
          <w:b/>
          <w:i/>
          <w:sz w:val="24"/>
          <w:szCs w:val="24"/>
          <w:lang w:val="en-US"/>
        </w:rPr>
        <w:lastRenderedPageBreak/>
        <w:t>Q3</w:t>
      </w:r>
      <w:r w:rsidR="002B0D1B" w:rsidRPr="009326D3">
        <w:rPr>
          <w:rFonts w:ascii="Times New Roman" w:hAnsi="Times New Roman" w:cs="Times New Roman"/>
          <w:b/>
          <w:i/>
          <w:sz w:val="24"/>
          <w:szCs w:val="24"/>
          <w:lang w:val="en-US"/>
        </w:rPr>
        <w:t>. Where are MDAs required to register pre-commitments?</w:t>
      </w:r>
    </w:p>
    <w:p w14:paraId="3EFD5FEB" w14:textId="4F02281B" w:rsidR="00FA4947" w:rsidRPr="009326D3" w:rsidRDefault="00370EA8" w:rsidP="002B0D1B">
      <w:pPr>
        <w:rPr>
          <w:rFonts w:ascii="Times New Roman" w:hAnsi="Times New Roman" w:cs="Times New Roman"/>
          <w:sz w:val="24"/>
          <w:szCs w:val="24"/>
          <w:lang w:val="en-US"/>
        </w:rPr>
      </w:pPr>
      <w:r w:rsidRPr="009326D3">
        <w:rPr>
          <w:rFonts w:ascii="Times New Roman" w:hAnsi="Times New Roman" w:cs="Times New Roman"/>
          <w:sz w:val="24"/>
          <w:szCs w:val="24"/>
          <w:lang w:val="en-US"/>
        </w:rPr>
        <w:t>The recording of a pre-commitment, sometimes referred to as a requisition, can be useful for planning and budget execution control. However, if it is to</w:t>
      </w:r>
      <w:r w:rsidR="008A7117">
        <w:rPr>
          <w:rFonts w:ascii="Times New Roman" w:hAnsi="Times New Roman" w:cs="Times New Roman"/>
          <w:sz w:val="24"/>
          <w:szCs w:val="24"/>
          <w:lang w:val="en-US"/>
        </w:rPr>
        <w:t xml:space="preserve"> be useful it must be recorded </w:t>
      </w:r>
      <w:r w:rsidRPr="009326D3">
        <w:rPr>
          <w:rFonts w:ascii="Times New Roman" w:hAnsi="Times New Roman" w:cs="Times New Roman"/>
          <w:sz w:val="24"/>
          <w:szCs w:val="24"/>
          <w:lang w:val="en-US"/>
        </w:rPr>
        <w:t xml:space="preserve">and available for reporting and analysis. Figure 1 shows a variety of responses from the eight countries that indicated they had pre-commitments. Two countries record pre-commitments in the central FMIS only. Four countries record pre-commitments in the procurement system and either the central FMIS or a </w:t>
      </w:r>
      <w:r w:rsidR="00E610FE" w:rsidRPr="009326D3">
        <w:rPr>
          <w:rFonts w:ascii="Times New Roman" w:hAnsi="Times New Roman" w:cs="Times New Roman"/>
          <w:sz w:val="24"/>
          <w:szCs w:val="24"/>
          <w:lang w:val="en-US"/>
        </w:rPr>
        <w:t>MDA</w:t>
      </w:r>
      <w:r w:rsidR="00021998" w:rsidRPr="009326D3">
        <w:rPr>
          <w:rFonts w:ascii="Times New Roman" w:hAnsi="Times New Roman" w:cs="Times New Roman"/>
          <w:sz w:val="24"/>
          <w:szCs w:val="24"/>
          <w:lang w:val="en-US"/>
        </w:rPr>
        <w:t xml:space="preserve"> FMIS; one country records</w:t>
      </w:r>
      <w:r w:rsidRPr="009326D3">
        <w:rPr>
          <w:rFonts w:ascii="Times New Roman" w:hAnsi="Times New Roman" w:cs="Times New Roman"/>
          <w:sz w:val="24"/>
          <w:szCs w:val="24"/>
          <w:lang w:val="en-US"/>
        </w:rPr>
        <w:t xml:space="preserve"> pre-commitments in both the central and </w:t>
      </w:r>
      <w:r w:rsidR="00E610FE" w:rsidRPr="009326D3">
        <w:rPr>
          <w:rFonts w:ascii="Times New Roman" w:hAnsi="Times New Roman" w:cs="Times New Roman"/>
          <w:sz w:val="24"/>
          <w:szCs w:val="24"/>
          <w:lang w:val="en-US"/>
        </w:rPr>
        <w:t>MDA</w:t>
      </w:r>
      <w:r w:rsidRPr="009326D3">
        <w:rPr>
          <w:rFonts w:ascii="Times New Roman" w:hAnsi="Times New Roman" w:cs="Times New Roman"/>
          <w:sz w:val="24"/>
          <w:szCs w:val="24"/>
          <w:lang w:val="en-US"/>
        </w:rPr>
        <w:t xml:space="preserve"> FMIS</w:t>
      </w:r>
      <w:r w:rsidR="008A7117">
        <w:rPr>
          <w:rFonts w:ascii="Times New Roman" w:hAnsi="Times New Roman" w:cs="Times New Roman"/>
          <w:sz w:val="24"/>
          <w:szCs w:val="24"/>
          <w:lang w:val="en-US"/>
        </w:rPr>
        <w:t>,</w:t>
      </w:r>
      <w:r w:rsidRPr="009326D3">
        <w:rPr>
          <w:rFonts w:ascii="Times New Roman" w:hAnsi="Times New Roman" w:cs="Times New Roman"/>
          <w:sz w:val="24"/>
          <w:szCs w:val="24"/>
          <w:lang w:val="en-US"/>
        </w:rPr>
        <w:t xml:space="preserve"> and a further country records pre-commitments only in a register in the </w:t>
      </w:r>
      <w:r w:rsidR="00E610FE" w:rsidRPr="009326D3">
        <w:rPr>
          <w:rFonts w:ascii="Times New Roman" w:hAnsi="Times New Roman" w:cs="Times New Roman"/>
          <w:sz w:val="24"/>
          <w:szCs w:val="24"/>
          <w:lang w:val="en-US"/>
        </w:rPr>
        <w:t>MDA</w:t>
      </w:r>
      <w:r w:rsidRPr="009326D3">
        <w:rPr>
          <w:rFonts w:ascii="Times New Roman" w:hAnsi="Times New Roman" w:cs="Times New Roman"/>
          <w:sz w:val="24"/>
          <w:szCs w:val="24"/>
          <w:lang w:val="en-US"/>
        </w:rPr>
        <w:t xml:space="preserve">.   </w:t>
      </w:r>
    </w:p>
    <w:p w14:paraId="26AE19EA" w14:textId="3671DDFF" w:rsidR="00FA4947" w:rsidRPr="009326D3" w:rsidRDefault="00FA4947" w:rsidP="002B0D1B">
      <w:pPr>
        <w:rPr>
          <w:rFonts w:ascii="Times New Roman" w:hAnsi="Times New Roman" w:cs="Times New Roman"/>
          <w:i/>
          <w:color w:val="4F81BD" w:themeColor="accent1"/>
          <w:sz w:val="24"/>
          <w:szCs w:val="24"/>
          <w:lang w:val="en-US"/>
        </w:rPr>
      </w:pPr>
      <w:r w:rsidRPr="009326D3">
        <w:rPr>
          <w:rFonts w:ascii="Times New Roman" w:hAnsi="Times New Roman" w:cs="Times New Roman"/>
          <w:i/>
          <w:color w:val="4F81BD" w:themeColor="accent1"/>
          <w:sz w:val="24"/>
          <w:szCs w:val="24"/>
          <w:lang w:val="en-US"/>
        </w:rPr>
        <w:t>F</w:t>
      </w:r>
      <w:r w:rsidR="001B4892" w:rsidRPr="009326D3">
        <w:rPr>
          <w:rFonts w:ascii="Times New Roman" w:hAnsi="Times New Roman" w:cs="Times New Roman"/>
          <w:i/>
          <w:color w:val="4F81BD" w:themeColor="accent1"/>
          <w:sz w:val="24"/>
          <w:szCs w:val="24"/>
          <w:lang w:val="en-US"/>
        </w:rPr>
        <w:t>igure 2</w:t>
      </w:r>
      <w:r w:rsidRPr="009326D3">
        <w:rPr>
          <w:rFonts w:ascii="Times New Roman" w:hAnsi="Times New Roman" w:cs="Times New Roman"/>
          <w:i/>
          <w:color w:val="4F81BD" w:themeColor="accent1"/>
          <w:sz w:val="24"/>
          <w:szCs w:val="24"/>
          <w:lang w:val="en-US"/>
        </w:rPr>
        <w:t xml:space="preserve"> – Recording of Pre-Commitments</w:t>
      </w:r>
    </w:p>
    <w:p w14:paraId="0024FFDA" w14:textId="10497B5F" w:rsidR="00FA4947" w:rsidRPr="00094AFF" w:rsidRDefault="00FA4947" w:rsidP="002B0D1B">
      <w:pPr>
        <w:rPr>
          <w:b/>
          <w:u w:val="single"/>
          <w:lang w:val="en-US"/>
        </w:rPr>
      </w:pPr>
      <w:r>
        <w:rPr>
          <w:noProof/>
          <w:lang w:val="en-US"/>
        </w:rPr>
        <w:drawing>
          <wp:inline distT="0" distB="0" distL="0" distR="0" wp14:anchorId="6E0EA80D" wp14:editId="2B55FE08">
            <wp:extent cx="3766820" cy="2166620"/>
            <wp:effectExtent l="0" t="0" r="1778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4AB105" w14:textId="7775CBE7" w:rsidR="00194528" w:rsidRPr="009326D3" w:rsidRDefault="00194528" w:rsidP="00194528">
      <w:pPr>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Q4.  Briefly summarise what the pre-commitment stage requires in your country</w:t>
      </w:r>
    </w:p>
    <w:p w14:paraId="30F28980" w14:textId="6880A1FF" w:rsidR="00021998" w:rsidRPr="009326D3" w:rsidRDefault="00BC305F">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Seven</w:t>
      </w:r>
      <w:r w:rsidR="00194528" w:rsidRPr="009326D3">
        <w:rPr>
          <w:rFonts w:ascii="Times New Roman" w:hAnsi="Times New Roman" w:cs="Times New Roman"/>
          <w:sz w:val="24"/>
          <w:szCs w:val="24"/>
        </w:rPr>
        <w:t xml:space="preserve"> countries provided written responses to this question</w:t>
      </w:r>
      <w:r w:rsidRPr="009326D3">
        <w:rPr>
          <w:rFonts w:ascii="Times New Roman" w:hAnsi="Times New Roman" w:cs="Times New Roman"/>
          <w:sz w:val="24"/>
          <w:szCs w:val="24"/>
        </w:rPr>
        <w:t xml:space="preserve">. </w:t>
      </w:r>
      <w:r w:rsidR="00BB6B00" w:rsidRPr="009326D3">
        <w:rPr>
          <w:rFonts w:ascii="Times New Roman" w:hAnsi="Times New Roman" w:cs="Times New Roman"/>
          <w:sz w:val="24"/>
          <w:szCs w:val="24"/>
        </w:rPr>
        <w:t xml:space="preserve"> In the main the responses to this question related to budget planning rather than budget execution. The exception was </w:t>
      </w:r>
      <w:r w:rsidRPr="009326D3">
        <w:rPr>
          <w:rFonts w:ascii="Times New Roman" w:hAnsi="Times New Roman" w:cs="Times New Roman"/>
          <w:sz w:val="24"/>
          <w:szCs w:val="24"/>
        </w:rPr>
        <w:t>Albania</w:t>
      </w:r>
      <w:r w:rsidR="00BB6B00" w:rsidRPr="009326D3">
        <w:rPr>
          <w:rFonts w:ascii="Times New Roman" w:hAnsi="Times New Roman" w:cs="Times New Roman"/>
          <w:sz w:val="24"/>
          <w:szCs w:val="24"/>
        </w:rPr>
        <w:t>, which</w:t>
      </w:r>
      <w:r w:rsidRPr="009326D3">
        <w:rPr>
          <w:rFonts w:ascii="Times New Roman" w:hAnsi="Times New Roman" w:cs="Times New Roman"/>
          <w:sz w:val="24"/>
          <w:szCs w:val="24"/>
        </w:rPr>
        <w:t xml:space="preserve"> indicated that pre-commitments provide an overall budget control mechanism. Only spending that is within </w:t>
      </w:r>
      <w:r w:rsidR="008A7117">
        <w:rPr>
          <w:rFonts w:ascii="Times New Roman" w:hAnsi="Times New Roman" w:cs="Times New Roman"/>
          <w:sz w:val="24"/>
          <w:szCs w:val="24"/>
        </w:rPr>
        <w:t xml:space="preserve">the </w:t>
      </w:r>
      <w:r w:rsidRPr="009326D3">
        <w:rPr>
          <w:rFonts w:ascii="Times New Roman" w:hAnsi="Times New Roman" w:cs="Times New Roman"/>
          <w:sz w:val="24"/>
          <w:szCs w:val="24"/>
        </w:rPr>
        <w:t>medium term budget planning framework is allowed to progress to the commitment stage. Russia, Montenegro</w:t>
      </w:r>
      <w:r w:rsidR="00BB6B00" w:rsidRPr="009326D3">
        <w:rPr>
          <w:rFonts w:ascii="Times New Roman" w:hAnsi="Times New Roman" w:cs="Times New Roman"/>
          <w:sz w:val="24"/>
          <w:szCs w:val="24"/>
        </w:rPr>
        <w:t>,</w:t>
      </w:r>
      <w:r w:rsidRPr="009326D3">
        <w:rPr>
          <w:rFonts w:ascii="Times New Roman" w:hAnsi="Times New Roman" w:cs="Times New Roman"/>
          <w:sz w:val="24"/>
          <w:szCs w:val="24"/>
        </w:rPr>
        <w:t xml:space="preserve"> Kazakhstan</w:t>
      </w:r>
      <w:r w:rsidR="00BB6B00" w:rsidRPr="009326D3">
        <w:rPr>
          <w:rFonts w:ascii="Times New Roman" w:hAnsi="Times New Roman" w:cs="Times New Roman"/>
          <w:sz w:val="24"/>
          <w:szCs w:val="24"/>
        </w:rPr>
        <w:t xml:space="preserve"> and the Kyrgyz Republic</w:t>
      </w:r>
      <w:r w:rsidRPr="009326D3">
        <w:rPr>
          <w:rFonts w:ascii="Times New Roman" w:hAnsi="Times New Roman" w:cs="Times New Roman"/>
          <w:sz w:val="24"/>
          <w:szCs w:val="24"/>
        </w:rPr>
        <w:t xml:space="preserve"> indicated that pre-commitments are part of the overall procurement </w:t>
      </w:r>
      <w:r w:rsidR="00BB6B00" w:rsidRPr="009326D3">
        <w:rPr>
          <w:rFonts w:ascii="Times New Roman" w:hAnsi="Times New Roman" w:cs="Times New Roman"/>
          <w:sz w:val="24"/>
          <w:szCs w:val="24"/>
        </w:rPr>
        <w:t xml:space="preserve">and budget planning </w:t>
      </w:r>
      <w:r w:rsidRPr="009326D3">
        <w:rPr>
          <w:rFonts w:ascii="Times New Roman" w:hAnsi="Times New Roman" w:cs="Times New Roman"/>
          <w:sz w:val="24"/>
          <w:szCs w:val="24"/>
        </w:rPr>
        <w:t>process.  Croatia indicated that it has a number of different categories of reservation</w:t>
      </w:r>
      <w:r w:rsidR="008A7117">
        <w:rPr>
          <w:rFonts w:ascii="Times New Roman" w:hAnsi="Times New Roman" w:cs="Times New Roman"/>
          <w:sz w:val="24"/>
          <w:szCs w:val="24"/>
        </w:rPr>
        <w:t>s</w:t>
      </w:r>
      <w:r w:rsidRPr="009326D3">
        <w:rPr>
          <w:rFonts w:ascii="Times New Roman" w:hAnsi="Times New Roman" w:cs="Times New Roman"/>
          <w:sz w:val="24"/>
          <w:szCs w:val="24"/>
        </w:rPr>
        <w:t xml:space="preserve"> within the accounting system to cover different types of liabilities.</w:t>
      </w:r>
      <w:r w:rsidRPr="009326D3">
        <w:rPr>
          <w:rStyle w:val="FootnoteReference"/>
          <w:rFonts w:ascii="Times New Roman" w:hAnsi="Times New Roman" w:cs="Times New Roman"/>
          <w:sz w:val="24"/>
          <w:szCs w:val="24"/>
        </w:rPr>
        <w:footnoteReference w:id="11"/>
      </w:r>
      <w:r w:rsidRPr="009326D3">
        <w:rPr>
          <w:rFonts w:ascii="Times New Roman" w:hAnsi="Times New Roman" w:cs="Times New Roman"/>
          <w:sz w:val="24"/>
          <w:szCs w:val="24"/>
        </w:rPr>
        <w:t xml:space="preserve"> </w:t>
      </w:r>
      <w:r w:rsidR="00BB6B00" w:rsidRPr="009326D3">
        <w:rPr>
          <w:rFonts w:ascii="Times New Roman" w:hAnsi="Times New Roman" w:cs="Times New Roman"/>
          <w:sz w:val="24"/>
          <w:szCs w:val="24"/>
        </w:rPr>
        <w:t xml:space="preserve">Macedonia indicated that this stage was entirely devolved and up to each </w:t>
      </w:r>
      <w:r w:rsidR="00E610FE" w:rsidRPr="009326D3">
        <w:rPr>
          <w:rFonts w:ascii="Times New Roman" w:hAnsi="Times New Roman" w:cs="Times New Roman"/>
          <w:sz w:val="24"/>
          <w:szCs w:val="24"/>
        </w:rPr>
        <w:t>MDA</w:t>
      </w:r>
      <w:r w:rsidR="00BB6B00" w:rsidRPr="009326D3">
        <w:rPr>
          <w:rFonts w:ascii="Times New Roman" w:hAnsi="Times New Roman" w:cs="Times New Roman"/>
          <w:sz w:val="24"/>
          <w:szCs w:val="24"/>
        </w:rPr>
        <w:t xml:space="preserve"> to define. </w:t>
      </w:r>
    </w:p>
    <w:p w14:paraId="54082530" w14:textId="77777777" w:rsidR="00BB6B00" w:rsidRPr="009326D3" w:rsidRDefault="00BB6B00">
      <w:pPr>
        <w:spacing w:after="0" w:line="240" w:lineRule="auto"/>
        <w:rPr>
          <w:rFonts w:ascii="Times New Roman" w:hAnsi="Times New Roman" w:cs="Times New Roman"/>
          <w:sz w:val="24"/>
          <w:szCs w:val="24"/>
        </w:rPr>
      </w:pPr>
    </w:p>
    <w:p w14:paraId="32C64B96" w14:textId="16B6CF67" w:rsidR="00BB6B00" w:rsidRPr="009326D3" w:rsidRDefault="00BB6B00">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 xml:space="preserve">The open nature of this question and the broad description regarding pre-commitments has probably reduced the effectiveness of the responses </w:t>
      </w:r>
      <w:r w:rsidR="008525DD" w:rsidRPr="009326D3">
        <w:rPr>
          <w:rFonts w:ascii="Times New Roman" w:hAnsi="Times New Roman" w:cs="Times New Roman"/>
          <w:sz w:val="24"/>
          <w:szCs w:val="24"/>
        </w:rPr>
        <w:t xml:space="preserve">from countries. This section may lend itself to a more specific country-by country process analysis to better define each of the steps involved. </w:t>
      </w:r>
    </w:p>
    <w:p w14:paraId="6D5F3687" w14:textId="77777777" w:rsidR="00194528" w:rsidRPr="009326D3" w:rsidRDefault="00194528">
      <w:pPr>
        <w:spacing w:after="0" w:line="240" w:lineRule="auto"/>
        <w:rPr>
          <w:rFonts w:ascii="Times New Roman" w:hAnsi="Times New Roman" w:cs="Times New Roman"/>
          <w:sz w:val="24"/>
          <w:szCs w:val="24"/>
        </w:rPr>
      </w:pPr>
    </w:p>
    <w:p w14:paraId="6AE9DB00" w14:textId="28837EDF" w:rsidR="00021998" w:rsidRPr="009326D3" w:rsidRDefault="00021998">
      <w:pPr>
        <w:spacing w:after="0" w:line="240" w:lineRule="auto"/>
        <w:rPr>
          <w:rFonts w:ascii="Times New Roman" w:hAnsi="Times New Roman" w:cs="Times New Roman"/>
          <w:b/>
          <w:color w:val="4F81BD" w:themeColor="accent1"/>
          <w:sz w:val="24"/>
          <w:szCs w:val="24"/>
        </w:rPr>
      </w:pPr>
      <w:r w:rsidRPr="009326D3">
        <w:rPr>
          <w:rFonts w:ascii="Times New Roman" w:hAnsi="Times New Roman" w:cs="Times New Roman"/>
          <w:b/>
          <w:color w:val="4F81BD" w:themeColor="accent1"/>
          <w:sz w:val="24"/>
          <w:szCs w:val="24"/>
        </w:rPr>
        <w:t>Conclusions</w:t>
      </w:r>
    </w:p>
    <w:p w14:paraId="7F5D1546" w14:textId="77777777" w:rsidR="00C30A6E" w:rsidRPr="008A7117" w:rsidRDefault="00C30A6E" w:rsidP="00C30A6E">
      <w:pPr>
        <w:spacing w:after="0" w:line="240" w:lineRule="auto"/>
        <w:rPr>
          <w:rFonts w:ascii="Times New Roman" w:hAnsi="Times New Roman" w:cs="Times New Roman"/>
          <w:sz w:val="24"/>
          <w:szCs w:val="24"/>
        </w:rPr>
      </w:pPr>
    </w:p>
    <w:p w14:paraId="02220595" w14:textId="5A75EC02" w:rsidR="00021998" w:rsidRPr="008A7117" w:rsidRDefault="00021998" w:rsidP="00C30A6E">
      <w:pPr>
        <w:spacing w:after="0" w:line="240" w:lineRule="auto"/>
        <w:rPr>
          <w:rFonts w:ascii="Times New Roman" w:hAnsi="Times New Roman" w:cs="Times New Roman"/>
          <w:sz w:val="24"/>
          <w:szCs w:val="24"/>
        </w:rPr>
      </w:pPr>
      <w:r w:rsidRPr="008A7117">
        <w:rPr>
          <w:rFonts w:ascii="Times New Roman" w:hAnsi="Times New Roman" w:cs="Times New Roman"/>
          <w:sz w:val="24"/>
          <w:szCs w:val="24"/>
        </w:rPr>
        <w:t>There appears to be some misunderstanding regarding what is meant by pre-commitment, given six of fourteen countries indicated they do not have any formal elements in this process. Most countries should have some element of pre-commitment, as this is part of procurement</w:t>
      </w:r>
      <w:r w:rsidR="00BB6B00" w:rsidRPr="008A7117">
        <w:rPr>
          <w:rFonts w:ascii="Times New Roman" w:hAnsi="Times New Roman" w:cs="Times New Roman"/>
          <w:sz w:val="24"/>
          <w:szCs w:val="24"/>
        </w:rPr>
        <w:t xml:space="preserve">. Even </w:t>
      </w:r>
      <w:r w:rsidR="008A7117" w:rsidRPr="008A7117">
        <w:rPr>
          <w:rFonts w:ascii="Times New Roman" w:hAnsi="Times New Roman" w:cs="Times New Roman"/>
          <w:sz w:val="24"/>
          <w:szCs w:val="24"/>
        </w:rPr>
        <w:t xml:space="preserve">those countries that responded </w:t>
      </w:r>
      <w:r w:rsidR="00BB6B00" w:rsidRPr="008A7117">
        <w:rPr>
          <w:rFonts w:ascii="Times New Roman" w:hAnsi="Times New Roman" w:cs="Times New Roman"/>
          <w:sz w:val="24"/>
          <w:szCs w:val="24"/>
        </w:rPr>
        <w:t>generally interpreted pre-commitment to be part of budget planning rather than budget execution</w:t>
      </w:r>
      <w:r w:rsidR="008A7117" w:rsidRPr="008A7117">
        <w:rPr>
          <w:rFonts w:ascii="Times New Roman" w:hAnsi="Times New Roman" w:cs="Times New Roman"/>
          <w:sz w:val="24"/>
          <w:szCs w:val="24"/>
        </w:rPr>
        <w:t xml:space="preserve"> control</w:t>
      </w:r>
      <w:r w:rsidR="00C30A6E" w:rsidRPr="008A7117">
        <w:rPr>
          <w:rFonts w:ascii="Times New Roman" w:hAnsi="Times New Roman" w:cs="Times New Roman"/>
          <w:sz w:val="24"/>
          <w:szCs w:val="24"/>
        </w:rPr>
        <w:t>.</w:t>
      </w:r>
      <w:r w:rsidR="006569A7">
        <w:rPr>
          <w:rFonts w:ascii="Times New Roman" w:hAnsi="Times New Roman" w:cs="Times New Roman"/>
          <w:sz w:val="24"/>
          <w:szCs w:val="24"/>
        </w:rPr>
        <w:t xml:space="preserve"> This section of the questionnaire was designed to determine whether pre-</w:t>
      </w:r>
      <w:r w:rsidR="006569A7">
        <w:rPr>
          <w:rFonts w:ascii="Times New Roman" w:hAnsi="Times New Roman" w:cs="Times New Roman"/>
          <w:sz w:val="24"/>
          <w:szCs w:val="24"/>
        </w:rPr>
        <w:lastRenderedPageBreak/>
        <w:t>commitment financial controls are in place in respondent countries. This may have become lost in the references to procurement processes which are much broader.</w:t>
      </w:r>
    </w:p>
    <w:p w14:paraId="7F57AED9" w14:textId="77777777" w:rsidR="00C30A6E" w:rsidRPr="008A7117" w:rsidRDefault="00C30A6E" w:rsidP="00C30A6E">
      <w:pPr>
        <w:spacing w:after="0" w:line="240" w:lineRule="auto"/>
        <w:rPr>
          <w:rFonts w:ascii="Times New Roman" w:hAnsi="Times New Roman" w:cs="Times New Roman"/>
          <w:sz w:val="24"/>
          <w:szCs w:val="24"/>
        </w:rPr>
      </w:pPr>
    </w:p>
    <w:p w14:paraId="6A64D2B8" w14:textId="1116F009" w:rsidR="00021998" w:rsidRPr="008A7117" w:rsidRDefault="00021998" w:rsidP="00C30A6E">
      <w:pPr>
        <w:spacing w:after="0" w:line="240" w:lineRule="auto"/>
        <w:rPr>
          <w:rFonts w:ascii="Times New Roman" w:hAnsi="Times New Roman" w:cs="Times New Roman"/>
          <w:sz w:val="24"/>
          <w:szCs w:val="24"/>
        </w:rPr>
      </w:pPr>
      <w:r w:rsidRPr="008A7117">
        <w:rPr>
          <w:rFonts w:ascii="Times New Roman" w:hAnsi="Times New Roman" w:cs="Times New Roman"/>
          <w:sz w:val="24"/>
          <w:szCs w:val="24"/>
        </w:rPr>
        <w:t>Countries have a variety of w</w:t>
      </w:r>
      <w:r w:rsidR="006569A7">
        <w:rPr>
          <w:rFonts w:ascii="Times New Roman" w:hAnsi="Times New Roman" w:cs="Times New Roman"/>
          <w:sz w:val="24"/>
          <w:szCs w:val="24"/>
        </w:rPr>
        <w:t xml:space="preserve">ays of defining pre-commitment </w:t>
      </w:r>
      <w:r w:rsidRPr="008A7117">
        <w:rPr>
          <w:rFonts w:ascii="Times New Roman" w:hAnsi="Times New Roman" w:cs="Times New Roman"/>
          <w:sz w:val="24"/>
          <w:szCs w:val="24"/>
        </w:rPr>
        <w:t>including PFM and procurement laws and in some cases other legislative instruments. A number define pre-</w:t>
      </w:r>
      <w:r w:rsidR="00C30A6E" w:rsidRPr="008A7117">
        <w:rPr>
          <w:rFonts w:ascii="Times New Roman" w:hAnsi="Times New Roman" w:cs="Times New Roman"/>
          <w:sz w:val="24"/>
          <w:szCs w:val="24"/>
        </w:rPr>
        <w:t>commitments in a number of laws.</w:t>
      </w:r>
      <w:r w:rsidRPr="008A7117">
        <w:rPr>
          <w:rFonts w:ascii="Times New Roman" w:hAnsi="Times New Roman" w:cs="Times New Roman"/>
          <w:sz w:val="24"/>
          <w:szCs w:val="24"/>
        </w:rPr>
        <w:t xml:space="preserve"> </w:t>
      </w:r>
    </w:p>
    <w:p w14:paraId="56219665" w14:textId="77777777" w:rsidR="00C30A6E" w:rsidRPr="008A7117" w:rsidRDefault="00C30A6E" w:rsidP="00C30A6E">
      <w:pPr>
        <w:spacing w:after="0" w:line="240" w:lineRule="auto"/>
        <w:rPr>
          <w:rFonts w:ascii="Times New Roman" w:hAnsi="Times New Roman" w:cs="Times New Roman"/>
          <w:sz w:val="24"/>
          <w:szCs w:val="24"/>
        </w:rPr>
      </w:pPr>
    </w:p>
    <w:p w14:paraId="2F098717" w14:textId="495DE1AE" w:rsidR="00021998" w:rsidRPr="008A7117" w:rsidRDefault="00021998" w:rsidP="00C30A6E">
      <w:pPr>
        <w:spacing w:after="0" w:line="240" w:lineRule="auto"/>
        <w:rPr>
          <w:rFonts w:ascii="Times New Roman" w:hAnsi="Times New Roman" w:cs="Times New Roman"/>
          <w:sz w:val="24"/>
          <w:szCs w:val="24"/>
        </w:rPr>
      </w:pPr>
      <w:r w:rsidRPr="008A7117">
        <w:rPr>
          <w:rFonts w:ascii="Times New Roman" w:hAnsi="Times New Roman" w:cs="Times New Roman"/>
          <w:sz w:val="24"/>
          <w:szCs w:val="24"/>
        </w:rPr>
        <w:t>The recording of pre-</w:t>
      </w:r>
      <w:proofErr w:type="gramStart"/>
      <w:r w:rsidRPr="008A7117">
        <w:rPr>
          <w:rFonts w:ascii="Times New Roman" w:hAnsi="Times New Roman" w:cs="Times New Roman"/>
          <w:sz w:val="24"/>
          <w:szCs w:val="24"/>
        </w:rPr>
        <w:t>commitments  also</w:t>
      </w:r>
      <w:proofErr w:type="gramEnd"/>
      <w:r w:rsidRPr="008A7117">
        <w:rPr>
          <w:rFonts w:ascii="Times New Roman" w:hAnsi="Times New Roman" w:cs="Times New Roman"/>
          <w:sz w:val="24"/>
          <w:szCs w:val="24"/>
        </w:rPr>
        <w:t xml:space="preserve"> varies although seven of the eight responding countries record pre-commitments in either the central FMIS or </w:t>
      </w:r>
      <w:r w:rsidR="00E610FE" w:rsidRPr="008A7117">
        <w:rPr>
          <w:rFonts w:ascii="Times New Roman" w:hAnsi="Times New Roman" w:cs="Times New Roman"/>
          <w:sz w:val="24"/>
          <w:szCs w:val="24"/>
        </w:rPr>
        <w:t>MDA</w:t>
      </w:r>
      <w:r w:rsidRPr="008A7117">
        <w:rPr>
          <w:rFonts w:ascii="Times New Roman" w:hAnsi="Times New Roman" w:cs="Times New Roman"/>
          <w:sz w:val="24"/>
          <w:szCs w:val="24"/>
        </w:rPr>
        <w:t xml:space="preserve"> FMIS. This suggests </w:t>
      </w:r>
      <w:r w:rsidR="008A7117">
        <w:rPr>
          <w:rFonts w:ascii="Times New Roman" w:hAnsi="Times New Roman" w:cs="Times New Roman"/>
          <w:sz w:val="24"/>
          <w:szCs w:val="24"/>
        </w:rPr>
        <w:t xml:space="preserve">that for these countries at least, </w:t>
      </w:r>
      <w:r w:rsidRPr="008A7117">
        <w:rPr>
          <w:rFonts w:ascii="Times New Roman" w:hAnsi="Times New Roman" w:cs="Times New Roman"/>
          <w:sz w:val="24"/>
          <w:szCs w:val="24"/>
        </w:rPr>
        <w:t xml:space="preserve">this information will be available to compare against budget allocations and for budget control purposes.    </w:t>
      </w:r>
    </w:p>
    <w:p w14:paraId="39B21469" w14:textId="1B903747" w:rsidR="00021998" w:rsidRPr="008A7117" w:rsidRDefault="00021998" w:rsidP="001B4892">
      <w:pPr>
        <w:pStyle w:val="ListParagraph"/>
        <w:spacing w:after="0" w:line="240" w:lineRule="auto"/>
        <w:ind w:left="360"/>
        <w:rPr>
          <w:rFonts w:ascii="Times New Roman" w:hAnsi="Times New Roman" w:cs="Times New Roman"/>
          <w:sz w:val="24"/>
          <w:szCs w:val="24"/>
        </w:rPr>
      </w:pPr>
      <w:r w:rsidRPr="008A7117">
        <w:rPr>
          <w:rFonts w:ascii="Times New Roman" w:hAnsi="Times New Roman" w:cs="Times New Roman"/>
          <w:sz w:val="24"/>
          <w:szCs w:val="24"/>
        </w:rPr>
        <w:t xml:space="preserve"> </w:t>
      </w:r>
    </w:p>
    <w:p w14:paraId="7647ED78" w14:textId="437B407F" w:rsidR="007A171E" w:rsidRPr="008A7117" w:rsidRDefault="00021998">
      <w:pPr>
        <w:spacing w:after="0" w:line="240" w:lineRule="auto"/>
        <w:rPr>
          <w:rFonts w:ascii="Times New Roman" w:hAnsi="Times New Roman" w:cs="Times New Roman"/>
          <w:sz w:val="24"/>
          <w:szCs w:val="24"/>
        </w:rPr>
      </w:pPr>
      <w:r w:rsidRPr="008A7117">
        <w:rPr>
          <w:rFonts w:ascii="Times New Roman" w:hAnsi="Times New Roman" w:cs="Times New Roman"/>
          <w:sz w:val="24"/>
          <w:szCs w:val="24"/>
        </w:rPr>
        <w:t xml:space="preserve">In recent years, procurement </w:t>
      </w:r>
      <w:r w:rsidR="007A171E" w:rsidRPr="008A7117">
        <w:rPr>
          <w:rFonts w:ascii="Times New Roman" w:hAnsi="Times New Roman" w:cs="Times New Roman"/>
          <w:sz w:val="24"/>
          <w:szCs w:val="24"/>
        </w:rPr>
        <w:t>h</w:t>
      </w:r>
      <w:r w:rsidRPr="008A7117">
        <w:rPr>
          <w:rFonts w:ascii="Times New Roman" w:hAnsi="Times New Roman" w:cs="Times New Roman"/>
          <w:sz w:val="24"/>
          <w:szCs w:val="24"/>
        </w:rPr>
        <w:t>as emerged as a separate control activity of government, with specialist fu</w:t>
      </w:r>
      <w:r w:rsidR="007A171E" w:rsidRPr="008A7117">
        <w:rPr>
          <w:rFonts w:ascii="Times New Roman" w:hAnsi="Times New Roman" w:cs="Times New Roman"/>
          <w:sz w:val="24"/>
          <w:szCs w:val="24"/>
        </w:rPr>
        <w:t>nctions evolving outside of the</w:t>
      </w:r>
      <w:r w:rsidRPr="008A7117">
        <w:rPr>
          <w:rFonts w:ascii="Times New Roman" w:hAnsi="Times New Roman" w:cs="Times New Roman"/>
          <w:sz w:val="24"/>
          <w:szCs w:val="24"/>
        </w:rPr>
        <w:t xml:space="preserve"> traditional budget execution control processes. This has </w:t>
      </w:r>
      <w:r w:rsidR="007A171E" w:rsidRPr="008A7117">
        <w:rPr>
          <w:rFonts w:ascii="Times New Roman" w:hAnsi="Times New Roman" w:cs="Times New Roman"/>
          <w:sz w:val="24"/>
          <w:szCs w:val="24"/>
        </w:rPr>
        <w:t>often been accompanied by the cr</w:t>
      </w:r>
      <w:r w:rsidR="008A7117">
        <w:rPr>
          <w:rFonts w:ascii="Times New Roman" w:hAnsi="Times New Roman" w:cs="Times New Roman"/>
          <w:sz w:val="24"/>
          <w:szCs w:val="24"/>
        </w:rPr>
        <w:t>eation of</w:t>
      </w:r>
      <w:r w:rsidRPr="008A7117">
        <w:rPr>
          <w:rFonts w:ascii="Times New Roman" w:hAnsi="Times New Roman" w:cs="Times New Roman"/>
          <w:sz w:val="24"/>
          <w:szCs w:val="24"/>
        </w:rPr>
        <w:t xml:space="preserve"> </w:t>
      </w:r>
      <w:r w:rsidR="007A171E" w:rsidRPr="008A7117">
        <w:rPr>
          <w:rFonts w:ascii="Times New Roman" w:hAnsi="Times New Roman" w:cs="Times New Roman"/>
          <w:sz w:val="24"/>
          <w:szCs w:val="24"/>
        </w:rPr>
        <w:t xml:space="preserve">separate procurement systems. While these enhanced controls are </w:t>
      </w:r>
      <w:r w:rsidR="008A7117">
        <w:rPr>
          <w:rFonts w:ascii="Times New Roman" w:hAnsi="Times New Roman" w:cs="Times New Roman"/>
          <w:sz w:val="24"/>
          <w:szCs w:val="24"/>
        </w:rPr>
        <w:t xml:space="preserve">important, the separation from </w:t>
      </w:r>
      <w:r w:rsidR="007A171E" w:rsidRPr="008A7117">
        <w:rPr>
          <w:rFonts w:ascii="Times New Roman" w:hAnsi="Times New Roman" w:cs="Times New Roman"/>
          <w:sz w:val="24"/>
          <w:szCs w:val="24"/>
        </w:rPr>
        <w:t>budget execution maybe reducing the effectiveness of these pre-commitments for budget control and cash management.  This could be an area for review in the future.</w:t>
      </w:r>
    </w:p>
    <w:p w14:paraId="51A97EFB" w14:textId="406DFCD2" w:rsidR="00021998" w:rsidRPr="009326D3" w:rsidRDefault="007A171E">
      <w:pPr>
        <w:spacing w:after="0" w:line="240" w:lineRule="auto"/>
        <w:rPr>
          <w:rFonts w:ascii="Times New Roman" w:hAnsi="Times New Roman" w:cs="Times New Roman"/>
          <w:sz w:val="24"/>
          <w:szCs w:val="24"/>
          <w:highlight w:val="green"/>
        </w:rPr>
      </w:pPr>
      <w:r w:rsidRPr="009326D3">
        <w:rPr>
          <w:rFonts w:ascii="Times New Roman" w:hAnsi="Times New Roman" w:cs="Times New Roman"/>
          <w:sz w:val="24"/>
          <w:szCs w:val="24"/>
          <w:highlight w:val="green"/>
        </w:rPr>
        <w:t xml:space="preserve">  </w:t>
      </w:r>
      <w:r w:rsidR="00021998" w:rsidRPr="009326D3">
        <w:rPr>
          <w:rFonts w:ascii="Times New Roman" w:hAnsi="Times New Roman" w:cs="Times New Roman"/>
          <w:sz w:val="24"/>
          <w:szCs w:val="24"/>
          <w:highlight w:val="green"/>
        </w:rPr>
        <w:t xml:space="preserve">  </w:t>
      </w:r>
    </w:p>
    <w:p w14:paraId="32214B1A" w14:textId="368026AD" w:rsidR="007A171E" w:rsidRPr="009326D3" w:rsidRDefault="00194528">
      <w:pPr>
        <w:spacing w:after="0" w:line="240" w:lineRule="auto"/>
        <w:rPr>
          <w:rFonts w:ascii="Times New Roman" w:hAnsi="Times New Roman" w:cs="Times New Roman"/>
          <w:b/>
          <w:color w:val="4F81BD" w:themeColor="accent1"/>
          <w:sz w:val="24"/>
          <w:szCs w:val="24"/>
        </w:rPr>
      </w:pPr>
      <w:r w:rsidRPr="009326D3">
        <w:rPr>
          <w:rFonts w:ascii="Times New Roman" w:hAnsi="Times New Roman" w:cs="Times New Roman"/>
          <w:b/>
          <w:color w:val="4F81BD" w:themeColor="accent1"/>
          <w:sz w:val="24"/>
          <w:szCs w:val="24"/>
        </w:rPr>
        <w:t>Stage 2 – Commitments</w:t>
      </w:r>
    </w:p>
    <w:p w14:paraId="2CFAD711" w14:textId="77777777" w:rsidR="00194528" w:rsidRPr="009326D3" w:rsidRDefault="00194528">
      <w:pPr>
        <w:spacing w:after="0" w:line="240" w:lineRule="auto"/>
        <w:rPr>
          <w:rFonts w:ascii="Times New Roman" w:hAnsi="Times New Roman" w:cs="Times New Roman"/>
          <w:sz w:val="24"/>
          <w:szCs w:val="24"/>
          <w:highlight w:val="green"/>
        </w:rPr>
      </w:pPr>
    </w:p>
    <w:p w14:paraId="604D12B5" w14:textId="589FED90" w:rsidR="00185A04" w:rsidRPr="009326D3" w:rsidRDefault="00185A04" w:rsidP="00185A04">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 xml:space="preserve">This stage comprised nine questions. </w:t>
      </w:r>
    </w:p>
    <w:p w14:paraId="1F8AC1BE" w14:textId="77777777" w:rsidR="00690DC3" w:rsidRPr="009326D3" w:rsidRDefault="00690DC3" w:rsidP="00185A04">
      <w:pPr>
        <w:spacing w:after="0" w:line="240" w:lineRule="auto"/>
        <w:rPr>
          <w:rFonts w:ascii="Times New Roman" w:hAnsi="Times New Roman" w:cs="Times New Roman"/>
          <w:sz w:val="24"/>
          <w:szCs w:val="24"/>
        </w:rPr>
      </w:pPr>
    </w:p>
    <w:p w14:paraId="37E8A09D" w14:textId="5D678DB2" w:rsidR="00690DC3" w:rsidRPr="009326D3" w:rsidRDefault="00EA44EE" w:rsidP="00EA44EE">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 xml:space="preserve">Q5. </w:t>
      </w:r>
      <w:r w:rsidR="00690DC3" w:rsidRPr="009326D3">
        <w:rPr>
          <w:rFonts w:ascii="Times New Roman" w:hAnsi="Times New Roman" w:cs="Times New Roman"/>
          <w:b/>
          <w:i/>
          <w:noProof/>
          <w:sz w:val="24"/>
          <w:szCs w:val="24"/>
          <w:lang w:val="en-US"/>
        </w:rPr>
        <w:t xml:space="preserve">Does your country have a commitment stage in the budget execution process? </w:t>
      </w:r>
    </w:p>
    <w:p w14:paraId="41FC635B" w14:textId="77777777" w:rsidR="00690DC3" w:rsidRPr="009326D3" w:rsidRDefault="00690DC3" w:rsidP="00690DC3">
      <w:pPr>
        <w:spacing w:after="0" w:line="240" w:lineRule="auto"/>
        <w:rPr>
          <w:rFonts w:ascii="Times New Roman" w:hAnsi="Times New Roman" w:cs="Times New Roman"/>
          <w:noProof/>
          <w:sz w:val="24"/>
          <w:szCs w:val="24"/>
          <w:lang w:val="en-US"/>
        </w:rPr>
      </w:pPr>
    </w:p>
    <w:p w14:paraId="10F1FB53" w14:textId="77777777" w:rsidR="00690DC3" w:rsidRPr="009326D3" w:rsidRDefault="00690DC3" w:rsidP="00690DC3">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All twelve countries that responded to these questions indicated that they had a commitment stage in the budget execution process.</w:t>
      </w:r>
    </w:p>
    <w:p w14:paraId="72E9DDE1" w14:textId="77777777" w:rsidR="00690DC3" w:rsidRPr="009326D3" w:rsidRDefault="00690DC3" w:rsidP="00690DC3">
      <w:pPr>
        <w:spacing w:after="0" w:line="240" w:lineRule="auto"/>
        <w:rPr>
          <w:rFonts w:ascii="Times New Roman" w:hAnsi="Times New Roman" w:cs="Times New Roman"/>
          <w:noProof/>
          <w:sz w:val="24"/>
          <w:szCs w:val="24"/>
          <w:lang w:val="en-US"/>
        </w:rPr>
      </w:pPr>
    </w:p>
    <w:p w14:paraId="5DD8CC2C" w14:textId="3CD8ABBC" w:rsidR="00690DC3" w:rsidRPr="009326D3" w:rsidRDefault="00EA44EE" w:rsidP="00EA44EE">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 xml:space="preserve">Q6. </w:t>
      </w:r>
      <w:r w:rsidR="00690DC3" w:rsidRPr="009326D3">
        <w:rPr>
          <w:rFonts w:ascii="Times New Roman" w:hAnsi="Times New Roman" w:cs="Times New Roman"/>
          <w:b/>
          <w:i/>
          <w:noProof/>
          <w:sz w:val="24"/>
          <w:szCs w:val="24"/>
          <w:lang w:val="en-US"/>
        </w:rPr>
        <w:t xml:space="preserve">Where is the commitment stage defined in your Public Financial Management Process? </w:t>
      </w:r>
    </w:p>
    <w:p w14:paraId="3CFBC70E" w14:textId="77777777" w:rsidR="00112846" w:rsidRPr="009326D3" w:rsidRDefault="00112846" w:rsidP="00112846">
      <w:pPr>
        <w:spacing w:after="0" w:line="240" w:lineRule="auto"/>
        <w:rPr>
          <w:rFonts w:ascii="Times New Roman" w:hAnsi="Times New Roman" w:cs="Times New Roman"/>
          <w:b/>
          <w:i/>
          <w:noProof/>
          <w:sz w:val="24"/>
          <w:szCs w:val="24"/>
          <w:lang w:val="en-US"/>
        </w:rPr>
      </w:pPr>
    </w:p>
    <w:p w14:paraId="0EEC3EC4" w14:textId="2E3EC015" w:rsidR="00112846" w:rsidRPr="009326D3" w:rsidRDefault="007B6C22" w:rsidP="00112846">
      <w:pPr>
        <w:spacing w:after="0" w:line="240" w:lineRule="auto"/>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As Figure 3</w:t>
      </w:r>
      <w:r w:rsidR="00112846" w:rsidRPr="009326D3">
        <w:rPr>
          <w:rFonts w:ascii="Times New Roman" w:hAnsi="Times New Roman" w:cs="Times New Roman"/>
          <w:noProof/>
          <w:sz w:val="24"/>
          <w:szCs w:val="24"/>
          <w:lang w:val="en-US"/>
        </w:rPr>
        <w:t xml:space="preserve"> demonstrates the majority of respondent countries, seven, define the requirement for com</w:t>
      </w:r>
      <w:r w:rsidR="005D364E" w:rsidRPr="009326D3">
        <w:rPr>
          <w:rFonts w:ascii="Times New Roman" w:hAnsi="Times New Roman" w:cs="Times New Roman"/>
          <w:noProof/>
          <w:sz w:val="24"/>
          <w:szCs w:val="24"/>
          <w:lang w:val="en-US"/>
        </w:rPr>
        <w:t>mitments in the general PFM Law</w:t>
      </w:r>
      <w:r w:rsidR="001E280B">
        <w:rPr>
          <w:rFonts w:ascii="Times New Roman" w:hAnsi="Times New Roman" w:cs="Times New Roman"/>
          <w:noProof/>
          <w:sz w:val="24"/>
          <w:szCs w:val="24"/>
          <w:lang w:val="en-US"/>
        </w:rPr>
        <w:t xml:space="preserve">. </w:t>
      </w:r>
      <w:r w:rsidR="005D364E" w:rsidRPr="009326D3">
        <w:rPr>
          <w:rFonts w:ascii="Times New Roman" w:hAnsi="Times New Roman" w:cs="Times New Roman"/>
          <w:noProof/>
          <w:sz w:val="24"/>
          <w:szCs w:val="24"/>
          <w:lang w:val="en-US"/>
        </w:rPr>
        <w:t xml:space="preserve"> </w:t>
      </w:r>
      <w:r w:rsidR="001E280B">
        <w:rPr>
          <w:rFonts w:ascii="Times New Roman" w:hAnsi="Times New Roman" w:cs="Times New Roman"/>
          <w:noProof/>
          <w:sz w:val="24"/>
          <w:szCs w:val="24"/>
          <w:lang w:val="en-US"/>
        </w:rPr>
        <w:t>T</w:t>
      </w:r>
      <w:r w:rsidR="005D364E" w:rsidRPr="009326D3">
        <w:rPr>
          <w:rFonts w:ascii="Times New Roman" w:hAnsi="Times New Roman" w:cs="Times New Roman"/>
          <w:noProof/>
          <w:sz w:val="24"/>
          <w:szCs w:val="24"/>
          <w:lang w:val="en-US"/>
        </w:rPr>
        <w:t xml:space="preserve">wo of these countries also define commitments in the Procurement Law with one further country defining commitments in just the Procurement Law. </w:t>
      </w:r>
      <w:r w:rsidR="005D364E" w:rsidRPr="009326D3">
        <w:rPr>
          <w:rFonts w:ascii="Times New Roman" w:hAnsi="Times New Roman" w:cs="Times New Roman"/>
          <w:b/>
          <w:noProof/>
          <w:sz w:val="24"/>
          <w:szCs w:val="24"/>
          <w:lang w:val="en-US"/>
        </w:rPr>
        <w:t>While there is nothing conceptually wrong with defining key processes in more than one law there is a risk of inconsistencies in relation to those definitions.</w:t>
      </w:r>
      <w:r w:rsidR="005D364E" w:rsidRPr="009326D3">
        <w:rPr>
          <w:rFonts w:ascii="Times New Roman" w:hAnsi="Times New Roman" w:cs="Times New Roman"/>
          <w:noProof/>
          <w:sz w:val="24"/>
          <w:szCs w:val="24"/>
          <w:lang w:val="en-US"/>
        </w:rPr>
        <w:t xml:space="preserve"> </w:t>
      </w:r>
      <w:r w:rsidR="009F12F9" w:rsidRPr="009326D3">
        <w:rPr>
          <w:rFonts w:ascii="Times New Roman" w:hAnsi="Times New Roman" w:cs="Times New Roman"/>
          <w:noProof/>
          <w:sz w:val="24"/>
          <w:szCs w:val="24"/>
          <w:lang w:val="en-US"/>
        </w:rPr>
        <w:t>In total seven</w:t>
      </w:r>
      <w:r w:rsidR="00112846" w:rsidRPr="009326D3">
        <w:rPr>
          <w:rFonts w:ascii="Times New Roman" w:hAnsi="Times New Roman" w:cs="Times New Roman"/>
          <w:noProof/>
          <w:sz w:val="24"/>
          <w:szCs w:val="24"/>
          <w:lang w:val="en-US"/>
        </w:rPr>
        <w:t xml:space="preserve"> countries define </w:t>
      </w:r>
      <w:r w:rsidR="005D364E" w:rsidRPr="009326D3">
        <w:rPr>
          <w:rFonts w:ascii="Times New Roman" w:hAnsi="Times New Roman" w:cs="Times New Roman"/>
          <w:noProof/>
          <w:sz w:val="24"/>
          <w:szCs w:val="24"/>
          <w:lang w:val="en-US"/>
        </w:rPr>
        <w:t>commitments in other legislative instruments</w:t>
      </w:r>
      <w:r w:rsidR="009F12F9" w:rsidRPr="009326D3">
        <w:rPr>
          <w:rFonts w:ascii="Times New Roman" w:hAnsi="Times New Roman" w:cs="Times New Roman"/>
          <w:noProof/>
          <w:sz w:val="24"/>
          <w:szCs w:val="24"/>
          <w:lang w:val="en-US"/>
        </w:rPr>
        <w:t xml:space="preserve">  (three of these also define commitments in either the PFM or Procurement Law or both). Four of these countries </w:t>
      </w:r>
      <w:r w:rsidR="001E280B">
        <w:rPr>
          <w:rFonts w:ascii="Times New Roman" w:hAnsi="Times New Roman" w:cs="Times New Roman"/>
          <w:noProof/>
          <w:sz w:val="24"/>
          <w:szCs w:val="24"/>
          <w:lang w:val="en-US"/>
        </w:rPr>
        <w:t>include the</w:t>
      </w:r>
      <w:r w:rsidR="009F12F9" w:rsidRPr="009326D3">
        <w:rPr>
          <w:rFonts w:ascii="Times New Roman" w:hAnsi="Times New Roman" w:cs="Times New Roman"/>
          <w:noProof/>
          <w:sz w:val="24"/>
          <w:szCs w:val="24"/>
          <w:lang w:val="en-US"/>
        </w:rPr>
        <w:t xml:space="preserve"> definition </w:t>
      </w:r>
      <w:r w:rsidR="001E280B">
        <w:rPr>
          <w:rFonts w:ascii="Times New Roman" w:hAnsi="Times New Roman" w:cs="Times New Roman"/>
          <w:noProof/>
          <w:sz w:val="24"/>
          <w:szCs w:val="24"/>
          <w:lang w:val="en-US"/>
        </w:rPr>
        <w:t>in</w:t>
      </w:r>
      <w:r w:rsidR="009F12F9" w:rsidRPr="009326D3">
        <w:rPr>
          <w:rFonts w:ascii="Times New Roman" w:hAnsi="Times New Roman" w:cs="Times New Roman"/>
          <w:noProof/>
          <w:sz w:val="24"/>
          <w:szCs w:val="24"/>
          <w:lang w:val="en-US"/>
        </w:rPr>
        <w:t xml:space="preserve"> a range of subsidiary legislative instruments</w:t>
      </w:r>
      <w:r w:rsidR="005D364E" w:rsidRPr="009326D3">
        <w:rPr>
          <w:rFonts w:ascii="Times New Roman" w:hAnsi="Times New Roman" w:cs="Times New Roman"/>
          <w:noProof/>
          <w:sz w:val="24"/>
          <w:szCs w:val="24"/>
          <w:lang w:val="en-US"/>
        </w:rPr>
        <w:t xml:space="preserve">  </w:t>
      </w:r>
      <w:r w:rsidR="009F12F9" w:rsidRPr="009326D3">
        <w:rPr>
          <w:rFonts w:ascii="Times New Roman" w:hAnsi="Times New Roman" w:cs="Times New Roman"/>
          <w:noProof/>
          <w:sz w:val="24"/>
          <w:szCs w:val="24"/>
          <w:lang w:val="en-US"/>
        </w:rPr>
        <w:t xml:space="preserve">including instructions </w:t>
      </w:r>
      <w:r w:rsidR="005D364E" w:rsidRPr="009326D3">
        <w:rPr>
          <w:rFonts w:ascii="Times New Roman" w:hAnsi="Times New Roman" w:cs="Times New Roman"/>
          <w:noProof/>
          <w:sz w:val="24"/>
          <w:szCs w:val="24"/>
          <w:lang w:val="en-US"/>
        </w:rPr>
        <w:t xml:space="preserve">(Albania and </w:t>
      </w:r>
      <w:r w:rsidR="00112846" w:rsidRPr="009326D3">
        <w:rPr>
          <w:rFonts w:ascii="Times New Roman" w:hAnsi="Times New Roman" w:cs="Times New Roman"/>
          <w:noProof/>
          <w:sz w:val="24"/>
          <w:szCs w:val="24"/>
          <w:lang w:val="en-US"/>
        </w:rPr>
        <w:t>Montenegro</w:t>
      </w:r>
      <w:r w:rsidR="005D364E" w:rsidRPr="009326D3">
        <w:rPr>
          <w:rFonts w:ascii="Times New Roman" w:hAnsi="Times New Roman" w:cs="Times New Roman"/>
          <w:noProof/>
          <w:sz w:val="24"/>
          <w:szCs w:val="24"/>
          <w:lang w:val="en-US"/>
        </w:rPr>
        <w:t xml:space="preserve">), </w:t>
      </w:r>
      <w:r w:rsidR="009F12F9" w:rsidRPr="009326D3">
        <w:rPr>
          <w:rFonts w:ascii="Times New Roman" w:hAnsi="Times New Roman" w:cs="Times New Roman"/>
          <w:noProof/>
          <w:sz w:val="24"/>
          <w:szCs w:val="24"/>
          <w:lang w:val="en-US"/>
        </w:rPr>
        <w:t>a r</w:t>
      </w:r>
      <w:r w:rsidR="005D364E" w:rsidRPr="009326D3">
        <w:rPr>
          <w:rFonts w:ascii="Times New Roman" w:hAnsi="Times New Roman" w:cs="Times New Roman"/>
          <w:noProof/>
          <w:sz w:val="24"/>
          <w:szCs w:val="24"/>
          <w:lang w:val="en-US"/>
        </w:rPr>
        <w:t xml:space="preserve">ule </w:t>
      </w:r>
      <w:r w:rsidR="009F12F9" w:rsidRPr="009326D3">
        <w:rPr>
          <w:rFonts w:ascii="Times New Roman" w:hAnsi="Times New Roman" w:cs="Times New Roman"/>
          <w:noProof/>
          <w:sz w:val="24"/>
          <w:szCs w:val="24"/>
          <w:lang w:val="en-US"/>
        </w:rPr>
        <w:t>b</w:t>
      </w:r>
      <w:r w:rsidR="005D364E" w:rsidRPr="009326D3">
        <w:rPr>
          <w:rFonts w:ascii="Times New Roman" w:hAnsi="Times New Roman" w:cs="Times New Roman"/>
          <w:noProof/>
          <w:sz w:val="24"/>
          <w:szCs w:val="24"/>
          <w:lang w:val="en-US"/>
        </w:rPr>
        <w:t xml:space="preserve">ook (Croatia) and </w:t>
      </w:r>
      <w:r w:rsidR="009F12F9" w:rsidRPr="009326D3">
        <w:rPr>
          <w:rFonts w:ascii="Times New Roman" w:hAnsi="Times New Roman" w:cs="Times New Roman"/>
          <w:noProof/>
          <w:sz w:val="24"/>
          <w:szCs w:val="24"/>
          <w:lang w:val="en-US"/>
        </w:rPr>
        <w:t xml:space="preserve">a </w:t>
      </w:r>
      <w:r w:rsidR="005D364E" w:rsidRPr="009326D3">
        <w:rPr>
          <w:rFonts w:ascii="Times New Roman" w:hAnsi="Times New Roman" w:cs="Times New Roman"/>
          <w:noProof/>
          <w:sz w:val="24"/>
          <w:szCs w:val="24"/>
          <w:lang w:val="en-US"/>
        </w:rPr>
        <w:t xml:space="preserve">decision of </w:t>
      </w:r>
      <w:r w:rsidR="00112846" w:rsidRPr="009326D3">
        <w:rPr>
          <w:rFonts w:ascii="Times New Roman" w:hAnsi="Times New Roman" w:cs="Times New Roman"/>
          <w:noProof/>
          <w:sz w:val="24"/>
          <w:szCs w:val="24"/>
          <w:lang w:val="en-US"/>
        </w:rPr>
        <w:t>the Ministry of Finance</w:t>
      </w:r>
      <w:r w:rsidR="005D364E" w:rsidRPr="009326D3">
        <w:rPr>
          <w:rFonts w:ascii="Times New Roman" w:hAnsi="Times New Roman" w:cs="Times New Roman"/>
          <w:noProof/>
          <w:sz w:val="24"/>
          <w:szCs w:val="24"/>
          <w:lang w:val="en-US"/>
        </w:rPr>
        <w:t xml:space="preserve"> (Belarus).</w:t>
      </w:r>
    </w:p>
    <w:p w14:paraId="269A613B" w14:textId="77777777" w:rsidR="00EA11C8" w:rsidRPr="009326D3" w:rsidRDefault="00EA11C8" w:rsidP="00EA11C8">
      <w:pPr>
        <w:spacing w:after="0" w:line="240" w:lineRule="auto"/>
        <w:rPr>
          <w:rFonts w:ascii="Times New Roman" w:hAnsi="Times New Roman" w:cs="Times New Roman"/>
          <w:b/>
          <w:noProof/>
          <w:sz w:val="24"/>
          <w:szCs w:val="24"/>
          <w:lang w:val="en-US"/>
        </w:rPr>
      </w:pPr>
    </w:p>
    <w:p w14:paraId="226F7A53" w14:textId="3FF25927" w:rsidR="00EA11C8" w:rsidRPr="009326D3" w:rsidRDefault="001B4892" w:rsidP="00EA11C8">
      <w:pPr>
        <w:spacing w:after="0" w:line="240" w:lineRule="auto"/>
        <w:rPr>
          <w:rFonts w:ascii="Times New Roman" w:hAnsi="Times New Roman" w:cs="Times New Roman"/>
          <w:i/>
          <w:noProof/>
          <w:color w:val="4F81BD" w:themeColor="accent1"/>
          <w:sz w:val="24"/>
          <w:szCs w:val="24"/>
          <w:lang w:val="en-US"/>
        </w:rPr>
      </w:pPr>
      <w:r w:rsidRPr="009326D3">
        <w:rPr>
          <w:rFonts w:ascii="Times New Roman" w:hAnsi="Times New Roman" w:cs="Times New Roman"/>
          <w:i/>
          <w:noProof/>
          <w:color w:val="4F81BD" w:themeColor="accent1"/>
          <w:sz w:val="24"/>
          <w:szCs w:val="24"/>
          <w:lang w:val="en-US"/>
        </w:rPr>
        <w:t>Figure 3</w:t>
      </w:r>
      <w:r w:rsidR="00F16FD0" w:rsidRPr="009326D3">
        <w:rPr>
          <w:rFonts w:ascii="Times New Roman" w:hAnsi="Times New Roman" w:cs="Times New Roman"/>
          <w:i/>
          <w:noProof/>
          <w:color w:val="4F81BD" w:themeColor="accent1"/>
          <w:sz w:val="24"/>
          <w:szCs w:val="24"/>
          <w:lang w:val="en-US"/>
        </w:rPr>
        <w:t xml:space="preserve"> – Legal Basis for Defining Commitments </w:t>
      </w:r>
    </w:p>
    <w:p w14:paraId="29B4849E" w14:textId="64BC8BE6" w:rsidR="00EA11C8" w:rsidRPr="00EA11C8" w:rsidRDefault="00EA11C8" w:rsidP="00EA11C8">
      <w:pPr>
        <w:spacing w:after="0" w:line="240" w:lineRule="auto"/>
        <w:rPr>
          <w:b/>
          <w:noProof/>
          <w:lang w:val="en-US"/>
        </w:rPr>
      </w:pPr>
    </w:p>
    <w:p w14:paraId="1953975F" w14:textId="66462901" w:rsidR="005D364E" w:rsidRPr="005D364E" w:rsidRDefault="005D364E" w:rsidP="005D364E">
      <w:pPr>
        <w:pStyle w:val="ListParagraph"/>
        <w:ind w:left="360"/>
        <w:rPr>
          <w:b/>
          <w:noProof/>
          <w:lang w:val="en-US"/>
        </w:rPr>
      </w:pPr>
      <w:r>
        <w:rPr>
          <w:noProof/>
          <w:lang w:val="en-US"/>
        </w:rPr>
        <w:lastRenderedPageBreak/>
        <w:drawing>
          <wp:inline distT="0" distB="0" distL="0" distR="0" wp14:anchorId="67B4E3BD" wp14:editId="1CFF3CDE">
            <wp:extent cx="4572000" cy="2743200"/>
            <wp:effectExtent l="0" t="0" r="2540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24ED01" w14:textId="32D8AFC0" w:rsidR="00690DC3" w:rsidRPr="009326D3" w:rsidRDefault="00EA44EE" w:rsidP="00EA44EE">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 xml:space="preserve">Q7. </w:t>
      </w:r>
      <w:r w:rsidR="00690DC3" w:rsidRPr="009326D3">
        <w:rPr>
          <w:rFonts w:ascii="Times New Roman" w:hAnsi="Times New Roman" w:cs="Times New Roman"/>
          <w:b/>
          <w:i/>
          <w:noProof/>
          <w:sz w:val="24"/>
          <w:szCs w:val="24"/>
          <w:lang w:val="en-US"/>
        </w:rPr>
        <w:t>Does this definition closely align with the defintion</w:t>
      </w:r>
      <w:r w:rsidR="00EA11C8" w:rsidRPr="009326D3">
        <w:rPr>
          <w:rFonts w:ascii="Times New Roman" w:hAnsi="Times New Roman" w:cs="Times New Roman"/>
          <w:b/>
          <w:i/>
          <w:noProof/>
          <w:sz w:val="24"/>
          <w:szCs w:val="24"/>
          <w:lang w:val="en-US"/>
        </w:rPr>
        <w:t xml:space="preserve"> reflected in </w:t>
      </w:r>
      <w:r w:rsidR="001E280B">
        <w:rPr>
          <w:rFonts w:ascii="Times New Roman" w:hAnsi="Times New Roman" w:cs="Times New Roman"/>
          <w:b/>
          <w:i/>
          <w:noProof/>
          <w:sz w:val="24"/>
          <w:szCs w:val="24"/>
          <w:lang w:val="en-US"/>
        </w:rPr>
        <w:t>S</w:t>
      </w:r>
      <w:r w:rsidR="00EA11C8" w:rsidRPr="009326D3">
        <w:rPr>
          <w:rFonts w:ascii="Times New Roman" w:hAnsi="Times New Roman" w:cs="Times New Roman"/>
          <w:b/>
          <w:i/>
          <w:noProof/>
          <w:sz w:val="24"/>
          <w:szCs w:val="24"/>
          <w:lang w:val="en-US"/>
        </w:rPr>
        <w:t xml:space="preserve">tage 2 above? </w:t>
      </w:r>
    </w:p>
    <w:p w14:paraId="70A5123B" w14:textId="4C2196CB" w:rsidR="00690DC3" w:rsidRPr="009326D3" w:rsidRDefault="00EA44EE" w:rsidP="00EA44EE">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 xml:space="preserve">Q8. </w:t>
      </w:r>
      <w:r w:rsidR="00E610FE" w:rsidRPr="009326D3">
        <w:rPr>
          <w:rFonts w:ascii="Times New Roman" w:hAnsi="Times New Roman" w:cs="Times New Roman"/>
          <w:b/>
          <w:i/>
          <w:noProof/>
          <w:sz w:val="24"/>
          <w:szCs w:val="24"/>
          <w:lang w:val="en-US"/>
        </w:rPr>
        <w:t xml:space="preserve">If no, what are the key differences in your country’s definition?  </w:t>
      </w:r>
    </w:p>
    <w:p w14:paraId="16908144" w14:textId="77777777" w:rsidR="00E610FE" w:rsidRPr="009326D3" w:rsidRDefault="00E610FE" w:rsidP="00E610FE">
      <w:pPr>
        <w:pStyle w:val="ListParagraph"/>
        <w:spacing w:after="0" w:line="240" w:lineRule="auto"/>
        <w:ind w:left="360"/>
        <w:rPr>
          <w:rFonts w:ascii="Times New Roman" w:hAnsi="Times New Roman" w:cs="Times New Roman"/>
          <w:b/>
          <w:i/>
          <w:noProof/>
          <w:sz w:val="24"/>
          <w:szCs w:val="24"/>
          <w:lang w:val="en-US"/>
        </w:rPr>
      </w:pPr>
    </w:p>
    <w:p w14:paraId="083D16A2" w14:textId="12C84525" w:rsidR="00690DC3" w:rsidRPr="009326D3" w:rsidRDefault="009F12F9" w:rsidP="00690DC3">
      <w:pPr>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 xml:space="preserve">Ten countries indicate that their definition of commitments closely aligned with the definition which accompanied the Questionnaire. </w:t>
      </w:r>
      <w:r w:rsidR="00E610FE" w:rsidRPr="009326D3">
        <w:rPr>
          <w:rFonts w:ascii="Times New Roman" w:hAnsi="Times New Roman" w:cs="Times New Roman"/>
          <w:noProof/>
          <w:sz w:val="24"/>
          <w:szCs w:val="24"/>
          <w:lang w:val="en-US"/>
        </w:rPr>
        <w:t>Two countries</w:t>
      </w:r>
      <w:r w:rsidR="001E280B">
        <w:rPr>
          <w:rFonts w:ascii="Times New Roman" w:hAnsi="Times New Roman" w:cs="Times New Roman"/>
          <w:noProof/>
          <w:sz w:val="24"/>
          <w:szCs w:val="24"/>
          <w:lang w:val="en-US"/>
        </w:rPr>
        <w:t>,</w:t>
      </w:r>
      <w:r w:rsidR="00E610FE" w:rsidRPr="009326D3">
        <w:rPr>
          <w:rFonts w:ascii="Times New Roman" w:hAnsi="Times New Roman" w:cs="Times New Roman"/>
          <w:noProof/>
          <w:sz w:val="24"/>
          <w:szCs w:val="24"/>
          <w:lang w:val="en-US"/>
        </w:rPr>
        <w:t xml:space="preserve"> Montenegro and Russia</w:t>
      </w:r>
      <w:r w:rsidR="001E280B">
        <w:rPr>
          <w:rFonts w:ascii="Times New Roman" w:hAnsi="Times New Roman" w:cs="Times New Roman"/>
          <w:noProof/>
          <w:sz w:val="24"/>
          <w:szCs w:val="24"/>
          <w:lang w:val="en-US"/>
        </w:rPr>
        <w:t>,</w:t>
      </w:r>
      <w:r w:rsidR="00E610FE" w:rsidRPr="009326D3">
        <w:rPr>
          <w:rFonts w:ascii="Times New Roman" w:hAnsi="Times New Roman" w:cs="Times New Roman"/>
          <w:noProof/>
          <w:sz w:val="24"/>
          <w:szCs w:val="24"/>
          <w:lang w:val="en-US"/>
        </w:rPr>
        <w:t xml:space="preserve"> responded no</w:t>
      </w:r>
      <w:r w:rsidR="008E51DB" w:rsidRPr="009326D3">
        <w:rPr>
          <w:rFonts w:ascii="Times New Roman" w:hAnsi="Times New Roman" w:cs="Times New Roman"/>
          <w:noProof/>
          <w:sz w:val="24"/>
          <w:szCs w:val="24"/>
          <w:lang w:val="en-US"/>
        </w:rPr>
        <w:t xml:space="preserve"> to the question, h</w:t>
      </w:r>
      <w:r w:rsidR="00E610FE" w:rsidRPr="009326D3">
        <w:rPr>
          <w:rFonts w:ascii="Times New Roman" w:hAnsi="Times New Roman" w:cs="Times New Roman"/>
          <w:noProof/>
          <w:sz w:val="24"/>
          <w:szCs w:val="24"/>
          <w:lang w:val="en-US"/>
        </w:rPr>
        <w:t xml:space="preserve">owever, in both cases the additonal </w:t>
      </w:r>
      <w:r w:rsidR="008E51DB" w:rsidRPr="009326D3">
        <w:rPr>
          <w:rFonts w:ascii="Times New Roman" w:hAnsi="Times New Roman" w:cs="Times New Roman"/>
          <w:noProof/>
          <w:sz w:val="24"/>
          <w:szCs w:val="24"/>
          <w:lang w:val="en-US"/>
        </w:rPr>
        <w:t xml:space="preserve">written </w:t>
      </w:r>
      <w:r w:rsidR="00E610FE" w:rsidRPr="009326D3">
        <w:rPr>
          <w:rFonts w:ascii="Times New Roman" w:hAnsi="Times New Roman" w:cs="Times New Roman"/>
          <w:noProof/>
          <w:sz w:val="24"/>
          <w:szCs w:val="24"/>
          <w:lang w:val="en-US"/>
        </w:rPr>
        <w:t>explanation</w:t>
      </w:r>
      <w:r w:rsidR="001E280B">
        <w:rPr>
          <w:rFonts w:ascii="Times New Roman" w:hAnsi="Times New Roman" w:cs="Times New Roman"/>
          <w:noProof/>
          <w:sz w:val="24"/>
          <w:szCs w:val="24"/>
          <w:lang w:val="en-US"/>
        </w:rPr>
        <w:t>s</w:t>
      </w:r>
      <w:r w:rsidR="00E610FE" w:rsidRPr="009326D3">
        <w:rPr>
          <w:rFonts w:ascii="Times New Roman" w:hAnsi="Times New Roman" w:cs="Times New Roman"/>
          <w:noProof/>
          <w:sz w:val="24"/>
          <w:szCs w:val="24"/>
          <w:lang w:val="en-US"/>
        </w:rPr>
        <w:t xml:space="preserve"> provided suggested a strong concurrence with the conceptual defintion provided.  </w:t>
      </w:r>
    </w:p>
    <w:p w14:paraId="2A99FABA" w14:textId="7DCC2DD3" w:rsidR="00690DC3" w:rsidRPr="009326D3" w:rsidRDefault="00EA44EE" w:rsidP="00EA44EE">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 xml:space="preserve">Q9. </w:t>
      </w:r>
      <w:r w:rsidR="00E610FE" w:rsidRPr="009326D3">
        <w:rPr>
          <w:rFonts w:ascii="Times New Roman" w:hAnsi="Times New Roman" w:cs="Times New Roman"/>
          <w:b/>
          <w:i/>
          <w:noProof/>
          <w:sz w:val="24"/>
          <w:szCs w:val="24"/>
          <w:lang w:val="en-US"/>
        </w:rPr>
        <w:t xml:space="preserve">Where </w:t>
      </w:r>
      <w:r w:rsidR="008E51DB" w:rsidRPr="009326D3">
        <w:rPr>
          <w:rFonts w:ascii="Times New Roman" w:hAnsi="Times New Roman" w:cs="Times New Roman"/>
          <w:b/>
          <w:i/>
          <w:noProof/>
          <w:sz w:val="24"/>
          <w:szCs w:val="24"/>
          <w:lang w:val="en-US"/>
        </w:rPr>
        <w:t xml:space="preserve">are </w:t>
      </w:r>
      <w:r w:rsidR="00690DC3" w:rsidRPr="009326D3">
        <w:rPr>
          <w:rFonts w:ascii="Times New Roman" w:hAnsi="Times New Roman" w:cs="Times New Roman"/>
          <w:b/>
          <w:i/>
          <w:noProof/>
          <w:sz w:val="24"/>
          <w:szCs w:val="24"/>
          <w:lang w:val="en-US"/>
        </w:rPr>
        <w:t xml:space="preserve">MDAs required to register commitments? </w:t>
      </w:r>
    </w:p>
    <w:p w14:paraId="4828DD98" w14:textId="77777777" w:rsidR="00690DC3" w:rsidRPr="009326D3" w:rsidRDefault="00690DC3" w:rsidP="00690DC3">
      <w:pPr>
        <w:rPr>
          <w:rFonts w:ascii="Times New Roman" w:hAnsi="Times New Roman" w:cs="Times New Roman"/>
          <w:b/>
          <w:noProof/>
          <w:sz w:val="24"/>
          <w:szCs w:val="24"/>
          <w:lang w:val="en-US"/>
        </w:rPr>
      </w:pPr>
    </w:p>
    <w:p w14:paraId="66903401" w14:textId="60E05DC0" w:rsidR="0076318B" w:rsidRPr="009326D3" w:rsidRDefault="008E51DB" w:rsidP="00690DC3">
      <w:pPr>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Ten countries indicated that commitments are rec</w:t>
      </w:r>
      <w:r w:rsidR="0076318B" w:rsidRPr="009326D3">
        <w:rPr>
          <w:rFonts w:ascii="Times New Roman" w:hAnsi="Times New Roman" w:cs="Times New Roman"/>
          <w:noProof/>
          <w:sz w:val="24"/>
          <w:szCs w:val="24"/>
          <w:lang w:val="en-US"/>
        </w:rPr>
        <w:t xml:space="preserve">orded in the central FMIS. One </w:t>
      </w:r>
      <w:r w:rsidRPr="009326D3">
        <w:rPr>
          <w:rFonts w:ascii="Times New Roman" w:hAnsi="Times New Roman" w:cs="Times New Roman"/>
          <w:noProof/>
          <w:sz w:val="24"/>
          <w:szCs w:val="24"/>
          <w:lang w:val="en-US"/>
        </w:rPr>
        <w:t xml:space="preserve">country also indicated that it was the </w:t>
      </w:r>
      <w:r w:rsidR="0076318B" w:rsidRPr="009326D3">
        <w:rPr>
          <w:rFonts w:ascii="Times New Roman" w:hAnsi="Times New Roman" w:cs="Times New Roman"/>
          <w:noProof/>
          <w:sz w:val="24"/>
          <w:szCs w:val="24"/>
          <w:lang w:val="en-US"/>
        </w:rPr>
        <w:t>T</w:t>
      </w:r>
      <w:r w:rsidRPr="009326D3">
        <w:rPr>
          <w:rFonts w:ascii="Times New Roman" w:hAnsi="Times New Roman" w:cs="Times New Roman"/>
          <w:noProof/>
          <w:sz w:val="24"/>
          <w:szCs w:val="24"/>
          <w:lang w:val="en-US"/>
        </w:rPr>
        <w:t xml:space="preserve">reasury </w:t>
      </w:r>
      <w:r w:rsidR="0076318B" w:rsidRPr="009326D3">
        <w:rPr>
          <w:rFonts w:ascii="Times New Roman" w:hAnsi="Times New Roman" w:cs="Times New Roman"/>
          <w:noProof/>
          <w:sz w:val="24"/>
          <w:szCs w:val="24"/>
          <w:lang w:val="en-US"/>
        </w:rPr>
        <w:t>D</w:t>
      </w:r>
      <w:r w:rsidRPr="009326D3">
        <w:rPr>
          <w:rFonts w:ascii="Times New Roman" w:hAnsi="Times New Roman" w:cs="Times New Roman"/>
          <w:noProof/>
          <w:sz w:val="24"/>
          <w:szCs w:val="24"/>
          <w:lang w:val="en-US"/>
        </w:rPr>
        <w:t xml:space="preserve">epartment ( but not </w:t>
      </w:r>
      <w:r w:rsidR="001E280B">
        <w:rPr>
          <w:rFonts w:ascii="Times New Roman" w:hAnsi="Times New Roman" w:cs="Times New Roman"/>
          <w:noProof/>
          <w:sz w:val="24"/>
          <w:szCs w:val="24"/>
          <w:lang w:val="en-US"/>
        </w:rPr>
        <w:t xml:space="preserve">in </w:t>
      </w:r>
      <w:r w:rsidRPr="009326D3">
        <w:rPr>
          <w:rFonts w:ascii="Times New Roman" w:hAnsi="Times New Roman" w:cs="Times New Roman"/>
          <w:noProof/>
          <w:sz w:val="24"/>
          <w:szCs w:val="24"/>
          <w:lang w:val="en-US"/>
        </w:rPr>
        <w:t xml:space="preserve">the FMIS – Macedonia) and </w:t>
      </w:r>
      <w:r w:rsidR="0076318B" w:rsidRPr="009326D3">
        <w:rPr>
          <w:rFonts w:ascii="Times New Roman" w:hAnsi="Times New Roman" w:cs="Times New Roman"/>
          <w:noProof/>
          <w:sz w:val="24"/>
          <w:szCs w:val="24"/>
          <w:lang w:val="en-US"/>
        </w:rPr>
        <w:t>a further country indicated it was</w:t>
      </w:r>
      <w:r w:rsidRPr="009326D3">
        <w:rPr>
          <w:rFonts w:ascii="Times New Roman" w:hAnsi="Times New Roman" w:cs="Times New Roman"/>
          <w:noProof/>
          <w:sz w:val="24"/>
          <w:szCs w:val="24"/>
          <w:lang w:val="en-US"/>
        </w:rPr>
        <w:t xml:space="preserve"> in regional </w:t>
      </w:r>
      <w:r w:rsidR="0076318B" w:rsidRPr="009326D3">
        <w:rPr>
          <w:rFonts w:ascii="Times New Roman" w:hAnsi="Times New Roman" w:cs="Times New Roman"/>
          <w:noProof/>
          <w:sz w:val="24"/>
          <w:szCs w:val="24"/>
          <w:lang w:val="en-US"/>
        </w:rPr>
        <w:t xml:space="preserve">treasury </w:t>
      </w:r>
      <w:r w:rsidRPr="009326D3">
        <w:rPr>
          <w:rFonts w:ascii="Times New Roman" w:hAnsi="Times New Roman" w:cs="Times New Roman"/>
          <w:noProof/>
          <w:sz w:val="24"/>
          <w:szCs w:val="24"/>
          <w:lang w:val="en-US"/>
        </w:rPr>
        <w:t xml:space="preserve">offices (this was </w:t>
      </w:r>
      <w:r w:rsidR="001E280B">
        <w:rPr>
          <w:rFonts w:ascii="Times New Roman" w:hAnsi="Times New Roman" w:cs="Times New Roman"/>
          <w:noProof/>
          <w:sz w:val="24"/>
          <w:szCs w:val="24"/>
          <w:lang w:val="en-US"/>
        </w:rPr>
        <w:t xml:space="preserve">the </w:t>
      </w:r>
      <w:r w:rsidRPr="009326D3">
        <w:rPr>
          <w:rFonts w:ascii="Times New Roman" w:hAnsi="Times New Roman" w:cs="Times New Roman"/>
          <w:noProof/>
          <w:sz w:val="24"/>
          <w:szCs w:val="24"/>
          <w:lang w:val="en-US"/>
        </w:rPr>
        <w:t xml:space="preserve">Kyrgyz Republic which does not have a distributed system across its </w:t>
      </w:r>
      <w:r w:rsidR="0076318B" w:rsidRPr="009326D3">
        <w:rPr>
          <w:rFonts w:ascii="Times New Roman" w:hAnsi="Times New Roman" w:cs="Times New Roman"/>
          <w:noProof/>
          <w:sz w:val="24"/>
          <w:szCs w:val="24"/>
          <w:lang w:val="en-US"/>
        </w:rPr>
        <w:t xml:space="preserve">treasury offices).  Two countries also record commitments in the procurement system and four in </w:t>
      </w:r>
      <w:r w:rsidR="001E280B">
        <w:rPr>
          <w:rFonts w:ascii="Times New Roman" w:hAnsi="Times New Roman" w:cs="Times New Roman"/>
          <w:noProof/>
          <w:sz w:val="24"/>
          <w:szCs w:val="24"/>
          <w:lang w:val="en-US"/>
        </w:rPr>
        <w:t xml:space="preserve">the </w:t>
      </w:r>
      <w:r w:rsidR="0076318B" w:rsidRPr="009326D3">
        <w:rPr>
          <w:rFonts w:ascii="Times New Roman" w:hAnsi="Times New Roman" w:cs="Times New Roman"/>
          <w:noProof/>
          <w:sz w:val="24"/>
          <w:szCs w:val="24"/>
          <w:lang w:val="en-US"/>
        </w:rPr>
        <w:t>MDA FMIS. Of these</w:t>
      </w:r>
      <w:r w:rsidR="001E280B">
        <w:rPr>
          <w:rFonts w:ascii="Times New Roman" w:hAnsi="Times New Roman" w:cs="Times New Roman"/>
          <w:noProof/>
          <w:sz w:val="24"/>
          <w:szCs w:val="24"/>
          <w:lang w:val="en-US"/>
        </w:rPr>
        <w:t>,</w:t>
      </w:r>
      <w:r w:rsidR="0076318B" w:rsidRPr="009326D3">
        <w:rPr>
          <w:rFonts w:ascii="Times New Roman" w:hAnsi="Times New Roman" w:cs="Times New Roman"/>
          <w:noProof/>
          <w:sz w:val="24"/>
          <w:szCs w:val="24"/>
          <w:lang w:val="en-US"/>
        </w:rPr>
        <w:t xml:space="preserve"> Russia records commitments in three systems</w:t>
      </w:r>
      <w:r w:rsidR="001E280B">
        <w:rPr>
          <w:rFonts w:ascii="Times New Roman" w:hAnsi="Times New Roman" w:cs="Times New Roman"/>
          <w:noProof/>
          <w:sz w:val="24"/>
          <w:szCs w:val="24"/>
          <w:lang w:val="en-US"/>
        </w:rPr>
        <w:t>, Procurement and both the central and MDA FMIS</w:t>
      </w:r>
      <w:r w:rsidR="0076318B" w:rsidRPr="009326D3">
        <w:rPr>
          <w:rFonts w:ascii="Times New Roman" w:hAnsi="Times New Roman" w:cs="Times New Roman"/>
          <w:noProof/>
          <w:sz w:val="24"/>
          <w:szCs w:val="24"/>
          <w:lang w:val="en-US"/>
        </w:rPr>
        <w:t>.</w:t>
      </w:r>
    </w:p>
    <w:p w14:paraId="7C64A9D5" w14:textId="2D53F57C" w:rsidR="008E51DB" w:rsidRPr="009326D3" w:rsidRDefault="0076318B" w:rsidP="00690DC3">
      <w:pPr>
        <w:rPr>
          <w:rFonts w:ascii="Times New Roman" w:hAnsi="Times New Roman" w:cs="Times New Roman"/>
          <w:i/>
          <w:noProof/>
          <w:color w:val="4F81BD" w:themeColor="accent1"/>
          <w:sz w:val="24"/>
          <w:szCs w:val="24"/>
          <w:lang w:val="en-US"/>
        </w:rPr>
      </w:pPr>
      <w:r w:rsidRPr="009326D3">
        <w:rPr>
          <w:rFonts w:ascii="Times New Roman" w:hAnsi="Times New Roman" w:cs="Times New Roman"/>
          <w:i/>
          <w:noProof/>
          <w:color w:val="4F81BD" w:themeColor="accent1"/>
          <w:sz w:val="24"/>
          <w:szCs w:val="24"/>
          <w:lang w:val="en-US"/>
        </w:rPr>
        <w:t xml:space="preserve">Figure </w:t>
      </w:r>
      <w:r w:rsidR="001B4892" w:rsidRPr="009326D3">
        <w:rPr>
          <w:rFonts w:ascii="Times New Roman" w:hAnsi="Times New Roman" w:cs="Times New Roman"/>
          <w:i/>
          <w:noProof/>
          <w:color w:val="4F81BD" w:themeColor="accent1"/>
          <w:sz w:val="24"/>
          <w:szCs w:val="24"/>
          <w:lang w:val="en-US"/>
        </w:rPr>
        <w:t>4</w:t>
      </w:r>
      <w:r w:rsidRPr="009326D3">
        <w:rPr>
          <w:rFonts w:ascii="Times New Roman" w:hAnsi="Times New Roman" w:cs="Times New Roman"/>
          <w:i/>
          <w:noProof/>
          <w:color w:val="4F81BD" w:themeColor="accent1"/>
          <w:sz w:val="24"/>
          <w:szCs w:val="24"/>
          <w:lang w:val="en-US"/>
        </w:rPr>
        <w:t xml:space="preserve"> -  Recording of Commitments</w:t>
      </w:r>
    </w:p>
    <w:p w14:paraId="6D9C15E1" w14:textId="29A1CA9A" w:rsidR="008E51DB" w:rsidRDefault="008E51DB" w:rsidP="00690DC3">
      <w:pPr>
        <w:rPr>
          <w:b/>
          <w:noProof/>
          <w:lang w:val="en-US"/>
        </w:rPr>
      </w:pPr>
      <w:r>
        <w:rPr>
          <w:noProof/>
          <w:lang w:val="en-US"/>
        </w:rPr>
        <w:lastRenderedPageBreak/>
        <w:drawing>
          <wp:inline distT="0" distB="0" distL="0" distR="0" wp14:anchorId="284025CE" wp14:editId="06CEE0D3">
            <wp:extent cx="4572000" cy="2743200"/>
            <wp:effectExtent l="0" t="0" r="25400" b="254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C9ED5A" w14:textId="16F597E7" w:rsidR="00690DC3" w:rsidRPr="009326D3" w:rsidRDefault="00EA44EE" w:rsidP="00EA44EE">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 xml:space="preserve">Q10. </w:t>
      </w:r>
      <w:r w:rsidR="001E280B">
        <w:rPr>
          <w:rFonts w:ascii="Times New Roman" w:hAnsi="Times New Roman" w:cs="Times New Roman"/>
          <w:b/>
          <w:i/>
          <w:noProof/>
          <w:sz w:val="24"/>
          <w:szCs w:val="24"/>
          <w:lang w:val="en-US"/>
        </w:rPr>
        <w:t>What are the categories of s</w:t>
      </w:r>
      <w:r w:rsidR="0076318B" w:rsidRPr="009326D3">
        <w:rPr>
          <w:rFonts w:ascii="Times New Roman" w:hAnsi="Times New Roman" w:cs="Times New Roman"/>
          <w:b/>
          <w:i/>
          <w:noProof/>
          <w:sz w:val="24"/>
          <w:szCs w:val="24"/>
          <w:lang w:val="en-US"/>
        </w:rPr>
        <w:t xml:space="preserve">pending </w:t>
      </w:r>
      <w:r w:rsidR="001E280B">
        <w:rPr>
          <w:rFonts w:ascii="Times New Roman" w:hAnsi="Times New Roman" w:cs="Times New Roman"/>
          <w:b/>
          <w:i/>
          <w:noProof/>
          <w:sz w:val="24"/>
          <w:szCs w:val="24"/>
          <w:lang w:val="en-US"/>
        </w:rPr>
        <w:t xml:space="preserve">covered by </w:t>
      </w:r>
      <w:r w:rsidR="0076318B" w:rsidRPr="009326D3">
        <w:rPr>
          <w:rFonts w:ascii="Times New Roman" w:hAnsi="Times New Roman" w:cs="Times New Roman"/>
          <w:b/>
          <w:i/>
          <w:noProof/>
          <w:sz w:val="24"/>
          <w:szCs w:val="24"/>
          <w:lang w:val="en-US"/>
        </w:rPr>
        <w:t>Commitments</w:t>
      </w:r>
      <w:r w:rsidR="001E280B">
        <w:rPr>
          <w:rFonts w:ascii="Times New Roman" w:hAnsi="Times New Roman" w:cs="Times New Roman"/>
          <w:b/>
          <w:i/>
          <w:noProof/>
          <w:sz w:val="24"/>
          <w:szCs w:val="24"/>
          <w:lang w:val="en-US"/>
        </w:rPr>
        <w:t>?</w:t>
      </w:r>
      <w:r w:rsidR="00690DC3" w:rsidRPr="009326D3">
        <w:rPr>
          <w:rFonts w:ascii="Times New Roman" w:hAnsi="Times New Roman" w:cs="Times New Roman"/>
          <w:b/>
          <w:i/>
          <w:noProof/>
          <w:sz w:val="24"/>
          <w:szCs w:val="24"/>
          <w:lang w:val="en-US"/>
        </w:rPr>
        <w:t xml:space="preserve"> </w:t>
      </w:r>
    </w:p>
    <w:p w14:paraId="22535727" w14:textId="77777777" w:rsidR="0076318B" w:rsidRPr="009326D3" w:rsidRDefault="0076318B" w:rsidP="0076318B">
      <w:pPr>
        <w:spacing w:after="0" w:line="240" w:lineRule="auto"/>
        <w:rPr>
          <w:rFonts w:ascii="Times New Roman" w:hAnsi="Times New Roman" w:cs="Times New Roman"/>
          <w:noProof/>
          <w:sz w:val="24"/>
          <w:szCs w:val="24"/>
          <w:lang w:val="en-US"/>
        </w:rPr>
      </w:pPr>
    </w:p>
    <w:p w14:paraId="1BFAFE73" w14:textId="0E912470" w:rsidR="00A62540" w:rsidRPr="009326D3" w:rsidRDefault="00A62540" w:rsidP="0076318B">
      <w:pPr>
        <w:spacing w:after="0" w:line="240" w:lineRule="auto"/>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 xml:space="preserve">Table 2 indicates that the </w:t>
      </w:r>
      <w:r w:rsidR="001E280B">
        <w:rPr>
          <w:rFonts w:ascii="Times New Roman" w:hAnsi="Times New Roman" w:cs="Times New Roman"/>
          <w:noProof/>
          <w:sz w:val="24"/>
          <w:szCs w:val="24"/>
          <w:lang w:val="en-US"/>
        </w:rPr>
        <w:t xml:space="preserve">categories </w:t>
      </w:r>
      <w:r w:rsidRPr="009326D3">
        <w:rPr>
          <w:rFonts w:ascii="Times New Roman" w:hAnsi="Times New Roman" w:cs="Times New Roman"/>
          <w:noProof/>
          <w:sz w:val="24"/>
          <w:szCs w:val="24"/>
          <w:lang w:val="en-US"/>
        </w:rPr>
        <w:t xml:space="preserve">of spending </w:t>
      </w:r>
      <w:r w:rsidR="001E280B">
        <w:rPr>
          <w:rFonts w:ascii="Times New Roman" w:hAnsi="Times New Roman" w:cs="Times New Roman"/>
          <w:noProof/>
          <w:sz w:val="24"/>
          <w:szCs w:val="24"/>
          <w:lang w:val="en-US"/>
        </w:rPr>
        <w:t>covered by</w:t>
      </w:r>
      <w:r w:rsidRPr="009326D3">
        <w:rPr>
          <w:rFonts w:ascii="Times New Roman" w:hAnsi="Times New Roman" w:cs="Times New Roman"/>
          <w:noProof/>
          <w:sz w:val="24"/>
          <w:szCs w:val="24"/>
          <w:lang w:val="en-US"/>
        </w:rPr>
        <w:t xml:space="preserve"> commitments is very similar across all eleven respondent countries with all but debt recorded in each country. Georgia also indicated that it includes a simplied quarterly commitment process for social spending</w:t>
      </w:r>
      <w:r w:rsidR="001E280B">
        <w:rPr>
          <w:rFonts w:ascii="Times New Roman" w:hAnsi="Times New Roman" w:cs="Times New Roman"/>
          <w:noProof/>
          <w:sz w:val="24"/>
          <w:szCs w:val="24"/>
          <w:lang w:val="en-US"/>
        </w:rPr>
        <w:t>. If this</w:t>
      </w:r>
      <w:r w:rsidRPr="009326D3">
        <w:rPr>
          <w:rFonts w:ascii="Times New Roman" w:hAnsi="Times New Roman" w:cs="Times New Roman"/>
          <w:noProof/>
          <w:sz w:val="24"/>
          <w:szCs w:val="24"/>
          <w:lang w:val="en-US"/>
        </w:rPr>
        <w:t xml:space="preserve"> spending is </w:t>
      </w:r>
      <w:r w:rsidR="001E280B">
        <w:rPr>
          <w:rFonts w:ascii="Times New Roman" w:hAnsi="Times New Roman" w:cs="Times New Roman"/>
          <w:noProof/>
          <w:sz w:val="24"/>
          <w:szCs w:val="24"/>
          <w:lang w:val="en-US"/>
        </w:rPr>
        <w:t>largely recurrent pension benefits then it</w:t>
      </w:r>
      <w:r w:rsidRPr="009326D3">
        <w:rPr>
          <w:rFonts w:ascii="Times New Roman" w:hAnsi="Times New Roman" w:cs="Times New Roman"/>
          <w:noProof/>
          <w:sz w:val="24"/>
          <w:szCs w:val="24"/>
          <w:lang w:val="en-US"/>
        </w:rPr>
        <w:t xml:space="preserve"> would be more akin to salary payments than for spending</w:t>
      </w:r>
      <w:r w:rsidR="001E280B">
        <w:rPr>
          <w:rFonts w:ascii="Times New Roman" w:hAnsi="Times New Roman" w:cs="Times New Roman"/>
          <w:noProof/>
          <w:sz w:val="24"/>
          <w:szCs w:val="24"/>
          <w:lang w:val="en-US"/>
        </w:rPr>
        <w:t xml:space="preserve"> on goods, services or capital</w:t>
      </w:r>
      <w:r w:rsidR="001E280B">
        <w:rPr>
          <w:rStyle w:val="FootnoteReference"/>
          <w:rFonts w:ascii="Times New Roman" w:hAnsi="Times New Roman" w:cs="Times New Roman"/>
          <w:noProof/>
          <w:szCs w:val="24"/>
          <w:lang w:val="en-US"/>
        </w:rPr>
        <w:footnoteReference w:id="12"/>
      </w:r>
      <w:r w:rsidRPr="009326D3">
        <w:rPr>
          <w:rFonts w:ascii="Times New Roman" w:hAnsi="Times New Roman" w:cs="Times New Roman"/>
          <w:noProof/>
          <w:sz w:val="24"/>
          <w:szCs w:val="24"/>
          <w:lang w:val="en-US"/>
        </w:rPr>
        <w:t xml:space="preserve">.    </w:t>
      </w:r>
    </w:p>
    <w:p w14:paraId="40691FF0" w14:textId="77777777" w:rsidR="00A62540" w:rsidRPr="009326D3" w:rsidRDefault="00A62540" w:rsidP="0076318B">
      <w:pPr>
        <w:spacing w:after="0" w:line="240" w:lineRule="auto"/>
        <w:rPr>
          <w:rFonts w:ascii="Times New Roman" w:hAnsi="Times New Roman" w:cs="Times New Roman"/>
          <w:noProof/>
          <w:sz w:val="24"/>
          <w:szCs w:val="24"/>
          <w:lang w:val="en-US"/>
        </w:rPr>
      </w:pPr>
    </w:p>
    <w:p w14:paraId="769D7CDF" w14:textId="1333288C" w:rsidR="0076318B" w:rsidRPr="009326D3" w:rsidRDefault="0076318B" w:rsidP="0076318B">
      <w:pPr>
        <w:spacing w:after="0" w:line="240" w:lineRule="auto"/>
        <w:rPr>
          <w:rFonts w:ascii="Times New Roman" w:hAnsi="Times New Roman" w:cs="Times New Roman"/>
          <w:i/>
          <w:noProof/>
          <w:color w:val="4F81BD" w:themeColor="accent1"/>
          <w:sz w:val="24"/>
          <w:szCs w:val="24"/>
          <w:lang w:val="en-US"/>
        </w:rPr>
      </w:pPr>
      <w:r w:rsidRPr="009326D3">
        <w:rPr>
          <w:rFonts w:ascii="Times New Roman" w:hAnsi="Times New Roman" w:cs="Times New Roman"/>
          <w:i/>
          <w:noProof/>
          <w:color w:val="4F81BD" w:themeColor="accent1"/>
          <w:sz w:val="24"/>
          <w:szCs w:val="24"/>
          <w:lang w:val="en-US"/>
        </w:rPr>
        <w:t>Table 2 – Commitments and Types of Spending</w:t>
      </w:r>
    </w:p>
    <w:p w14:paraId="7244B243" w14:textId="77777777" w:rsidR="0076318B" w:rsidRPr="0076318B" w:rsidRDefault="0076318B" w:rsidP="0076318B">
      <w:pPr>
        <w:spacing w:after="0" w:line="240" w:lineRule="auto"/>
        <w:rPr>
          <w:i/>
          <w:noProof/>
          <w:lang w:val="en-US"/>
        </w:rPr>
      </w:pPr>
    </w:p>
    <w:tbl>
      <w:tblPr>
        <w:tblStyle w:val="TableGrid"/>
        <w:tblW w:w="0" w:type="auto"/>
        <w:tblLook w:val="04A0" w:firstRow="1" w:lastRow="0" w:firstColumn="1" w:lastColumn="0" w:noHBand="0" w:noVBand="1"/>
      </w:tblPr>
      <w:tblGrid>
        <w:gridCol w:w="3283"/>
        <w:gridCol w:w="3283"/>
      </w:tblGrid>
      <w:tr w:rsidR="00A62540" w14:paraId="34EFA165" w14:textId="77777777" w:rsidTr="00A62540">
        <w:tc>
          <w:tcPr>
            <w:tcW w:w="3283" w:type="dxa"/>
            <w:shd w:val="clear" w:color="auto" w:fill="808080" w:themeFill="background1" w:themeFillShade="80"/>
          </w:tcPr>
          <w:p w14:paraId="309D8E40" w14:textId="00DB4C96" w:rsidR="00A62540" w:rsidRPr="00A62540" w:rsidRDefault="00A62540" w:rsidP="0076318B">
            <w:pPr>
              <w:spacing w:after="0" w:line="240" w:lineRule="auto"/>
              <w:ind w:left="720"/>
              <w:rPr>
                <w:b/>
                <w:noProof/>
                <w:lang w:val="en-US"/>
              </w:rPr>
            </w:pPr>
            <w:r w:rsidRPr="00A62540">
              <w:rPr>
                <w:b/>
                <w:noProof/>
                <w:lang w:val="en-US"/>
              </w:rPr>
              <w:t>Type of Spending</w:t>
            </w:r>
          </w:p>
        </w:tc>
        <w:tc>
          <w:tcPr>
            <w:tcW w:w="3283" w:type="dxa"/>
            <w:shd w:val="clear" w:color="auto" w:fill="808080" w:themeFill="background1" w:themeFillShade="80"/>
          </w:tcPr>
          <w:p w14:paraId="2766FC73" w14:textId="7815D38E" w:rsidR="00A62540" w:rsidRPr="00A62540" w:rsidRDefault="00A62540" w:rsidP="0076318B">
            <w:pPr>
              <w:spacing w:after="0" w:line="240" w:lineRule="auto"/>
              <w:rPr>
                <w:b/>
                <w:noProof/>
                <w:lang w:val="en-US"/>
              </w:rPr>
            </w:pPr>
            <w:r w:rsidRPr="00A62540">
              <w:rPr>
                <w:b/>
                <w:noProof/>
                <w:lang w:val="en-US"/>
              </w:rPr>
              <w:t>Number of Countries</w:t>
            </w:r>
          </w:p>
        </w:tc>
      </w:tr>
      <w:tr w:rsidR="00A62540" w14:paraId="5D6ACACF" w14:textId="77777777" w:rsidTr="0076318B">
        <w:tc>
          <w:tcPr>
            <w:tcW w:w="3283" w:type="dxa"/>
          </w:tcPr>
          <w:p w14:paraId="3059D91E" w14:textId="0BB3C423" w:rsidR="00A62540" w:rsidRPr="00A62540" w:rsidRDefault="00A62540" w:rsidP="0076318B">
            <w:pPr>
              <w:spacing w:after="0" w:line="240" w:lineRule="auto"/>
              <w:ind w:left="720"/>
              <w:rPr>
                <w:noProof/>
                <w:lang w:val="en-US"/>
              </w:rPr>
            </w:pPr>
            <w:r w:rsidRPr="00A62540">
              <w:rPr>
                <w:noProof/>
                <w:lang w:val="en-US"/>
              </w:rPr>
              <w:t>Utilities</w:t>
            </w:r>
          </w:p>
          <w:p w14:paraId="5CFD5A93" w14:textId="77777777" w:rsidR="00A62540" w:rsidRPr="00A62540" w:rsidRDefault="00A62540" w:rsidP="0076318B">
            <w:pPr>
              <w:spacing w:after="0" w:line="240" w:lineRule="auto"/>
              <w:ind w:left="720"/>
              <w:rPr>
                <w:noProof/>
                <w:lang w:val="en-US"/>
              </w:rPr>
            </w:pPr>
          </w:p>
        </w:tc>
        <w:tc>
          <w:tcPr>
            <w:tcW w:w="3283" w:type="dxa"/>
          </w:tcPr>
          <w:p w14:paraId="7E88B3E8" w14:textId="7861F036" w:rsidR="00A62540" w:rsidRPr="00A62540" w:rsidRDefault="00A62540" w:rsidP="0076318B">
            <w:pPr>
              <w:spacing w:after="0" w:line="240" w:lineRule="auto"/>
              <w:rPr>
                <w:noProof/>
                <w:lang w:val="en-US"/>
              </w:rPr>
            </w:pPr>
            <w:r w:rsidRPr="00A62540">
              <w:rPr>
                <w:noProof/>
                <w:lang w:val="en-US"/>
              </w:rPr>
              <w:t>11</w:t>
            </w:r>
          </w:p>
        </w:tc>
      </w:tr>
      <w:tr w:rsidR="00A62540" w14:paraId="74D46104" w14:textId="77777777" w:rsidTr="0076318B">
        <w:tc>
          <w:tcPr>
            <w:tcW w:w="3283" w:type="dxa"/>
          </w:tcPr>
          <w:p w14:paraId="24D1799C" w14:textId="77777777" w:rsidR="00A62540" w:rsidRPr="00A62540" w:rsidRDefault="00A62540" w:rsidP="0076318B">
            <w:pPr>
              <w:spacing w:after="0" w:line="240" w:lineRule="auto"/>
              <w:ind w:left="720"/>
              <w:rPr>
                <w:noProof/>
                <w:lang w:val="en-US"/>
              </w:rPr>
            </w:pPr>
            <w:r w:rsidRPr="00A62540">
              <w:rPr>
                <w:noProof/>
                <w:lang w:val="en-US"/>
              </w:rPr>
              <w:t xml:space="preserve">Other goods and services </w:t>
            </w:r>
          </w:p>
          <w:p w14:paraId="63F8E3F5" w14:textId="77777777" w:rsidR="00A62540" w:rsidRPr="00A62540" w:rsidRDefault="00A62540" w:rsidP="0076318B">
            <w:pPr>
              <w:spacing w:after="0" w:line="240" w:lineRule="auto"/>
              <w:rPr>
                <w:noProof/>
                <w:lang w:val="en-US"/>
              </w:rPr>
            </w:pPr>
          </w:p>
        </w:tc>
        <w:tc>
          <w:tcPr>
            <w:tcW w:w="3283" w:type="dxa"/>
          </w:tcPr>
          <w:p w14:paraId="5E4E16FA" w14:textId="60493623" w:rsidR="00A62540" w:rsidRPr="00A62540" w:rsidRDefault="00A62540" w:rsidP="0076318B">
            <w:pPr>
              <w:spacing w:after="0" w:line="240" w:lineRule="auto"/>
              <w:rPr>
                <w:noProof/>
                <w:lang w:val="en-US"/>
              </w:rPr>
            </w:pPr>
            <w:r w:rsidRPr="00A62540">
              <w:rPr>
                <w:noProof/>
                <w:lang w:val="en-US"/>
              </w:rPr>
              <w:t>11</w:t>
            </w:r>
          </w:p>
        </w:tc>
      </w:tr>
      <w:tr w:rsidR="00A62540" w14:paraId="35230CF7" w14:textId="77777777" w:rsidTr="0076318B">
        <w:tc>
          <w:tcPr>
            <w:tcW w:w="3283" w:type="dxa"/>
          </w:tcPr>
          <w:p w14:paraId="73D3868F" w14:textId="77777777" w:rsidR="00A62540" w:rsidRPr="00A62540" w:rsidRDefault="00A62540" w:rsidP="0076318B">
            <w:pPr>
              <w:spacing w:after="0" w:line="240" w:lineRule="auto"/>
              <w:ind w:left="720"/>
              <w:rPr>
                <w:noProof/>
                <w:lang w:val="en-US"/>
              </w:rPr>
            </w:pPr>
            <w:r w:rsidRPr="00A62540">
              <w:rPr>
                <w:noProof/>
                <w:lang w:val="en-US"/>
              </w:rPr>
              <w:t>Capital spending</w:t>
            </w:r>
          </w:p>
          <w:p w14:paraId="55136BDA" w14:textId="77777777" w:rsidR="00A62540" w:rsidRPr="00A62540" w:rsidRDefault="00A62540" w:rsidP="0076318B">
            <w:pPr>
              <w:spacing w:after="0" w:line="240" w:lineRule="auto"/>
              <w:rPr>
                <w:noProof/>
                <w:lang w:val="en-US"/>
              </w:rPr>
            </w:pPr>
          </w:p>
        </w:tc>
        <w:tc>
          <w:tcPr>
            <w:tcW w:w="3283" w:type="dxa"/>
          </w:tcPr>
          <w:p w14:paraId="651D6E73" w14:textId="73AEB38E" w:rsidR="00A62540" w:rsidRPr="00A62540" w:rsidRDefault="00A62540" w:rsidP="0076318B">
            <w:pPr>
              <w:spacing w:after="0" w:line="240" w:lineRule="auto"/>
              <w:rPr>
                <w:noProof/>
                <w:lang w:val="en-US"/>
              </w:rPr>
            </w:pPr>
            <w:r w:rsidRPr="00A62540">
              <w:rPr>
                <w:noProof/>
                <w:lang w:val="en-US"/>
              </w:rPr>
              <w:t>11</w:t>
            </w:r>
          </w:p>
        </w:tc>
      </w:tr>
      <w:tr w:rsidR="00A62540" w14:paraId="25AC817C" w14:textId="77777777" w:rsidTr="0076318B">
        <w:tc>
          <w:tcPr>
            <w:tcW w:w="3283" w:type="dxa"/>
          </w:tcPr>
          <w:p w14:paraId="6084674D" w14:textId="77777777" w:rsidR="00A62540" w:rsidRPr="00A62540" w:rsidRDefault="00A62540" w:rsidP="0076318B">
            <w:pPr>
              <w:spacing w:after="0" w:line="240" w:lineRule="auto"/>
              <w:ind w:left="720"/>
              <w:rPr>
                <w:noProof/>
                <w:lang w:val="en-US"/>
              </w:rPr>
            </w:pPr>
            <w:r w:rsidRPr="00A62540">
              <w:rPr>
                <w:noProof/>
                <w:lang w:val="en-US"/>
              </w:rPr>
              <w:t>Project spending</w:t>
            </w:r>
          </w:p>
          <w:p w14:paraId="6FC1C3F5" w14:textId="77777777" w:rsidR="00A62540" w:rsidRPr="00A62540" w:rsidRDefault="00A62540" w:rsidP="0076318B">
            <w:pPr>
              <w:spacing w:after="0" w:line="240" w:lineRule="auto"/>
              <w:rPr>
                <w:noProof/>
                <w:lang w:val="en-US"/>
              </w:rPr>
            </w:pPr>
          </w:p>
        </w:tc>
        <w:tc>
          <w:tcPr>
            <w:tcW w:w="3283" w:type="dxa"/>
          </w:tcPr>
          <w:p w14:paraId="77878955" w14:textId="102B3C6F" w:rsidR="00A62540" w:rsidRPr="00A62540" w:rsidRDefault="00A62540" w:rsidP="0076318B">
            <w:pPr>
              <w:spacing w:after="0" w:line="240" w:lineRule="auto"/>
              <w:rPr>
                <w:noProof/>
                <w:lang w:val="en-US"/>
              </w:rPr>
            </w:pPr>
            <w:r w:rsidRPr="00A62540">
              <w:rPr>
                <w:noProof/>
                <w:lang w:val="en-US"/>
              </w:rPr>
              <w:t>11</w:t>
            </w:r>
          </w:p>
        </w:tc>
      </w:tr>
      <w:tr w:rsidR="00A62540" w14:paraId="5DE68A17" w14:textId="77777777" w:rsidTr="0076318B">
        <w:tc>
          <w:tcPr>
            <w:tcW w:w="3283" w:type="dxa"/>
          </w:tcPr>
          <w:p w14:paraId="2EEF875F" w14:textId="77777777" w:rsidR="00A62540" w:rsidRPr="00A62540" w:rsidRDefault="00A62540" w:rsidP="0076318B">
            <w:pPr>
              <w:spacing w:after="0" w:line="240" w:lineRule="auto"/>
              <w:ind w:left="720"/>
              <w:rPr>
                <w:noProof/>
                <w:lang w:val="en-US"/>
              </w:rPr>
            </w:pPr>
            <w:r w:rsidRPr="00A62540">
              <w:rPr>
                <w:noProof/>
                <w:lang w:val="en-US"/>
              </w:rPr>
              <w:t xml:space="preserve">Debt Servicing </w:t>
            </w:r>
          </w:p>
          <w:p w14:paraId="4ACAC11B" w14:textId="77777777" w:rsidR="00A62540" w:rsidRPr="00A62540" w:rsidRDefault="00A62540" w:rsidP="0076318B">
            <w:pPr>
              <w:spacing w:after="0" w:line="240" w:lineRule="auto"/>
              <w:rPr>
                <w:noProof/>
                <w:lang w:val="en-US"/>
              </w:rPr>
            </w:pPr>
          </w:p>
        </w:tc>
        <w:tc>
          <w:tcPr>
            <w:tcW w:w="3283" w:type="dxa"/>
          </w:tcPr>
          <w:p w14:paraId="5F5F1647" w14:textId="65BA2CE3" w:rsidR="00A62540" w:rsidRPr="00A62540" w:rsidRDefault="00A62540" w:rsidP="0076318B">
            <w:pPr>
              <w:spacing w:after="0" w:line="240" w:lineRule="auto"/>
              <w:rPr>
                <w:noProof/>
                <w:lang w:val="en-US"/>
              </w:rPr>
            </w:pPr>
            <w:r w:rsidRPr="00A62540">
              <w:rPr>
                <w:noProof/>
                <w:lang w:val="en-US"/>
              </w:rPr>
              <w:t>4</w:t>
            </w:r>
          </w:p>
        </w:tc>
      </w:tr>
      <w:tr w:rsidR="00A62540" w14:paraId="79C589E9" w14:textId="77777777" w:rsidTr="0076318B">
        <w:tc>
          <w:tcPr>
            <w:tcW w:w="3283" w:type="dxa"/>
          </w:tcPr>
          <w:p w14:paraId="44060DF8" w14:textId="0A7833D5" w:rsidR="00A62540" w:rsidRPr="00A62540" w:rsidRDefault="00A62540" w:rsidP="00A62540">
            <w:pPr>
              <w:spacing w:after="0" w:line="240" w:lineRule="auto"/>
              <w:ind w:left="720"/>
              <w:rPr>
                <w:noProof/>
                <w:lang w:val="en-US"/>
              </w:rPr>
            </w:pPr>
            <w:r w:rsidRPr="00A62540">
              <w:rPr>
                <w:noProof/>
                <w:lang w:val="en-US"/>
              </w:rPr>
              <w:t>Other – please specify</w:t>
            </w:r>
          </w:p>
        </w:tc>
        <w:tc>
          <w:tcPr>
            <w:tcW w:w="3283" w:type="dxa"/>
          </w:tcPr>
          <w:p w14:paraId="3752AD0D" w14:textId="3258F401" w:rsidR="00A62540" w:rsidRPr="00A62540" w:rsidRDefault="00A62540" w:rsidP="0076318B">
            <w:pPr>
              <w:spacing w:after="0" w:line="240" w:lineRule="auto"/>
              <w:rPr>
                <w:noProof/>
                <w:lang w:val="en-US"/>
              </w:rPr>
            </w:pPr>
            <w:r w:rsidRPr="00A62540">
              <w:rPr>
                <w:noProof/>
                <w:lang w:val="en-US"/>
              </w:rPr>
              <w:t>1</w:t>
            </w:r>
          </w:p>
        </w:tc>
      </w:tr>
    </w:tbl>
    <w:p w14:paraId="693C276B" w14:textId="77777777" w:rsidR="0076318B" w:rsidRPr="000A342A" w:rsidRDefault="0076318B" w:rsidP="00690DC3">
      <w:pPr>
        <w:rPr>
          <w:noProof/>
          <w:lang w:val="en-US"/>
        </w:rPr>
      </w:pPr>
    </w:p>
    <w:p w14:paraId="636F6B12" w14:textId="10F2E553" w:rsidR="00690DC3" w:rsidRPr="009326D3" w:rsidRDefault="00EA44EE" w:rsidP="00EA44EE">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 xml:space="preserve">Q11. </w:t>
      </w:r>
      <w:r w:rsidR="00690DC3" w:rsidRPr="009326D3">
        <w:rPr>
          <w:rFonts w:ascii="Times New Roman" w:hAnsi="Times New Roman" w:cs="Times New Roman"/>
          <w:b/>
          <w:i/>
          <w:noProof/>
          <w:sz w:val="24"/>
          <w:szCs w:val="24"/>
          <w:lang w:val="en-US"/>
        </w:rPr>
        <w:t>Is a purchase order issued for all commitments?</w:t>
      </w:r>
    </w:p>
    <w:p w14:paraId="446B812F" w14:textId="36FC4CD9" w:rsidR="00690DC3" w:rsidRPr="009326D3" w:rsidRDefault="00EA44EE" w:rsidP="00EA44EE">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 xml:space="preserve">Q12. </w:t>
      </w:r>
      <w:r w:rsidR="00690DC3" w:rsidRPr="009326D3">
        <w:rPr>
          <w:rFonts w:ascii="Times New Roman" w:hAnsi="Times New Roman" w:cs="Times New Roman"/>
          <w:b/>
          <w:i/>
          <w:noProof/>
          <w:sz w:val="24"/>
          <w:szCs w:val="24"/>
          <w:lang w:val="en-US"/>
        </w:rPr>
        <w:t xml:space="preserve">If yes is the purchase order issued from the same system that also controls spending against the budget and appropriations? </w:t>
      </w:r>
    </w:p>
    <w:p w14:paraId="6B47B446" w14:textId="77777777" w:rsidR="00690DC3" w:rsidRPr="009326D3" w:rsidRDefault="00690DC3" w:rsidP="00690DC3">
      <w:pPr>
        <w:rPr>
          <w:rFonts w:ascii="Times New Roman" w:hAnsi="Times New Roman" w:cs="Times New Roman"/>
          <w:b/>
          <w:i/>
          <w:noProof/>
          <w:sz w:val="24"/>
          <w:szCs w:val="24"/>
          <w:lang w:val="en-US"/>
        </w:rPr>
      </w:pPr>
    </w:p>
    <w:p w14:paraId="3F51F0E1" w14:textId="1C409F6B" w:rsidR="00A62540" w:rsidRPr="009326D3" w:rsidRDefault="00A62540" w:rsidP="00690DC3">
      <w:pPr>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 xml:space="preserve">Until this point in the commitment stage of the questionnaire, the responses had been relatively consistent across countries. However, </w:t>
      </w:r>
      <w:r w:rsidR="00131337" w:rsidRPr="009326D3">
        <w:rPr>
          <w:rFonts w:ascii="Times New Roman" w:hAnsi="Times New Roman" w:cs="Times New Roman"/>
          <w:noProof/>
          <w:sz w:val="24"/>
          <w:szCs w:val="24"/>
          <w:lang w:val="en-US"/>
        </w:rPr>
        <w:t>only six of the eleven countries that indicated they record commitments for spending also issue purchase o</w:t>
      </w:r>
      <w:r w:rsidR="002D7B4B">
        <w:rPr>
          <w:rFonts w:ascii="Times New Roman" w:hAnsi="Times New Roman" w:cs="Times New Roman"/>
          <w:noProof/>
          <w:sz w:val="24"/>
          <w:szCs w:val="24"/>
          <w:lang w:val="en-US"/>
        </w:rPr>
        <w:t>rders for those commitments, thu</w:t>
      </w:r>
      <w:r w:rsidR="00131337" w:rsidRPr="009326D3">
        <w:rPr>
          <w:rFonts w:ascii="Times New Roman" w:hAnsi="Times New Roman" w:cs="Times New Roman"/>
          <w:noProof/>
          <w:sz w:val="24"/>
          <w:szCs w:val="24"/>
          <w:lang w:val="en-US"/>
        </w:rPr>
        <w:t>s five do not</w:t>
      </w:r>
      <w:r w:rsidR="00916D4B">
        <w:rPr>
          <w:rFonts w:ascii="Times New Roman" w:hAnsi="Times New Roman" w:cs="Times New Roman"/>
          <w:noProof/>
          <w:sz w:val="24"/>
          <w:szCs w:val="24"/>
          <w:lang w:val="en-US"/>
        </w:rPr>
        <w:t xml:space="preserve"> </w:t>
      </w:r>
      <w:r w:rsidR="00916D4B">
        <w:rPr>
          <w:rFonts w:ascii="Times New Roman" w:hAnsi="Times New Roman" w:cs="Times New Roman"/>
          <w:noProof/>
          <w:sz w:val="24"/>
          <w:szCs w:val="24"/>
          <w:lang w:val="en-US"/>
        </w:rPr>
        <w:lastRenderedPageBreak/>
        <w:t>(Figure 5)</w:t>
      </w:r>
      <w:r w:rsidR="00131337" w:rsidRPr="009326D3">
        <w:rPr>
          <w:rFonts w:ascii="Times New Roman" w:hAnsi="Times New Roman" w:cs="Times New Roman"/>
          <w:noProof/>
          <w:sz w:val="24"/>
          <w:szCs w:val="24"/>
          <w:lang w:val="en-US"/>
        </w:rPr>
        <w:t xml:space="preserve">. </w:t>
      </w:r>
      <w:r w:rsidR="002D7B4B">
        <w:rPr>
          <w:rFonts w:ascii="Times New Roman" w:hAnsi="Times New Roman" w:cs="Times New Roman"/>
          <w:noProof/>
          <w:sz w:val="24"/>
          <w:szCs w:val="24"/>
          <w:lang w:val="en-US"/>
        </w:rPr>
        <w:t>O</w:t>
      </w:r>
      <w:r w:rsidR="00131337" w:rsidRPr="009326D3">
        <w:rPr>
          <w:rFonts w:ascii="Times New Roman" w:hAnsi="Times New Roman" w:cs="Times New Roman"/>
          <w:noProof/>
          <w:sz w:val="24"/>
          <w:szCs w:val="24"/>
          <w:lang w:val="en-US"/>
        </w:rPr>
        <w:t xml:space="preserve">ne </w:t>
      </w:r>
      <w:r w:rsidR="002D7B4B">
        <w:rPr>
          <w:rFonts w:ascii="Times New Roman" w:hAnsi="Times New Roman" w:cs="Times New Roman"/>
          <w:noProof/>
          <w:sz w:val="24"/>
          <w:szCs w:val="24"/>
          <w:lang w:val="en-US"/>
        </w:rPr>
        <w:t xml:space="preserve">of the six countries that issues </w:t>
      </w:r>
      <w:r w:rsidR="00131337" w:rsidRPr="009326D3">
        <w:rPr>
          <w:rFonts w:ascii="Times New Roman" w:hAnsi="Times New Roman" w:cs="Times New Roman"/>
          <w:noProof/>
          <w:sz w:val="24"/>
          <w:szCs w:val="24"/>
          <w:lang w:val="en-US"/>
        </w:rPr>
        <w:t>purchase order</w:t>
      </w:r>
      <w:r w:rsidR="002D7B4B">
        <w:rPr>
          <w:rFonts w:ascii="Times New Roman" w:hAnsi="Times New Roman" w:cs="Times New Roman"/>
          <w:noProof/>
          <w:sz w:val="24"/>
          <w:szCs w:val="24"/>
          <w:lang w:val="en-US"/>
        </w:rPr>
        <w:t>s does not do it</w:t>
      </w:r>
      <w:r w:rsidR="00131337" w:rsidRPr="009326D3">
        <w:rPr>
          <w:rFonts w:ascii="Times New Roman" w:hAnsi="Times New Roman" w:cs="Times New Roman"/>
          <w:noProof/>
          <w:sz w:val="24"/>
          <w:szCs w:val="24"/>
          <w:lang w:val="en-US"/>
        </w:rPr>
        <w:t xml:space="preserve"> from the same system that controls the budget and appropriations</w:t>
      </w:r>
      <w:r w:rsidR="00131337" w:rsidRPr="009326D3">
        <w:rPr>
          <w:rStyle w:val="FootnoteReference"/>
          <w:rFonts w:ascii="Times New Roman" w:hAnsi="Times New Roman" w:cs="Times New Roman"/>
          <w:noProof/>
          <w:sz w:val="24"/>
          <w:szCs w:val="24"/>
          <w:lang w:val="en-US"/>
        </w:rPr>
        <w:footnoteReference w:id="13"/>
      </w:r>
      <w:r w:rsidR="00131337" w:rsidRPr="009326D3">
        <w:rPr>
          <w:rFonts w:ascii="Times New Roman" w:hAnsi="Times New Roman" w:cs="Times New Roman"/>
          <w:noProof/>
          <w:sz w:val="24"/>
          <w:szCs w:val="24"/>
          <w:lang w:val="en-US"/>
        </w:rPr>
        <w:t xml:space="preserve">.   </w:t>
      </w:r>
      <w:r w:rsidRPr="009326D3">
        <w:rPr>
          <w:rFonts w:ascii="Times New Roman" w:hAnsi="Times New Roman" w:cs="Times New Roman"/>
          <w:noProof/>
          <w:sz w:val="24"/>
          <w:szCs w:val="24"/>
          <w:lang w:val="en-US"/>
        </w:rPr>
        <w:t xml:space="preserve"> </w:t>
      </w:r>
    </w:p>
    <w:p w14:paraId="11BB50A7" w14:textId="7A2DD200" w:rsidR="00A62540" w:rsidRPr="009326D3" w:rsidRDefault="001B4892" w:rsidP="00690DC3">
      <w:pPr>
        <w:rPr>
          <w:rFonts w:ascii="Times New Roman" w:hAnsi="Times New Roman" w:cs="Times New Roman"/>
          <w:i/>
          <w:noProof/>
          <w:color w:val="4F81BD" w:themeColor="accent1"/>
          <w:sz w:val="24"/>
          <w:szCs w:val="24"/>
          <w:lang w:val="en-US"/>
        </w:rPr>
      </w:pPr>
      <w:r w:rsidRPr="009326D3">
        <w:rPr>
          <w:rFonts w:ascii="Times New Roman" w:hAnsi="Times New Roman" w:cs="Times New Roman"/>
          <w:i/>
          <w:noProof/>
          <w:color w:val="4F81BD" w:themeColor="accent1"/>
          <w:sz w:val="24"/>
          <w:szCs w:val="24"/>
          <w:lang w:val="en-US"/>
        </w:rPr>
        <w:t>Figure 5</w:t>
      </w:r>
      <w:r w:rsidR="00A62540" w:rsidRPr="009326D3">
        <w:rPr>
          <w:rFonts w:ascii="Times New Roman" w:hAnsi="Times New Roman" w:cs="Times New Roman"/>
          <w:i/>
          <w:noProof/>
          <w:color w:val="4F81BD" w:themeColor="accent1"/>
          <w:sz w:val="24"/>
          <w:szCs w:val="24"/>
          <w:lang w:val="en-US"/>
        </w:rPr>
        <w:t xml:space="preserve"> – Purchase Orders and Commitments</w:t>
      </w:r>
    </w:p>
    <w:p w14:paraId="669D43CB" w14:textId="3EE6315D" w:rsidR="00E75BAC" w:rsidRDefault="00A62540" w:rsidP="007B6C22">
      <w:pPr>
        <w:rPr>
          <w:b/>
          <w:i/>
          <w:noProof/>
          <w:lang w:val="en-US"/>
        </w:rPr>
      </w:pPr>
      <w:r>
        <w:rPr>
          <w:noProof/>
          <w:lang w:val="en-US"/>
        </w:rPr>
        <w:drawing>
          <wp:inline distT="0" distB="0" distL="0" distR="0" wp14:anchorId="5D3C14D1" wp14:editId="4993BFC4">
            <wp:extent cx="4572000" cy="2743200"/>
            <wp:effectExtent l="0" t="0" r="25400" b="254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341AD6" w14:textId="77777777" w:rsidR="00E75BAC" w:rsidRPr="009326D3" w:rsidRDefault="00E75BAC" w:rsidP="00E75BAC">
      <w:pPr>
        <w:spacing w:after="0" w:line="240" w:lineRule="auto"/>
        <w:rPr>
          <w:rFonts w:ascii="Times New Roman" w:hAnsi="Times New Roman" w:cs="Times New Roman"/>
          <w:b/>
          <w:i/>
          <w:noProof/>
          <w:sz w:val="24"/>
          <w:szCs w:val="24"/>
          <w:lang w:val="en-US"/>
        </w:rPr>
      </w:pPr>
    </w:p>
    <w:p w14:paraId="38DBD738" w14:textId="7A7ECAFB" w:rsidR="00690DC3" w:rsidRPr="009326D3" w:rsidRDefault="00C447BD" w:rsidP="00C447BD">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 xml:space="preserve">Q13. </w:t>
      </w:r>
      <w:r w:rsidR="00690DC3" w:rsidRPr="009326D3">
        <w:rPr>
          <w:rFonts w:ascii="Times New Roman" w:hAnsi="Times New Roman" w:cs="Times New Roman"/>
          <w:b/>
          <w:i/>
          <w:noProof/>
          <w:sz w:val="24"/>
          <w:szCs w:val="24"/>
          <w:lang w:val="en-US"/>
        </w:rPr>
        <w:t xml:space="preserve">At what stage of the budget execution process are commitments recorded? </w:t>
      </w:r>
    </w:p>
    <w:p w14:paraId="32F67C74" w14:textId="77777777" w:rsidR="00E75BAC" w:rsidRPr="009326D3" w:rsidRDefault="00E75BAC" w:rsidP="00E75BAC">
      <w:pPr>
        <w:spacing w:after="0" w:line="240" w:lineRule="auto"/>
        <w:rPr>
          <w:rFonts w:ascii="Times New Roman" w:hAnsi="Times New Roman" w:cs="Times New Roman"/>
          <w:b/>
          <w:i/>
          <w:noProof/>
          <w:sz w:val="24"/>
          <w:szCs w:val="24"/>
          <w:lang w:val="en-US"/>
        </w:rPr>
      </w:pPr>
    </w:p>
    <w:p w14:paraId="2DFD5172" w14:textId="350BAEE0" w:rsidR="002D7B4B" w:rsidRDefault="001B4892" w:rsidP="00E75BAC">
      <w:pPr>
        <w:spacing w:after="0" w:line="240" w:lineRule="auto"/>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Twelve</w:t>
      </w:r>
      <w:r w:rsidR="00FC5264" w:rsidRPr="009326D3">
        <w:rPr>
          <w:rFonts w:ascii="Times New Roman" w:hAnsi="Times New Roman" w:cs="Times New Roman"/>
          <w:noProof/>
          <w:sz w:val="24"/>
          <w:szCs w:val="24"/>
          <w:lang w:val="en-US"/>
        </w:rPr>
        <w:t xml:space="preserve"> country responses were received for this question with some variations across countries</w:t>
      </w:r>
      <w:r w:rsidR="00916D4B">
        <w:rPr>
          <w:rFonts w:ascii="Times New Roman" w:hAnsi="Times New Roman" w:cs="Times New Roman"/>
          <w:noProof/>
          <w:sz w:val="24"/>
          <w:szCs w:val="24"/>
          <w:lang w:val="en-US"/>
        </w:rPr>
        <w:t xml:space="preserve"> (Figure 6)</w:t>
      </w:r>
      <w:r w:rsidR="00FC5264" w:rsidRPr="009326D3">
        <w:rPr>
          <w:rFonts w:ascii="Times New Roman" w:hAnsi="Times New Roman" w:cs="Times New Roman"/>
          <w:noProof/>
          <w:sz w:val="24"/>
          <w:szCs w:val="24"/>
          <w:lang w:val="en-US"/>
        </w:rPr>
        <w:t>. Five countries indicated that commitments are recorded once a contract is signed. A further two countries indicated it was within 3 days</w:t>
      </w:r>
      <w:r w:rsidR="002D7B4B">
        <w:rPr>
          <w:rFonts w:ascii="Times New Roman" w:hAnsi="Times New Roman" w:cs="Times New Roman"/>
          <w:noProof/>
          <w:sz w:val="24"/>
          <w:szCs w:val="24"/>
          <w:lang w:val="en-US"/>
        </w:rPr>
        <w:t xml:space="preserve"> of signing the contract, while</w:t>
      </w:r>
      <w:r w:rsidR="00FC5264" w:rsidRPr="009326D3">
        <w:rPr>
          <w:rFonts w:ascii="Times New Roman" w:hAnsi="Times New Roman" w:cs="Times New Roman"/>
          <w:noProof/>
          <w:sz w:val="24"/>
          <w:szCs w:val="24"/>
          <w:lang w:val="en-US"/>
        </w:rPr>
        <w:t xml:space="preserve"> one country indicated it was within 15 days of the obligation occurring. This was interpreted to also represent signing of the contract. Three countries indicated that commitments are recorded only when the PO is issued. If this is within a reasonable period of the contract being signed then this distinction will not be significant. However, it maybe an important area for clarification if substantial timing differences exist between signing contracts and issuing POs from any system. One final country, Georgia</w:t>
      </w:r>
      <w:r w:rsidR="002D7B4B">
        <w:rPr>
          <w:rFonts w:ascii="Times New Roman" w:hAnsi="Times New Roman" w:cs="Times New Roman"/>
          <w:noProof/>
          <w:sz w:val="24"/>
          <w:szCs w:val="24"/>
          <w:lang w:val="en-US"/>
        </w:rPr>
        <w:t>,</w:t>
      </w:r>
      <w:r w:rsidR="00FC5264" w:rsidRPr="009326D3">
        <w:rPr>
          <w:rFonts w:ascii="Times New Roman" w:hAnsi="Times New Roman" w:cs="Times New Roman"/>
          <w:noProof/>
          <w:sz w:val="24"/>
          <w:szCs w:val="24"/>
          <w:lang w:val="en-US"/>
        </w:rPr>
        <w:t xml:space="preserve"> indicated that commitments are controlled firstly within spending limits which are released quarterly. </w:t>
      </w:r>
    </w:p>
    <w:p w14:paraId="7292C447" w14:textId="77777777" w:rsidR="002D7B4B" w:rsidRDefault="002D7B4B" w:rsidP="00E75BAC">
      <w:pPr>
        <w:spacing w:after="0" w:line="240" w:lineRule="auto"/>
        <w:rPr>
          <w:rFonts w:ascii="Times New Roman" w:hAnsi="Times New Roman" w:cs="Times New Roman"/>
          <w:noProof/>
          <w:sz w:val="24"/>
          <w:szCs w:val="24"/>
          <w:lang w:val="en-US"/>
        </w:rPr>
      </w:pPr>
    </w:p>
    <w:p w14:paraId="531C768D" w14:textId="31EBE864" w:rsidR="00E75BAC" w:rsidRPr="009326D3" w:rsidRDefault="00FC5264" w:rsidP="00E75BAC">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noProof/>
          <w:sz w:val="24"/>
          <w:szCs w:val="24"/>
          <w:lang w:val="en-US"/>
        </w:rPr>
        <w:t>This type of control is common, but may result in real legal</w:t>
      </w:r>
      <w:r w:rsidR="002D7B4B">
        <w:rPr>
          <w:rFonts w:ascii="Times New Roman" w:hAnsi="Times New Roman" w:cs="Times New Roman"/>
          <w:noProof/>
          <w:sz w:val="24"/>
          <w:szCs w:val="24"/>
          <w:lang w:val="en-US"/>
        </w:rPr>
        <w:t xml:space="preserve"> and contractual</w:t>
      </w:r>
      <w:r w:rsidRPr="009326D3">
        <w:rPr>
          <w:rFonts w:ascii="Times New Roman" w:hAnsi="Times New Roman" w:cs="Times New Roman"/>
          <w:noProof/>
          <w:sz w:val="24"/>
          <w:szCs w:val="24"/>
          <w:lang w:val="en-US"/>
        </w:rPr>
        <w:t xml:space="preserve"> obligations being greater than what is recorded in the system</w:t>
      </w:r>
      <w:r w:rsidR="002D7B4B">
        <w:rPr>
          <w:rFonts w:ascii="Times New Roman" w:hAnsi="Times New Roman" w:cs="Times New Roman"/>
          <w:noProof/>
          <w:sz w:val="24"/>
          <w:szCs w:val="24"/>
          <w:lang w:val="en-US"/>
        </w:rPr>
        <w:t>, as budget entities circumvent the controls by simply only partially record</w:t>
      </w:r>
      <w:r w:rsidR="009B51FD">
        <w:rPr>
          <w:rFonts w:ascii="Times New Roman" w:hAnsi="Times New Roman" w:cs="Times New Roman"/>
          <w:noProof/>
          <w:sz w:val="24"/>
          <w:szCs w:val="24"/>
          <w:lang w:val="en-US"/>
        </w:rPr>
        <w:t>ing</w:t>
      </w:r>
      <w:r w:rsidR="002D7B4B">
        <w:rPr>
          <w:rFonts w:ascii="Times New Roman" w:hAnsi="Times New Roman" w:cs="Times New Roman"/>
          <w:noProof/>
          <w:sz w:val="24"/>
          <w:szCs w:val="24"/>
          <w:lang w:val="en-US"/>
        </w:rPr>
        <w:t xml:space="preserve"> the real commitments</w:t>
      </w:r>
      <w:r w:rsidRPr="009326D3">
        <w:rPr>
          <w:rFonts w:ascii="Times New Roman" w:hAnsi="Times New Roman" w:cs="Times New Roman"/>
          <w:noProof/>
          <w:sz w:val="24"/>
          <w:szCs w:val="24"/>
          <w:lang w:val="en-US"/>
        </w:rPr>
        <w:t xml:space="preserve">. </w:t>
      </w:r>
      <w:r w:rsidR="002D7B4B">
        <w:rPr>
          <w:rFonts w:ascii="Times New Roman" w:hAnsi="Times New Roman" w:cs="Times New Roman"/>
          <w:noProof/>
          <w:sz w:val="24"/>
          <w:szCs w:val="24"/>
          <w:lang w:val="en-US"/>
        </w:rPr>
        <w:t>Many g</w:t>
      </w:r>
      <w:r w:rsidR="001B4892" w:rsidRPr="009326D3">
        <w:rPr>
          <w:rFonts w:ascii="Times New Roman" w:hAnsi="Times New Roman" w:cs="Times New Roman"/>
          <w:noProof/>
          <w:sz w:val="24"/>
          <w:szCs w:val="24"/>
          <w:lang w:val="en-US"/>
        </w:rPr>
        <w:t xml:space="preserve">overnment </w:t>
      </w:r>
      <w:r w:rsidR="002D7B4B">
        <w:rPr>
          <w:rFonts w:ascii="Times New Roman" w:hAnsi="Times New Roman" w:cs="Times New Roman"/>
          <w:noProof/>
          <w:sz w:val="24"/>
          <w:szCs w:val="24"/>
          <w:lang w:val="en-US"/>
        </w:rPr>
        <w:t>activities require certainty regarding service delivery and it</w:t>
      </w:r>
      <w:r w:rsidR="001B4892" w:rsidRPr="009326D3">
        <w:rPr>
          <w:rFonts w:ascii="Times New Roman" w:hAnsi="Times New Roman" w:cs="Times New Roman"/>
          <w:noProof/>
          <w:sz w:val="24"/>
          <w:szCs w:val="24"/>
          <w:lang w:val="en-US"/>
        </w:rPr>
        <w:t xml:space="preserve"> is </w:t>
      </w:r>
      <w:r w:rsidR="002D7B4B">
        <w:rPr>
          <w:rFonts w:ascii="Times New Roman" w:hAnsi="Times New Roman" w:cs="Times New Roman"/>
          <w:noProof/>
          <w:sz w:val="24"/>
          <w:szCs w:val="24"/>
          <w:lang w:val="en-US"/>
        </w:rPr>
        <w:t xml:space="preserve">therefore </w:t>
      </w:r>
      <w:r w:rsidR="001B4892" w:rsidRPr="009326D3">
        <w:rPr>
          <w:rFonts w:ascii="Times New Roman" w:hAnsi="Times New Roman" w:cs="Times New Roman"/>
          <w:noProof/>
          <w:sz w:val="24"/>
          <w:szCs w:val="24"/>
          <w:lang w:val="en-US"/>
        </w:rPr>
        <w:t xml:space="preserve">normal to commit spending across the full year </w:t>
      </w:r>
      <w:r w:rsidR="002D7B4B">
        <w:rPr>
          <w:rFonts w:ascii="Times New Roman" w:hAnsi="Times New Roman" w:cs="Times New Roman"/>
          <w:noProof/>
          <w:sz w:val="24"/>
          <w:szCs w:val="24"/>
          <w:lang w:val="en-US"/>
        </w:rPr>
        <w:t xml:space="preserve">for some requirements, </w:t>
      </w:r>
      <w:r w:rsidR="001B4892" w:rsidRPr="009326D3">
        <w:rPr>
          <w:rFonts w:ascii="Times New Roman" w:hAnsi="Times New Roman" w:cs="Times New Roman"/>
          <w:noProof/>
          <w:sz w:val="24"/>
          <w:szCs w:val="24"/>
          <w:lang w:val="en-US"/>
        </w:rPr>
        <w:t>and in some cases</w:t>
      </w:r>
      <w:r w:rsidR="002D7B4B">
        <w:rPr>
          <w:rFonts w:ascii="Times New Roman" w:hAnsi="Times New Roman" w:cs="Times New Roman"/>
          <w:noProof/>
          <w:sz w:val="24"/>
          <w:szCs w:val="24"/>
          <w:lang w:val="en-US"/>
        </w:rPr>
        <w:t>,</w:t>
      </w:r>
      <w:r w:rsidR="001B4892" w:rsidRPr="009326D3">
        <w:rPr>
          <w:rFonts w:ascii="Times New Roman" w:hAnsi="Times New Roman" w:cs="Times New Roman"/>
          <w:noProof/>
          <w:sz w:val="24"/>
          <w:szCs w:val="24"/>
          <w:lang w:val="en-US"/>
        </w:rPr>
        <w:t xml:space="preserve"> across two or more years. These contractual obligations must be captured and included in budget and cashflow plans</w:t>
      </w:r>
      <w:r w:rsidR="002D7B4B">
        <w:rPr>
          <w:rFonts w:ascii="Times New Roman" w:hAnsi="Times New Roman" w:cs="Times New Roman"/>
          <w:noProof/>
          <w:sz w:val="24"/>
          <w:szCs w:val="24"/>
          <w:lang w:val="en-US"/>
        </w:rPr>
        <w:t xml:space="preserve"> if the controls are to be effective, and </w:t>
      </w:r>
      <w:r w:rsidR="002D7B4B" w:rsidRPr="003B3B78">
        <w:rPr>
          <w:rFonts w:ascii="Times New Roman" w:hAnsi="Times New Roman" w:cs="Times New Roman"/>
          <w:noProof/>
          <w:sz w:val="24"/>
          <w:szCs w:val="24"/>
          <w:lang w:val="en-US"/>
        </w:rPr>
        <w:t>information on future cashflows is to be useful</w:t>
      </w:r>
      <w:r w:rsidR="001B4892" w:rsidRPr="003B3B78">
        <w:rPr>
          <w:rFonts w:ascii="Times New Roman" w:hAnsi="Times New Roman" w:cs="Times New Roman"/>
          <w:noProof/>
          <w:sz w:val="24"/>
          <w:szCs w:val="24"/>
          <w:lang w:val="en-US"/>
        </w:rPr>
        <w:t xml:space="preserve">. </w:t>
      </w:r>
      <w:r w:rsidR="002D7B4B" w:rsidRPr="003B3B78">
        <w:rPr>
          <w:rFonts w:ascii="Times New Roman" w:hAnsi="Times New Roman" w:cs="Times New Roman"/>
          <w:noProof/>
          <w:sz w:val="24"/>
          <w:szCs w:val="24"/>
          <w:lang w:val="en-US"/>
        </w:rPr>
        <w:t>However, m</w:t>
      </w:r>
      <w:r w:rsidR="001B4892" w:rsidRPr="003B3B78">
        <w:rPr>
          <w:rFonts w:ascii="Times New Roman" w:hAnsi="Times New Roman" w:cs="Times New Roman"/>
          <w:noProof/>
          <w:sz w:val="24"/>
          <w:szCs w:val="24"/>
          <w:lang w:val="en-US"/>
        </w:rPr>
        <w:t>onthly (ROSPICE) and</w:t>
      </w:r>
      <w:r w:rsidR="002D7B4B" w:rsidRPr="003B3B78">
        <w:rPr>
          <w:rFonts w:ascii="Times New Roman" w:hAnsi="Times New Roman" w:cs="Times New Roman"/>
          <w:noProof/>
          <w:sz w:val="24"/>
          <w:szCs w:val="24"/>
          <w:lang w:val="en-US"/>
        </w:rPr>
        <w:t xml:space="preserve"> quarterly in-year controls have a risk</w:t>
      </w:r>
      <w:r w:rsidRPr="003B3B78">
        <w:rPr>
          <w:rFonts w:ascii="Times New Roman" w:hAnsi="Times New Roman" w:cs="Times New Roman"/>
          <w:noProof/>
          <w:sz w:val="24"/>
          <w:szCs w:val="24"/>
          <w:lang w:val="en-US"/>
        </w:rPr>
        <w:t xml:space="preserve"> </w:t>
      </w:r>
      <w:r w:rsidR="001B4892" w:rsidRPr="003B3B78">
        <w:rPr>
          <w:rFonts w:ascii="Times New Roman" w:hAnsi="Times New Roman" w:cs="Times New Roman"/>
          <w:noProof/>
          <w:sz w:val="24"/>
          <w:szCs w:val="24"/>
          <w:lang w:val="en-US"/>
        </w:rPr>
        <w:t xml:space="preserve">of being </w:t>
      </w:r>
      <w:r w:rsidR="002D7B4B" w:rsidRPr="003B3B78">
        <w:rPr>
          <w:rFonts w:ascii="Times New Roman" w:hAnsi="Times New Roman" w:cs="Times New Roman"/>
          <w:noProof/>
          <w:sz w:val="24"/>
          <w:szCs w:val="24"/>
          <w:lang w:val="en-US"/>
        </w:rPr>
        <w:t>in</w:t>
      </w:r>
      <w:r w:rsidR="001B4892" w:rsidRPr="003B3B78">
        <w:rPr>
          <w:rFonts w:ascii="Times New Roman" w:hAnsi="Times New Roman" w:cs="Times New Roman"/>
          <w:noProof/>
          <w:sz w:val="24"/>
          <w:szCs w:val="24"/>
          <w:lang w:val="en-US"/>
        </w:rPr>
        <w:t>effective as MDAS simply commit outs</w:t>
      </w:r>
      <w:r w:rsidR="002D7B4B" w:rsidRPr="003B3B78">
        <w:rPr>
          <w:rFonts w:ascii="Times New Roman" w:hAnsi="Times New Roman" w:cs="Times New Roman"/>
          <w:noProof/>
          <w:sz w:val="24"/>
          <w:szCs w:val="24"/>
          <w:lang w:val="en-US"/>
        </w:rPr>
        <w:t>id</w:t>
      </w:r>
      <w:r w:rsidR="001B4892" w:rsidRPr="003B3B78">
        <w:rPr>
          <w:rFonts w:ascii="Times New Roman" w:hAnsi="Times New Roman" w:cs="Times New Roman"/>
          <w:noProof/>
          <w:sz w:val="24"/>
          <w:szCs w:val="24"/>
          <w:lang w:val="en-US"/>
        </w:rPr>
        <w:t>e the accounting system to ensure they can manage their operations effectively.</w:t>
      </w:r>
      <w:r w:rsidR="002D7B4B" w:rsidRPr="003B3B78">
        <w:rPr>
          <w:rFonts w:ascii="Times New Roman" w:hAnsi="Times New Roman" w:cs="Times New Roman"/>
          <w:noProof/>
          <w:sz w:val="24"/>
          <w:szCs w:val="24"/>
          <w:lang w:val="en-US"/>
        </w:rPr>
        <w:t xml:space="preserve"> In such cases real commitments maybe significantly different to what is recorded against the budget periodically.</w:t>
      </w:r>
    </w:p>
    <w:p w14:paraId="41B97B95" w14:textId="77777777" w:rsidR="00E75BAC" w:rsidRPr="009326D3" w:rsidRDefault="00E75BAC" w:rsidP="00E75BAC">
      <w:pPr>
        <w:spacing w:after="0" w:line="240" w:lineRule="auto"/>
        <w:rPr>
          <w:rFonts w:ascii="Times New Roman" w:hAnsi="Times New Roman" w:cs="Times New Roman"/>
          <w:b/>
          <w:i/>
          <w:noProof/>
          <w:sz w:val="24"/>
          <w:szCs w:val="24"/>
          <w:lang w:val="en-US"/>
        </w:rPr>
      </w:pPr>
    </w:p>
    <w:p w14:paraId="03C6E1C4" w14:textId="6AC975BC" w:rsidR="00E75BAC" w:rsidRPr="009326D3" w:rsidRDefault="00E75BAC" w:rsidP="00E75BAC">
      <w:pPr>
        <w:spacing w:after="0" w:line="240" w:lineRule="auto"/>
        <w:rPr>
          <w:rFonts w:ascii="Times New Roman" w:hAnsi="Times New Roman" w:cs="Times New Roman"/>
          <w:i/>
          <w:noProof/>
          <w:sz w:val="24"/>
          <w:szCs w:val="24"/>
          <w:lang w:val="en-US"/>
        </w:rPr>
      </w:pPr>
      <w:r w:rsidRPr="009326D3">
        <w:rPr>
          <w:rFonts w:ascii="Times New Roman" w:hAnsi="Times New Roman" w:cs="Times New Roman"/>
          <w:i/>
          <w:noProof/>
          <w:sz w:val="24"/>
          <w:szCs w:val="24"/>
          <w:lang w:val="en-US"/>
        </w:rPr>
        <w:t xml:space="preserve">Figure </w:t>
      </w:r>
      <w:r w:rsidR="001B4892" w:rsidRPr="009326D3">
        <w:rPr>
          <w:rFonts w:ascii="Times New Roman" w:hAnsi="Times New Roman" w:cs="Times New Roman"/>
          <w:i/>
          <w:noProof/>
          <w:sz w:val="24"/>
          <w:szCs w:val="24"/>
          <w:lang w:val="en-US"/>
        </w:rPr>
        <w:t>6</w:t>
      </w:r>
      <w:r w:rsidRPr="009326D3">
        <w:rPr>
          <w:rFonts w:ascii="Times New Roman" w:hAnsi="Times New Roman" w:cs="Times New Roman"/>
          <w:i/>
          <w:noProof/>
          <w:sz w:val="24"/>
          <w:szCs w:val="24"/>
          <w:lang w:val="en-US"/>
        </w:rPr>
        <w:t xml:space="preserve"> – Recording of Commitments in the System</w:t>
      </w:r>
    </w:p>
    <w:p w14:paraId="7B9A669B" w14:textId="77777777" w:rsidR="00194528" w:rsidRPr="009326D3" w:rsidRDefault="00194528">
      <w:pPr>
        <w:spacing w:after="0" w:line="240" w:lineRule="auto"/>
        <w:rPr>
          <w:rFonts w:ascii="Times New Roman" w:hAnsi="Times New Roman" w:cs="Times New Roman"/>
          <w:sz w:val="24"/>
          <w:szCs w:val="24"/>
          <w:highlight w:val="green"/>
        </w:rPr>
      </w:pPr>
    </w:p>
    <w:p w14:paraId="2F00097E" w14:textId="147FD392" w:rsidR="00690DC3" w:rsidRPr="009326D3" w:rsidRDefault="00E75BAC">
      <w:pPr>
        <w:spacing w:after="0" w:line="240" w:lineRule="auto"/>
        <w:rPr>
          <w:rFonts w:ascii="Times New Roman" w:hAnsi="Times New Roman" w:cs="Times New Roman"/>
          <w:sz w:val="24"/>
          <w:szCs w:val="24"/>
        </w:rPr>
      </w:pPr>
      <w:r w:rsidRPr="009326D3">
        <w:rPr>
          <w:rFonts w:ascii="Times New Roman" w:hAnsi="Times New Roman" w:cs="Times New Roman"/>
          <w:noProof/>
          <w:sz w:val="24"/>
          <w:szCs w:val="24"/>
          <w:lang w:val="en-US"/>
        </w:rPr>
        <w:lastRenderedPageBreak/>
        <w:drawing>
          <wp:inline distT="0" distB="0" distL="0" distR="0" wp14:anchorId="06E453DF" wp14:editId="4430961F">
            <wp:extent cx="4375150" cy="2727324"/>
            <wp:effectExtent l="0" t="0" r="19050"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9FCF1C" w14:textId="77777777" w:rsidR="008525DD" w:rsidRPr="009326D3" w:rsidRDefault="008525DD">
      <w:pPr>
        <w:spacing w:after="0" w:line="240" w:lineRule="auto"/>
        <w:rPr>
          <w:rFonts w:ascii="Times New Roman" w:hAnsi="Times New Roman" w:cs="Times New Roman"/>
          <w:sz w:val="24"/>
          <w:szCs w:val="24"/>
          <w:highlight w:val="green"/>
        </w:rPr>
      </w:pPr>
    </w:p>
    <w:p w14:paraId="11E3DA03" w14:textId="7819E10C" w:rsidR="00FC5264" w:rsidRPr="009326D3" w:rsidRDefault="00FC5264">
      <w:pPr>
        <w:spacing w:after="0" w:line="240" w:lineRule="auto"/>
        <w:rPr>
          <w:rFonts w:ascii="Times New Roman" w:hAnsi="Times New Roman" w:cs="Times New Roman"/>
          <w:b/>
          <w:color w:val="4F81BD" w:themeColor="accent1"/>
          <w:sz w:val="24"/>
          <w:szCs w:val="24"/>
        </w:rPr>
      </w:pPr>
      <w:r w:rsidRPr="009326D3">
        <w:rPr>
          <w:rFonts w:ascii="Times New Roman" w:hAnsi="Times New Roman" w:cs="Times New Roman"/>
          <w:b/>
          <w:color w:val="4F81BD" w:themeColor="accent1"/>
          <w:sz w:val="24"/>
          <w:szCs w:val="24"/>
        </w:rPr>
        <w:t>Conclusions</w:t>
      </w:r>
    </w:p>
    <w:p w14:paraId="04E24912" w14:textId="77777777" w:rsidR="00FC5264" w:rsidRPr="009326D3" w:rsidRDefault="00FC5264">
      <w:pPr>
        <w:spacing w:after="0" w:line="240" w:lineRule="auto"/>
        <w:rPr>
          <w:rFonts w:ascii="Times New Roman" w:hAnsi="Times New Roman" w:cs="Times New Roman"/>
          <w:sz w:val="24"/>
          <w:szCs w:val="24"/>
        </w:rPr>
      </w:pPr>
    </w:p>
    <w:p w14:paraId="0D71D759" w14:textId="4F6A7842" w:rsidR="000B57C0" w:rsidRDefault="009E6D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respondent country concepts </w:t>
      </w:r>
      <w:r w:rsidR="00D757D7" w:rsidRPr="009326D3">
        <w:rPr>
          <w:rFonts w:ascii="Times New Roman" w:hAnsi="Times New Roman" w:cs="Times New Roman"/>
          <w:sz w:val="24"/>
          <w:szCs w:val="24"/>
        </w:rPr>
        <w:t xml:space="preserve">of commitments largely accords with the example provided in </w:t>
      </w:r>
      <w:r w:rsidR="008405F8">
        <w:rPr>
          <w:rFonts w:ascii="Times New Roman" w:hAnsi="Times New Roman" w:cs="Times New Roman"/>
          <w:sz w:val="24"/>
          <w:szCs w:val="24"/>
        </w:rPr>
        <w:t>the questionnaire</w:t>
      </w:r>
      <w:r w:rsidR="00D757D7" w:rsidRPr="009326D3">
        <w:rPr>
          <w:rFonts w:ascii="Times New Roman" w:hAnsi="Times New Roman" w:cs="Times New Roman"/>
          <w:sz w:val="24"/>
          <w:szCs w:val="24"/>
        </w:rPr>
        <w:t xml:space="preserve">.  However, when it comes to the recognition and recording of commitments, there is significant divergence across PEMPAL respondent countries.  </w:t>
      </w:r>
      <w:r>
        <w:rPr>
          <w:rFonts w:ascii="Times New Roman" w:hAnsi="Times New Roman" w:cs="Times New Roman"/>
          <w:sz w:val="24"/>
          <w:szCs w:val="24"/>
        </w:rPr>
        <w:t>T</w:t>
      </w:r>
      <w:r w:rsidR="00D757D7" w:rsidRPr="009326D3">
        <w:rPr>
          <w:rFonts w:ascii="Times New Roman" w:hAnsi="Times New Roman" w:cs="Times New Roman"/>
          <w:sz w:val="24"/>
          <w:szCs w:val="24"/>
        </w:rPr>
        <w:t xml:space="preserve">he timing for recording commitments provided some interesting variations in responses. </w:t>
      </w:r>
      <w:r w:rsidR="000B57C0" w:rsidRPr="009326D3">
        <w:rPr>
          <w:rFonts w:ascii="Times New Roman" w:hAnsi="Times New Roman" w:cs="Times New Roman"/>
          <w:sz w:val="24"/>
          <w:szCs w:val="24"/>
        </w:rPr>
        <w:t>Issuing a</w:t>
      </w:r>
      <w:r w:rsidR="00D757D7" w:rsidRPr="009326D3">
        <w:rPr>
          <w:rFonts w:ascii="Times New Roman" w:hAnsi="Times New Roman" w:cs="Times New Roman"/>
          <w:sz w:val="24"/>
          <w:szCs w:val="24"/>
        </w:rPr>
        <w:t xml:space="preserve"> system based PO to record the </w:t>
      </w:r>
      <w:r w:rsidR="000B57C0" w:rsidRPr="009326D3">
        <w:rPr>
          <w:rFonts w:ascii="Times New Roman" w:hAnsi="Times New Roman" w:cs="Times New Roman"/>
          <w:sz w:val="24"/>
          <w:szCs w:val="24"/>
        </w:rPr>
        <w:t>commitment from the FMIS close to the time t</w:t>
      </w:r>
      <w:r>
        <w:rPr>
          <w:rFonts w:ascii="Times New Roman" w:hAnsi="Times New Roman" w:cs="Times New Roman"/>
          <w:sz w:val="24"/>
          <w:szCs w:val="24"/>
        </w:rPr>
        <w:t xml:space="preserve">he contractual obligation is </w:t>
      </w:r>
      <w:proofErr w:type="gramStart"/>
      <w:r>
        <w:rPr>
          <w:rFonts w:ascii="Times New Roman" w:hAnsi="Times New Roman" w:cs="Times New Roman"/>
          <w:sz w:val="24"/>
          <w:szCs w:val="24"/>
        </w:rPr>
        <w:t>re</w:t>
      </w:r>
      <w:r w:rsidR="000B57C0" w:rsidRPr="009326D3">
        <w:rPr>
          <w:rFonts w:ascii="Times New Roman" w:hAnsi="Times New Roman" w:cs="Times New Roman"/>
          <w:sz w:val="24"/>
          <w:szCs w:val="24"/>
        </w:rPr>
        <w:t>l</w:t>
      </w:r>
      <w:r>
        <w:rPr>
          <w:rFonts w:ascii="Times New Roman" w:hAnsi="Times New Roman" w:cs="Times New Roman"/>
          <w:sz w:val="24"/>
          <w:szCs w:val="24"/>
        </w:rPr>
        <w:t>eased</w:t>
      </w:r>
      <w:r w:rsidR="000B57C0" w:rsidRPr="009326D3">
        <w:rPr>
          <w:rFonts w:ascii="Times New Roman" w:hAnsi="Times New Roman" w:cs="Times New Roman"/>
          <w:sz w:val="24"/>
          <w:szCs w:val="24"/>
        </w:rPr>
        <w:t xml:space="preserve">  provides</w:t>
      </w:r>
      <w:proofErr w:type="gramEnd"/>
      <w:r w:rsidR="000B57C0" w:rsidRPr="009326D3">
        <w:rPr>
          <w:rFonts w:ascii="Times New Roman" w:hAnsi="Times New Roman" w:cs="Times New Roman"/>
          <w:sz w:val="24"/>
          <w:szCs w:val="24"/>
        </w:rPr>
        <w:t xml:space="preserve"> strong budgetary control and can provide additional useful information </w:t>
      </w:r>
      <w:r>
        <w:rPr>
          <w:rFonts w:ascii="Times New Roman" w:hAnsi="Times New Roman" w:cs="Times New Roman"/>
          <w:sz w:val="24"/>
          <w:szCs w:val="24"/>
        </w:rPr>
        <w:t>for cash management. If however</w:t>
      </w:r>
      <w:r w:rsidR="000B57C0" w:rsidRPr="009326D3">
        <w:rPr>
          <w:rFonts w:ascii="Times New Roman" w:hAnsi="Times New Roman" w:cs="Times New Roman"/>
          <w:sz w:val="24"/>
          <w:szCs w:val="24"/>
        </w:rPr>
        <w:t xml:space="preserve"> POs are issued some time lat</w:t>
      </w:r>
      <w:r>
        <w:rPr>
          <w:rFonts w:ascii="Times New Roman" w:hAnsi="Times New Roman" w:cs="Times New Roman"/>
          <w:sz w:val="24"/>
          <w:szCs w:val="24"/>
        </w:rPr>
        <w:t>er</w:t>
      </w:r>
      <w:r w:rsidR="001B4892" w:rsidRPr="009326D3">
        <w:rPr>
          <w:rFonts w:ascii="Times New Roman" w:hAnsi="Times New Roman" w:cs="Times New Roman"/>
          <w:sz w:val="24"/>
          <w:szCs w:val="24"/>
        </w:rPr>
        <w:t xml:space="preserve"> or only when quarterly fund</w:t>
      </w:r>
      <w:r w:rsidR="000B57C0" w:rsidRPr="009326D3">
        <w:rPr>
          <w:rFonts w:ascii="Times New Roman" w:hAnsi="Times New Roman" w:cs="Times New Roman"/>
          <w:sz w:val="24"/>
          <w:szCs w:val="24"/>
        </w:rPr>
        <w:t xml:space="preserve">s are released, real commitments and information about future </w:t>
      </w:r>
      <w:proofErr w:type="spellStart"/>
      <w:r w:rsidR="000B57C0" w:rsidRPr="009326D3">
        <w:rPr>
          <w:rFonts w:ascii="Times New Roman" w:hAnsi="Times New Roman" w:cs="Times New Roman"/>
          <w:sz w:val="24"/>
          <w:szCs w:val="24"/>
        </w:rPr>
        <w:t>cashflows</w:t>
      </w:r>
      <w:proofErr w:type="spellEnd"/>
      <w:r w:rsidR="000B57C0" w:rsidRPr="009326D3">
        <w:rPr>
          <w:rFonts w:ascii="Times New Roman" w:hAnsi="Times New Roman" w:cs="Times New Roman"/>
          <w:sz w:val="24"/>
          <w:szCs w:val="24"/>
        </w:rPr>
        <w:t xml:space="preserve"> may be suboptimal.  </w:t>
      </w:r>
    </w:p>
    <w:p w14:paraId="08A97731" w14:textId="77777777" w:rsidR="009E6DA5" w:rsidRDefault="009E6DA5">
      <w:pPr>
        <w:spacing w:after="0" w:line="240" w:lineRule="auto"/>
        <w:rPr>
          <w:rFonts w:ascii="Times New Roman" w:hAnsi="Times New Roman" w:cs="Times New Roman"/>
          <w:sz w:val="24"/>
          <w:szCs w:val="24"/>
        </w:rPr>
      </w:pPr>
    </w:p>
    <w:p w14:paraId="5D228320" w14:textId="68B57D4D" w:rsidR="009E6DA5" w:rsidRPr="009326D3" w:rsidRDefault="009E6DA5" w:rsidP="009E6DA5">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 xml:space="preserve">It </w:t>
      </w:r>
      <w:proofErr w:type="spellStart"/>
      <w:r>
        <w:rPr>
          <w:rFonts w:ascii="Times New Roman" w:hAnsi="Times New Roman" w:cs="Times New Roman"/>
          <w:sz w:val="24"/>
          <w:szCs w:val="24"/>
        </w:rPr>
        <w:t>may</w:t>
      </w:r>
      <w:r w:rsidRPr="009326D3">
        <w:rPr>
          <w:rFonts w:ascii="Times New Roman" w:hAnsi="Times New Roman" w:cs="Times New Roman"/>
          <w:sz w:val="24"/>
          <w:szCs w:val="24"/>
        </w:rPr>
        <w:t>be</w:t>
      </w:r>
      <w:proofErr w:type="spellEnd"/>
      <w:r w:rsidRPr="009326D3">
        <w:rPr>
          <w:rFonts w:ascii="Times New Roman" w:hAnsi="Times New Roman" w:cs="Times New Roman"/>
          <w:sz w:val="24"/>
          <w:szCs w:val="24"/>
        </w:rPr>
        <w:t xml:space="preserve"> useful to have further dialogue regarding the relationship between commitment controls, appropriations and in-year appropriation releases such as warrants, allotment and the ROSPICE.</w:t>
      </w:r>
      <w:r>
        <w:rPr>
          <w:rFonts w:ascii="Times New Roman" w:hAnsi="Times New Roman" w:cs="Times New Roman"/>
          <w:sz w:val="24"/>
          <w:szCs w:val="24"/>
        </w:rPr>
        <w:t xml:space="preserve"> Developing an example of good practice to share across countries in this area may also be useful. </w:t>
      </w:r>
    </w:p>
    <w:p w14:paraId="4F3FC983" w14:textId="77777777" w:rsidR="009E6DA5" w:rsidRDefault="009E6DA5" w:rsidP="009E6DA5">
      <w:pPr>
        <w:spacing w:after="0" w:line="240" w:lineRule="auto"/>
        <w:rPr>
          <w:rFonts w:ascii="Times New Roman" w:hAnsi="Times New Roman" w:cs="Times New Roman"/>
          <w:sz w:val="24"/>
          <w:szCs w:val="24"/>
        </w:rPr>
      </w:pPr>
    </w:p>
    <w:p w14:paraId="1D07CDAF" w14:textId="5990F80C" w:rsidR="009E6DA5" w:rsidRPr="009326D3" w:rsidRDefault="00A67361" w:rsidP="009E6DA5">
      <w:pPr>
        <w:spacing w:after="0" w:line="240" w:lineRule="auto"/>
        <w:rPr>
          <w:rFonts w:ascii="Times New Roman" w:hAnsi="Times New Roman" w:cs="Times New Roman"/>
          <w:sz w:val="24"/>
          <w:szCs w:val="24"/>
        </w:rPr>
      </w:pPr>
      <w:r w:rsidRPr="007658BA">
        <w:rPr>
          <w:rFonts w:ascii="Times New Roman" w:hAnsi="Times New Roman" w:cs="Times New Roman"/>
          <w:sz w:val="24"/>
          <w:szCs w:val="24"/>
        </w:rPr>
        <w:t xml:space="preserve">The question of whether POs are issued for all or some commitments would benefit from more detailed questions and responses given five countries simply answered </w:t>
      </w:r>
      <w:r>
        <w:rPr>
          <w:rFonts w:ascii="Times New Roman" w:hAnsi="Times New Roman" w:cs="Times New Roman"/>
          <w:sz w:val="24"/>
          <w:szCs w:val="24"/>
        </w:rPr>
        <w:t>‘</w:t>
      </w:r>
      <w:r w:rsidRPr="007658BA">
        <w:rPr>
          <w:rFonts w:ascii="Times New Roman" w:hAnsi="Times New Roman" w:cs="Times New Roman"/>
          <w:sz w:val="24"/>
          <w:szCs w:val="24"/>
        </w:rPr>
        <w:t>no</w:t>
      </w:r>
      <w:r>
        <w:rPr>
          <w:rFonts w:ascii="Times New Roman" w:hAnsi="Times New Roman" w:cs="Times New Roman"/>
          <w:sz w:val="24"/>
          <w:szCs w:val="24"/>
        </w:rPr>
        <w:t>’</w:t>
      </w:r>
      <w:r w:rsidRPr="007658BA">
        <w:rPr>
          <w:rFonts w:ascii="Times New Roman" w:hAnsi="Times New Roman" w:cs="Times New Roman"/>
          <w:sz w:val="24"/>
          <w:szCs w:val="24"/>
        </w:rPr>
        <w:t xml:space="preserve"> and one </w:t>
      </w:r>
      <w:r>
        <w:rPr>
          <w:rFonts w:ascii="Times New Roman" w:hAnsi="Times New Roman" w:cs="Times New Roman"/>
          <w:sz w:val="24"/>
          <w:szCs w:val="24"/>
        </w:rPr>
        <w:t>‘</w:t>
      </w:r>
      <w:r w:rsidRPr="007658BA">
        <w:rPr>
          <w:rFonts w:ascii="Times New Roman" w:hAnsi="Times New Roman" w:cs="Times New Roman"/>
          <w:sz w:val="24"/>
          <w:szCs w:val="24"/>
        </w:rPr>
        <w:t>not at all</w:t>
      </w:r>
      <w:r>
        <w:rPr>
          <w:rFonts w:ascii="Times New Roman" w:hAnsi="Times New Roman" w:cs="Times New Roman"/>
          <w:sz w:val="24"/>
          <w:szCs w:val="24"/>
        </w:rPr>
        <w:t>’</w:t>
      </w:r>
      <w:r w:rsidRPr="007658BA">
        <w:rPr>
          <w:rFonts w:ascii="Times New Roman" w:hAnsi="Times New Roman" w:cs="Times New Roman"/>
          <w:sz w:val="24"/>
          <w:szCs w:val="24"/>
        </w:rPr>
        <w:t xml:space="preserve">. Countries may issue POs for specific </w:t>
      </w:r>
      <w:r>
        <w:rPr>
          <w:rFonts w:ascii="Times New Roman" w:hAnsi="Times New Roman" w:cs="Times New Roman"/>
          <w:sz w:val="24"/>
          <w:szCs w:val="24"/>
        </w:rPr>
        <w:t xml:space="preserve">types of </w:t>
      </w:r>
      <w:r w:rsidRPr="007658BA">
        <w:rPr>
          <w:rFonts w:ascii="Times New Roman" w:hAnsi="Times New Roman" w:cs="Times New Roman"/>
          <w:sz w:val="24"/>
          <w:szCs w:val="24"/>
        </w:rPr>
        <w:t xml:space="preserve">commitments but not all </w:t>
      </w:r>
      <w:proofErr w:type="gramStart"/>
      <w:r w:rsidRPr="007658BA">
        <w:rPr>
          <w:rFonts w:ascii="Times New Roman" w:hAnsi="Times New Roman" w:cs="Times New Roman"/>
          <w:sz w:val="24"/>
          <w:szCs w:val="24"/>
        </w:rPr>
        <w:t>commitments</w:t>
      </w:r>
      <w:r>
        <w:rPr>
          <w:rFonts w:ascii="Times New Roman" w:hAnsi="Times New Roman" w:cs="Times New Roman"/>
          <w:sz w:val="24"/>
          <w:szCs w:val="24"/>
        </w:rPr>
        <w:t>,</w:t>
      </w:r>
      <w:proofErr w:type="gramEnd"/>
      <w:r>
        <w:rPr>
          <w:rFonts w:ascii="Times New Roman" w:hAnsi="Times New Roman" w:cs="Times New Roman"/>
          <w:sz w:val="24"/>
          <w:szCs w:val="24"/>
        </w:rPr>
        <w:t xml:space="preserve"> however,</w:t>
      </w:r>
      <w:r w:rsidRPr="007658BA">
        <w:rPr>
          <w:rFonts w:ascii="Times New Roman" w:hAnsi="Times New Roman" w:cs="Times New Roman"/>
          <w:sz w:val="24"/>
          <w:szCs w:val="24"/>
        </w:rPr>
        <w:t xml:space="preserve"> the structure of the questionnaire precluded these responses. Alternative but similar controls may also be in place for other types of </w:t>
      </w:r>
      <w:r>
        <w:rPr>
          <w:rFonts w:ascii="Times New Roman" w:hAnsi="Times New Roman" w:cs="Times New Roman"/>
          <w:sz w:val="24"/>
          <w:szCs w:val="24"/>
        </w:rPr>
        <w:t>spending</w:t>
      </w:r>
      <w:r w:rsidRPr="007658BA">
        <w:rPr>
          <w:rFonts w:ascii="Times New Roman" w:hAnsi="Times New Roman" w:cs="Times New Roman"/>
          <w:sz w:val="24"/>
          <w:szCs w:val="24"/>
        </w:rPr>
        <w:t xml:space="preserve">, for example debt. </w:t>
      </w:r>
      <w:r w:rsidR="009E6DA5" w:rsidRPr="009326D3">
        <w:rPr>
          <w:rFonts w:ascii="Times New Roman" w:hAnsi="Times New Roman" w:cs="Times New Roman"/>
          <w:sz w:val="24"/>
          <w:szCs w:val="24"/>
        </w:rPr>
        <w:t>The key point of this area of questioning was to determine whether commitments are controlled within the budget appropriations and allotments (or other in</w:t>
      </w:r>
      <w:r w:rsidR="009E6DA5">
        <w:rPr>
          <w:rFonts w:ascii="Times New Roman" w:hAnsi="Times New Roman" w:cs="Times New Roman"/>
          <w:sz w:val="24"/>
          <w:szCs w:val="24"/>
        </w:rPr>
        <w:t>-</w:t>
      </w:r>
      <w:r w:rsidR="009E6DA5" w:rsidRPr="009326D3">
        <w:rPr>
          <w:rFonts w:ascii="Times New Roman" w:hAnsi="Times New Roman" w:cs="Times New Roman"/>
          <w:sz w:val="24"/>
          <w:szCs w:val="24"/>
        </w:rPr>
        <w:t xml:space="preserve">year appropriation releases). If the recording of commitments against budget was </w:t>
      </w:r>
      <w:r w:rsidR="009E6DA5">
        <w:rPr>
          <w:rFonts w:ascii="Times New Roman" w:hAnsi="Times New Roman" w:cs="Times New Roman"/>
          <w:sz w:val="24"/>
          <w:szCs w:val="24"/>
        </w:rPr>
        <w:t>achieve</w:t>
      </w:r>
      <w:r w:rsidR="009B51FD">
        <w:rPr>
          <w:rFonts w:ascii="Times New Roman" w:hAnsi="Times New Roman" w:cs="Times New Roman"/>
          <w:sz w:val="24"/>
          <w:szCs w:val="24"/>
        </w:rPr>
        <w:t>d</w:t>
      </w:r>
      <w:r w:rsidR="009E6DA5">
        <w:rPr>
          <w:rFonts w:ascii="Times New Roman" w:hAnsi="Times New Roman" w:cs="Times New Roman"/>
          <w:sz w:val="24"/>
          <w:szCs w:val="24"/>
        </w:rPr>
        <w:t xml:space="preserve"> other</w:t>
      </w:r>
      <w:r w:rsidR="009E6DA5" w:rsidRPr="009326D3">
        <w:rPr>
          <w:rFonts w:ascii="Times New Roman" w:hAnsi="Times New Roman" w:cs="Times New Roman"/>
          <w:sz w:val="24"/>
          <w:szCs w:val="24"/>
        </w:rPr>
        <w:t xml:space="preserve"> than with a PO</w:t>
      </w:r>
      <w:r w:rsidR="009E6DA5">
        <w:rPr>
          <w:rFonts w:ascii="Times New Roman" w:hAnsi="Times New Roman" w:cs="Times New Roman"/>
          <w:sz w:val="24"/>
          <w:szCs w:val="24"/>
        </w:rPr>
        <w:t>,</w:t>
      </w:r>
      <w:r w:rsidR="009E6DA5" w:rsidRPr="009326D3">
        <w:rPr>
          <w:rFonts w:ascii="Times New Roman" w:hAnsi="Times New Roman" w:cs="Times New Roman"/>
          <w:sz w:val="24"/>
          <w:szCs w:val="24"/>
        </w:rPr>
        <w:t xml:space="preserve"> then this may also reflect a useful mechanism of control. Indeed Russia made this point in some of its supplementary written responses regarding definitions.</w:t>
      </w:r>
      <w:r>
        <w:rPr>
          <w:rFonts w:ascii="Times New Roman" w:hAnsi="Times New Roman" w:cs="Times New Roman"/>
          <w:sz w:val="24"/>
          <w:szCs w:val="24"/>
        </w:rPr>
        <w:t xml:space="preserve"> It would therefore be useful to undertake a more thorough review in this area to determine the exact nature of controls for all types of public spending.</w:t>
      </w:r>
    </w:p>
    <w:p w14:paraId="681EA259" w14:textId="77777777" w:rsidR="000B57C0" w:rsidRPr="009326D3" w:rsidRDefault="000B57C0">
      <w:pPr>
        <w:spacing w:after="0" w:line="240" w:lineRule="auto"/>
        <w:rPr>
          <w:rFonts w:ascii="Times New Roman" w:hAnsi="Times New Roman" w:cs="Times New Roman"/>
          <w:sz w:val="24"/>
          <w:szCs w:val="24"/>
          <w:highlight w:val="green"/>
        </w:rPr>
      </w:pPr>
    </w:p>
    <w:p w14:paraId="7A472930" w14:textId="4DDB4C84" w:rsidR="000B57C0" w:rsidRPr="009326D3" w:rsidRDefault="000B57C0">
      <w:pPr>
        <w:spacing w:after="0" w:line="240" w:lineRule="auto"/>
        <w:rPr>
          <w:rFonts w:ascii="Times New Roman" w:hAnsi="Times New Roman" w:cs="Times New Roman"/>
          <w:b/>
          <w:color w:val="4F81BD" w:themeColor="accent1"/>
          <w:sz w:val="28"/>
          <w:szCs w:val="28"/>
        </w:rPr>
      </w:pPr>
      <w:r w:rsidRPr="009326D3">
        <w:rPr>
          <w:rFonts w:ascii="Times New Roman" w:hAnsi="Times New Roman" w:cs="Times New Roman"/>
          <w:b/>
          <w:color w:val="4F81BD" w:themeColor="accent1"/>
          <w:sz w:val="28"/>
          <w:szCs w:val="28"/>
        </w:rPr>
        <w:t>Stage 3 – Receipt of Goods and Services</w:t>
      </w:r>
    </w:p>
    <w:p w14:paraId="13DB7B54" w14:textId="635F1DFD" w:rsidR="00FC5264" w:rsidRDefault="000B57C0">
      <w:pPr>
        <w:spacing w:after="0" w:line="240" w:lineRule="auto"/>
        <w:rPr>
          <w:highlight w:val="green"/>
        </w:rPr>
      </w:pPr>
      <w:r>
        <w:rPr>
          <w:highlight w:val="green"/>
        </w:rPr>
        <w:t xml:space="preserve"> </w:t>
      </w:r>
    </w:p>
    <w:p w14:paraId="205AE753" w14:textId="6500CB1E" w:rsidR="00D757D7" w:rsidRPr="009326D3" w:rsidRDefault="000B57C0">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This stage comprises two questions.</w:t>
      </w:r>
    </w:p>
    <w:p w14:paraId="6111052F" w14:textId="77777777" w:rsidR="000B57C0" w:rsidRPr="009326D3" w:rsidRDefault="000B57C0">
      <w:pPr>
        <w:spacing w:after="0" w:line="240" w:lineRule="auto"/>
        <w:rPr>
          <w:rFonts w:ascii="Times New Roman" w:hAnsi="Times New Roman" w:cs="Times New Roman"/>
          <w:sz w:val="24"/>
          <w:szCs w:val="24"/>
        </w:rPr>
      </w:pPr>
    </w:p>
    <w:p w14:paraId="7C76F001" w14:textId="0E905CC5" w:rsidR="00036CE1" w:rsidRPr="009326D3" w:rsidRDefault="00EA44EE" w:rsidP="00EA44EE">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 xml:space="preserve">Q14. </w:t>
      </w:r>
      <w:r w:rsidR="00036CE1" w:rsidRPr="009326D3">
        <w:rPr>
          <w:rFonts w:ascii="Times New Roman" w:hAnsi="Times New Roman" w:cs="Times New Roman"/>
          <w:b/>
          <w:i/>
          <w:noProof/>
          <w:sz w:val="24"/>
          <w:szCs w:val="24"/>
          <w:lang w:val="en-US"/>
        </w:rPr>
        <w:t>Does your country separately record receipt of goods and services?</w:t>
      </w:r>
    </w:p>
    <w:p w14:paraId="7C05C013" w14:textId="40FB25DB" w:rsidR="00036CE1" w:rsidRPr="009326D3" w:rsidRDefault="00EA44EE" w:rsidP="00EA44EE">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 xml:space="preserve">Q15. </w:t>
      </w:r>
      <w:r w:rsidR="00036CE1" w:rsidRPr="009326D3">
        <w:rPr>
          <w:rFonts w:ascii="Times New Roman" w:hAnsi="Times New Roman" w:cs="Times New Roman"/>
          <w:b/>
          <w:i/>
          <w:noProof/>
          <w:sz w:val="24"/>
          <w:szCs w:val="24"/>
          <w:lang w:val="en-US"/>
        </w:rPr>
        <w:t>If yes where is the receipt of goods and services recorded?</w:t>
      </w:r>
    </w:p>
    <w:p w14:paraId="6D448642" w14:textId="77777777" w:rsidR="00036CE1" w:rsidRPr="009326D3" w:rsidRDefault="00036CE1">
      <w:pPr>
        <w:spacing w:after="0" w:line="240" w:lineRule="auto"/>
        <w:rPr>
          <w:rFonts w:ascii="Times New Roman" w:hAnsi="Times New Roman" w:cs="Times New Roman"/>
          <w:b/>
          <w:i/>
          <w:sz w:val="24"/>
          <w:szCs w:val="24"/>
        </w:rPr>
      </w:pPr>
    </w:p>
    <w:p w14:paraId="0CA8537A" w14:textId="77777777" w:rsidR="00036CE1" w:rsidRPr="009326D3" w:rsidRDefault="00036CE1">
      <w:pPr>
        <w:spacing w:after="0" w:line="240" w:lineRule="auto"/>
        <w:rPr>
          <w:rFonts w:ascii="Times New Roman" w:hAnsi="Times New Roman" w:cs="Times New Roman"/>
          <w:sz w:val="24"/>
          <w:szCs w:val="24"/>
        </w:rPr>
      </w:pPr>
    </w:p>
    <w:p w14:paraId="47FA948A" w14:textId="330C4E32" w:rsidR="00D66F45" w:rsidRPr="009326D3" w:rsidRDefault="00036CE1">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lastRenderedPageBreak/>
        <w:t xml:space="preserve">Figure </w:t>
      </w:r>
      <w:r w:rsidR="001B4892" w:rsidRPr="009326D3">
        <w:rPr>
          <w:rFonts w:ascii="Times New Roman" w:hAnsi="Times New Roman" w:cs="Times New Roman"/>
          <w:sz w:val="24"/>
          <w:szCs w:val="24"/>
        </w:rPr>
        <w:t>7</w:t>
      </w:r>
      <w:r w:rsidRPr="009326D3">
        <w:rPr>
          <w:rFonts w:ascii="Times New Roman" w:hAnsi="Times New Roman" w:cs="Times New Roman"/>
          <w:sz w:val="24"/>
          <w:szCs w:val="24"/>
        </w:rPr>
        <w:t xml:space="preserve"> summarises the country responses to these two questions. Seven countries record the receipt of goods and services. This means that five countries do not record </w:t>
      </w:r>
      <w:r w:rsidR="00916D4B">
        <w:rPr>
          <w:rFonts w:ascii="Times New Roman" w:hAnsi="Times New Roman" w:cs="Times New Roman"/>
          <w:sz w:val="24"/>
          <w:szCs w:val="24"/>
        </w:rPr>
        <w:t>receipt of goods and services</w:t>
      </w:r>
      <w:r w:rsidRPr="009326D3">
        <w:rPr>
          <w:rFonts w:ascii="Times New Roman" w:hAnsi="Times New Roman" w:cs="Times New Roman"/>
          <w:sz w:val="24"/>
          <w:szCs w:val="24"/>
        </w:rPr>
        <w:t xml:space="preserve">. </w:t>
      </w:r>
      <w:r w:rsidR="000C04A8" w:rsidRPr="009326D3">
        <w:rPr>
          <w:rFonts w:ascii="Times New Roman" w:hAnsi="Times New Roman" w:cs="Times New Roman"/>
          <w:sz w:val="24"/>
          <w:szCs w:val="24"/>
        </w:rPr>
        <w:t xml:space="preserve">One country Montenegro, indicated </w:t>
      </w:r>
      <w:r w:rsidR="00904B6B">
        <w:rPr>
          <w:rFonts w:ascii="Times New Roman" w:hAnsi="Times New Roman" w:cs="Times New Roman"/>
          <w:sz w:val="24"/>
          <w:szCs w:val="24"/>
        </w:rPr>
        <w:t>‘</w:t>
      </w:r>
      <w:r w:rsidR="000C04A8" w:rsidRPr="009326D3">
        <w:rPr>
          <w:rFonts w:ascii="Times New Roman" w:hAnsi="Times New Roman" w:cs="Times New Roman"/>
          <w:sz w:val="24"/>
          <w:szCs w:val="24"/>
        </w:rPr>
        <w:t>no</w:t>
      </w:r>
      <w:r w:rsidR="00904B6B">
        <w:rPr>
          <w:rFonts w:ascii="Times New Roman" w:hAnsi="Times New Roman" w:cs="Times New Roman"/>
          <w:sz w:val="24"/>
          <w:szCs w:val="24"/>
        </w:rPr>
        <w:t>’</w:t>
      </w:r>
      <w:r w:rsidR="000C04A8" w:rsidRPr="009326D3">
        <w:rPr>
          <w:rFonts w:ascii="Times New Roman" w:hAnsi="Times New Roman" w:cs="Times New Roman"/>
          <w:sz w:val="24"/>
          <w:szCs w:val="24"/>
        </w:rPr>
        <w:t xml:space="preserve"> to this question but then indicated that it records this in the FMIS.   </w:t>
      </w:r>
      <w:r w:rsidR="00916D4B">
        <w:rPr>
          <w:rFonts w:ascii="Times New Roman" w:hAnsi="Times New Roman" w:cs="Times New Roman"/>
          <w:sz w:val="24"/>
          <w:szCs w:val="24"/>
        </w:rPr>
        <w:t>R</w:t>
      </w:r>
      <w:r w:rsidRPr="009326D3">
        <w:rPr>
          <w:rFonts w:ascii="Times New Roman" w:hAnsi="Times New Roman" w:cs="Times New Roman"/>
          <w:sz w:val="24"/>
          <w:szCs w:val="24"/>
        </w:rPr>
        <w:t xml:space="preserve">eceiving the goods or service represents the usual point that the </w:t>
      </w:r>
      <w:r w:rsidR="000C04A8">
        <w:rPr>
          <w:rFonts w:ascii="Times New Roman" w:hAnsi="Times New Roman" w:cs="Times New Roman"/>
          <w:sz w:val="24"/>
          <w:szCs w:val="24"/>
        </w:rPr>
        <w:t>supplier</w:t>
      </w:r>
      <w:r w:rsidR="00904B6B">
        <w:rPr>
          <w:rFonts w:ascii="Times New Roman" w:hAnsi="Times New Roman" w:cs="Times New Roman"/>
          <w:sz w:val="24"/>
          <w:szCs w:val="24"/>
        </w:rPr>
        <w:t>’</w:t>
      </w:r>
      <w:r w:rsidR="000C04A8">
        <w:rPr>
          <w:rFonts w:ascii="Times New Roman" w:hAnsi="Times New Roman" w:cs="Times New Roman"/>
          <w:sz w:val="24"/>
          <w:szCs w:val="24"/>
        </w:rPr>
        <w:t xml:space="preserve">s </w:t>
      </w:r>
      <w:r w:rsidRPr="009326D3">
        <w:rPr>
          <w:rFonts w:ascii="Times New Roman" w:hAnsi="Times New Roman" w:cs="Times New Roman"/>
          <w:sz w:val="24"/>
          <w:szCs w:val="24"/>
        </w:rPr>
        <w:t xml:space="preserve">obligation under </w:t>
      </w:r>
      <w:r w:rsidR="000C04A8">
        <w:rPr>
          <w:rFonts w:ascii="Times New Roman" w:hAnsi="Times New Roman" w:cs="Times New Roman"/>
          <w:sz w:val="24"/>
          <w:szCs w:val="24"/>
        </w:rPr>
        <w:t xml:space="preserve">the </w:t>
      </w:r>
      <w:r w:rsidRPr="009326D3">
        <w:rPr>
          <w:rFonts w:ascii="Times New Roman" w:hAnsi="Times New Roman" w:cs="Times New Roman"/>
          <w:sz w:val="24"/>
          <w:szCs w:val="24"/>
        </w:rPr>
        <w:t xml:space="preserve">contract has been completed. </w:t>
      </w:r>
      <w:r w:rsidR="00D66F45" w:rsidRPr="009326D3">
        <w:rPr>
          <w:rFonts w:ascii="Times New Roman" w:hAnsi="Times New Roman" w:cs="Times New Roman"/>
          <w:sz w:val="24"/>
          <w:szCs w:val="24"/>
        </w:rPr>
        <w:t>U</w:t>
      </w:r>
      <w:r w:rsidRPr="009326D3">
        <w:rPr>
          <w:rFonts w:ascii="Times New Roman" w:hAnsi="Times New Roman" w:cs="Times New Roman"/>
          <w:sz w:val="24"/>
          <w:szCs w:val="24"/>
        </w:rPr>
        <w:t xml:space="preserve">nder usual definitions for accrual accounting the liability for the government is recognised at this point. While not every PEMPAL country is moving to full accrual, this does represent an interesting point of departure for nearly 50% of the respondent countries. </w:t>
      </w:r>
    </w:p>
    <w:p w14:paraId="5D7DF75F" w14:textId="77777777" w:rsidR="00D66F45" w:rsidRPr="009326D3" w:rsidRDefault="00D66F45">
      <w:pPr>
        <w:spacing w:after="0" w:line="240" w:lineRule="auto"/>
        <w:rPr>
          <w:rFonts w:ascii="Times New Roman" w:hAnsi="Times New Roman" w:cs="Times New Roman"/>
          <w:sz w:val="24"/>
          <w:szCs w:val="24"/>
        </w:rPr>
      </w:pPr>
    </w:p>
    <w:p w14:paraId="3107BED1" w14:textId="7570D158" w:rsidR="00036CE1" w:rsidRPr="009326D3" w:rsidRDefault="00D66F45">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Five of the seven countries that register the delivery of goods and services do so in the central FMIS</w:t>
      </w:r>
      <w:r w:rsidR="000C04A8">
        <w:rPr>
          <w:rFonts w:ascii="Times New Roman" w:hAnsi="Times New Roman" w:cs="Times New Roman"/>
          <w:sz w:val="24"/>
          <w:szCs w:val="24"/>
        </w:rPr>
        <w:t>.</w:t>
      </w:r>
      <w:r w:rsidRPr="009326D3">
        <w:rPr>
          <w:rFonts w:ascii="Times New Roman" w:hAnsi="Times New Roman" w:cs="Times New Roman"/>
          <w:sz w:val="24"/>
          <w:szCs w:val="24"/>
        </w:rPr>
        <w:t xml:space="preserve"> Three of the five also record this in the MDA FMIS and one, Russia</w:t>
      </w:r>
      <w:r w:rsidR="000C04A8">
        <w:rPr>
          <w:rFonts w:ascii="Times New Roman" w:hAnsi="Times New Roman" w:cs="Times New Roman"/>
          <w:sz w:val="24"/>
          <w:szCs w:val="24"/>
        </w:rPr>
        <w:t>,</w:t>
      </w:r>
      <w:r w:rsidRPr="009326D3">
        <w:rPr>
          <w:rFonts w:ascii="Times New Roman" w:hAnsi="Times New Roman" w:cs="Times New Roman"/>
          <w:sz w:val="24"/>
          <w:szCs w:val="24"/>
        </w:rPr>
        <w:t xml:space="preserve"> also records this in its </w:t>
      </w:r>
      <w:r w:rsidR="000C04A8">
        <w:rPr>
          <w:rFonts w:ascii="Times New Roman" w:hAnsi="Times New Roman" w:cs="Times New Roman"/>
          <w:sz w:val="24"/>
          <w:szCs w:val="24"/>
        </w:rPr>
        <w:t>P</w:t>
      </w:r>
      <w:r w:rsidRPr="009326D3">
        <w:rPr>
          <w:rFonts w:ascii="Times New Roman" w:hAnsi="Times New Roman" w:cs="Times New Roman"/>
          <w:sz w:val="24"/>
          <w:szCs w:val="24"/>
        </w:rPr>
        <w:t xml:space="preserve">rocurement </w:t>
      </w:r>
      <w:r w:rsidR="000C04A8">
        <w:rPr>
          <w:rFonts w:ascii="Times New Roman" w:hAnsi="Times New Roman" w:cs="Times New Roman"/>
          <w:sz w:val="24"/>
          <w:szCs w:val="24"/>
        </w:rPr>
        <w:t>S</w:t>
      </w:r>
      <w:r w:rsidRPr="009326D3">
        <w:rPr>
          <w:rFonts w:ascii="Times New Roman" w:hAnsi="Times New Roman" w:cs="Times New Roman"/>
          <w:sz w:val="24"/>
          <w:szCs w:val="24"/>
        </w:rPr>
        <w:t xml:space="preserve">ystem. A further country records this in </w:t>
      </w:r>
      <w:r w:rsidR="000C04A8">
        <w:rPr>
          <w:rFonts w:ascii="Times New Roman" w:hAnsi="Times New Roman" w:cs="Times New Roman"/>
          <w:sz w:val="24"/>
          <w:szCs w:val="24"/>
        </w:rPr>
        <w:t>the MDAs’</w:t>
      </w:r>
      <w:r w:rsidRPr="009326D3">
        <w:rPr>
          <w:rFonts w:ascii="Times New Roman" w:hAnsi="Times New Roman" w:cs="Times New Roman"/>
          <w:sz w:val="24"/>
          <w:szCs w:val="24"/>
        </w:rPr>
        <w:t xml:space="preserve"> FMIS. </w:t>
      </w:r>
      <w:r w:rsidR="00036CE1" w:rsidRPr="009326D3">
        <w:rPr>
          <w:rFonts w:ascii="Times New Roman" w:hAnsi="Times New Roman" w:cs="Times New Roman"/>
          <w:sz w:val="24"/>
          <w:szCs w:val="24"/>
        </w:rPr>
        <w:t xml:space="preserve"> </w:t>
      </w:r>
      <w:r w:rsidR="000C04A8">
        <w:rPr>
          <w:rFonts w:ascii="Times New Roman" w:hAnsi="Times New Roman" w:cs="Times New Roman"/>
          <w:sz w:val="24"/>
          <w:szCs w:val="24"/>
        </w:rPr>
        <w:t>While t</w:t>
      </w:r>
      <w:r w:rsidRPr="009326D3">
        <w:rPr>
          <w:rFonts w:ascii="Times New Roman" w:hAnsi="Times New Roman" w:cs="Times New Roman"/>
          <w:sz w:val="24"/>
          <w:szCs w:val="24"/>
        </w:rPr>
        <w:t xml:space="preserve">wo further countries indicated that they record receipt of goods and services in the MDA FMIS, </w:t>
      </w:r>
      <w:r w:rsidR="000C04A8">
        <w:rPr>
          <w:rFonts w:ascii="Times New Roman" w:hAnsi="Times New Roman" w:cs="Times New Roman"/>
          <w:sz w:val="24"/>
          <w:szCs w:val="24"/>
        </w:rPr>
        <w:t>the</w:t>
      </w:r>
      <w:r w:rsidRPr="009326D3">
        <w:rPr>
          <w:rFonts w:ascii="Times New Roman" w:hAnsi="Times New Roman" w:cs="Times New Roman"/>
          <w:sz w:val="24"/>
          <w:szCs w:val="24"/>
        </w:rPr>
        <w:t xml:space="preserve"> </w:t>
      </w:r>
      <w:r w:rsidR="000C04A8">
        <w:rPr>
          <w:rFonts w:ascii="Times New Roman" w:hAnsi="Times New Roman" w:cs="Times New Roman"/>
          <w:sz w:val="24"/>
          <w:szCs w:val="24"/>
        </w:rPr>
        <w:t>supplementary</w:t>
      </w:r>
      <w:r w:rsidRPr="009326D3">
        <w:rPr>
          <w:rFonts w:ascii="Times New Roman" w:hAnsi="Times New Roman" w:cs="Times New Roman"/>
          <w:sz w:val="24"/>
          <w:szCs w:val="24"/>
        </w:rPr>
        <w:t xml:space="preserve"> written responses suggests that this is not the case, with one recording this in an MDA register, and one in regional treasury offices. </w:t>
      </w:r>
    </w:p>
    <w:p w14:paraId="3DF901FD" w14:textId="77777777" w:rsidR="00036CE1" w:rsidRPr="009326D3" w:rsidRDefault="00036CE1">
      <w:pPr>
        <w:spacing w:after="0" w:line="240" w:lineRule="auto"/>
        <w:rPr>
          <w:rFonts w:ascii="Times New Roman" w:hAnsi="Times New Roman" w:cs="Times New Roman"/>
          <w:sz w:val="24"/>
          <w:szCs w:val="24"/>
        </w:rPr>
      </w:pPr>
    </w:p>
    <w:p w14:paraId="78DF7CD2" w14:textId="696141C1" w:rsidR="00036CE1" w:rsidRDefault="001B4892">
      <w:pPr>
        <w:spacing w:after="0" w:line="240" w:lineRule="auto"/>
        <w:rPr>
          <w:rFonts w:ascii="Times New Roman" w:hAnsi="Times New Roman" w:cs="Times New Roman"/>
          <w:i/>
          <w:color w:val="4F81BD" w:themeColor="accent1"/>
          <w:sz w:val="24"/>
          <w:szCs w:val="24"/>
        </w:rPr>
      </w:pPr>
      <w:r w:rsidRPr="009326D3">
        <w:rPr>
          <w:rFonts w:ascii="Times New Roman" w:hAnsi="Times New Roman" w:cs="Times New Roman"/>
          <w:i/>
          <w:color w:val="4F81BD" w:themeColor="accent1"/>
          <w:sz w:val="24"/>
          <w:szCs w:val="24"/>
        </w:rPr>
        <w:t>Figure 7</w:t>
      </w:r>
      <w:r w:rsidR="00036CE1" w:rsidRPr="009326D3">
        <w:rPr>
          <w:rFonts w:ascii="Times New Roman" w:hAnsi="Times New Roman" w:cs="Times New Roman"/>
          <w:i/>
          <w:color w:val="4F81BD" w:themeColor="accent1"/>
          <w:sz w:val="24"/>
          <w:szCs w:val="24"/>
        </w:rPr>
        <w:t xml:space="preserve"> – </w:t>
      </w:r>
      <w:r w:rsidR="000C04A8">
        <w:rPr>
          <w:rFonts w:ascii="Times New Roman" w:hAnsi="Times New Roman" w:cs="Times New Roman"/>
          <w:i/>
          <w:color w:val="4F81BD" w:themeColor="accent1"/>
          <w:sz w:val="24"/>
          <w:szCs w:val="24"/>
        </w:rPr>
        <w:t>Recording re</w:t>
      </w:r>
      <w:r w:rsidR="00036CE1" w:rsidRPr="009326D3">
        <w:rPr>
          <w:rFonts w:ascii="Times New Roman" w:hAnsi="Times New Roman" w:cs="Times New Roman"/>
          <w:i/>
          <w:color w:val="4F81BD" w:themeColor="accent1"/>
          <w:sz w:val="24"/>
          <w:szCs w:val="24"/>
        </w:rPr>
        <w:t xml:space="preserve">ceipt of </w:t>
      </w:r>
      <w:r w:rsidR="000C04A8">
        <w:rPr>
          <w:rFonts w:ascii="Times New Roman" w:hAnsi="Times New Roman" w:cs="Times New Roman"/>
          <w:i/>
          <w:color w:val="4F81BD" w:themeColor="accent1"/>
          <w:sz w:val="24"/>
          <w:szCs w:val="24"/>
        </w:rPr>
        <w:t>g</w:t>
      </w:r>
      <w:r w:rsidR="00036CE1" w:rsidRPr="009326D3">
        <w:rPr>
          <w:rFonts w:ascii="Times New Roman" w:hAnsi="Times New Roman" w:cs="Times New Roman"/>
          <w:i/>
          <w:color w:val="4F81BD" w:themeColor="accent1"/>
          <w:sz w:val="24"/>
          <w:szCs w:val="24"/>
        </w:rPr>
        <w:t xml:space="preserve">oods and </w:t>
      </w:r>
      <w:r w:rsidR="000C04A8">
        <w:rPr>
          <w:rFonts w:ascii="Times New Roman" w:hAnsi="Times New Roman" w:cs="Times New Roman"/>
          <w:i/>
          <w:color w:val="4F81BD" w:themeColor="accent1"/>
          <w:sz w:val="24"/>
          <w:szCs w:val="24"/>
        </w:rPr>
        <w:t>s</w:t>
      </w:r>
      <w:r w:rsidR="00036CE1" w:rsidRPr="009326D3">
        <w:rPr>
          <w:rFonts w:ascii="Times New Roman" w:hAnsi="Times New Roman" w:cs="Times New Roman"/>
          <w:i/>
          <w:color w:val="4F81BD" w:themeColor="accent1"/>
          <w:sz w:val="24"/>
          <w:szCs w:val="24"/>
        </w:rPr>
        <w:t>ervices</w:t>
      </w:r>
    </w:p>
    <w:p w14:paraId="041C05A6" w14:textId="77777777" w:rsidR="000C04A8" w:rsidRPr="009326D3" w:rsidRDefault="000C04A8">
      <w:pPr>
        <w:spacing w:after="0" w:line="240" w:lineRule="auto"/>
        <w:rPr>
          <w:rFonts w:ascii="Times New Roman" w:hAnsi="Times New Roman" w:cs="Times New Roman"/>
          <w:i/>
          <w:color w:val="4F81BD" w:themeColor="accent1"/>
          <w:sz w:val="24"/>
          <w:szCs w:val="24"/>
        </w:rPr>
      </w:pPr>
    </w:p>
    <w:p w14:paraId="6A7D1F14" w14:textId="4C7EB78C" w:rsidR="000B57C0" w:rsidRPr="000B57C0" w:rsidRDefault="00036CE1">
      <w:pPr>
        <w:spacing w:after="0" w:line="240" w:lineRule="auto"/>
      </w:pPr>
      <w:r>
        <w:rPr>
          <w:noProof/>
          <w:lang w:val="en-US"/>
        </w:rPr>
        <w:drawing>
          <wp:inline distT="0" distB="0" distL="0" distR="0" wp14:anchorId="34544DC0" wp14:editId="16FC0DE3">
            <wp:extent cx="4572000" cy="2743200"/>
            <wp:effectExtent l="0" t="0" r="25400" b="254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E53EE1A" w14:textId="77777777" w:rsidR="00FC5264" w:rsidRDefault="00FC5264">
      <w:pPr>
        <w:spacing w:after="0" w:line="240" w:lineRule="auto"/>
        <w:rPr>
          <w:highlight w:val="green"/>
        </w:rPr>
      </w:pPr>
    </w:p>
    <w:p w14:paraId="6D2F6573" w14:textId="14ACC045" w:rsidR="00FC5264" w:rsidRPr="009326D3" w:rsidRDefault="00D66F45">
      <w:pPr>
        <w:spacing w:after="0" w:line="240" w:lineRule="auto"/>
        <w:rPr>
          <w:rFonts w:ascii="Times New Roman" w:hAnsi="Times New Roman" w:cs="Times New Roman"/>
          <w:b/>
          <w:color w:val="4F81BD" w:themeColor="accent1"/>
          <w:sz w:val="24"/>
          <w:szCs w:val="24"/>
        </w:rPr>
      </w:pPr>
      <w:r w:rsidRPr="009326D3">
        <w:rPr>
          <w:rFonts w:ascii="Times New Roman" w:hAnsi="Times New Roman" w:cs="Times New Roman"/>
          <w:b/>
          <w:color w:val="4F81BD" w:themeColor="accent1"/>
          <w:sz w:val="24"/>
          <w:szCs w:val="24"/>
        </w:rPr>
        <w:t>Conclusions</w:t>
      </w:r>
    </w:p>
    <w:p w14:paraId="4258D927" w14:textId="77777777" w:rsidR="00D66F45" w:rsidRPr="009326D3" w:rsidRDefault="00D66F45">
      <w:pPr>
        <w:spacing w:after="0" w:line="240" w:lineRule="auto"/>
        <w:rPr>
          <w:rFonts w:ascii="Times New Roman" w:hAnsi="Times New Roman" w:cs="Times New Roman"/>
          <w:sz w:val="24"/>
          <w:szCs w:val="24"/>
        </w:rPr>
      </w:pPr>
    </w:p>
    <w:p w14:paraId="2E261752" w14:textId="77777777" w:rsidR="000C04A8" w:rsidRPr="009326D3" w:rsidRDefault="000C04A8" w:rsidP="000C04A8">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 xml:space="preserve">For the </w:t>
      </w:r>
      <w:r>
        <w:rPr>
          <w:rFonts w:ascii="Times New Roman" w:hAnsi="Times New Roman" w:cs="Times New Roman"/>
          <w:sz w:val="24"/>
          <w:szCs w:val="24"/>
        </w:rPr>
        <w:t>s</w:t>
      </w:r>
      <w:r w:rsidRPr="009326D3">
        <w:rPr>
          <w:rFonts w:ascii="Times New Roman" w:hAnsi="Times New Roman" w:cs="Times New Roman"/>
          <w:sz w:val="24"/>
          <w:szCs w:val="24"/>
        </w:rPr>
        <w:t xml:space="preserve">even countries that do recognise receipt of goods and services, this is largely recorded in a central FMIS. Two countries remain largely </w:t>
      </w:r>
      <w:proofErr w:type="spellStart"/>
      <w:r w:rsidRPr="009326D3">
        <w:rPr>
          <w:rFonts w:ascii="Times New Roman" w:hAnsi="Times New Roman" w:cs="Times New Roman"/>
          <w:sz w:val="24"/>
          <w:szCs w:val="24"/>
        </w:rPr>
        <w:t>dependant</w:t>
      </w:r>
      <w:proofErr w:type="spellEnd"/>
      <w:r w:rsidRPr="009326D3">
        <w:rPr>
          <w:rFonts w:ascii="Times New Roman" w:hAnsi="Times New Roman" w:cs="Times New Roman"/>
          <w:sz w:val="24"/>
          <w:szCs w:val="24"/>
        </w:rPr>
        <w:t xml:space="preserve"> on non- FMIS based controls.       </w:t>
      </w:r>
    </w:p>
    <w:p w14:paraId="45D8292F" w14:textId="2F17BFD5" w:rsidR="008342A6" w:rsidRPr="009326D3" w:rsidRDefault="008342A6">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Five countries indicate that the</w:t>
      </w:r>
      <w:r w:rsidR="009B51FD">
        <w:rPr>
          <w:rFonts w:ascii="Times New Roman" w:hAnsi="Times New Roman" w:cs="Times New Roman"/>
          <w:sz w:val="24"/>
          <w:szCs w:val="24"/>
        </w:rPr>
        <w:t>y</w:t>
      </w:r>
      <w:r w:rsidRPr="009326D3">
        <w:rPr>
          <w:rFonts w:ascii="Times New Roman" w:hAnsi="Times New Roman" w:cs="Times New Roman"/>
          <w:sz w:val="24"/>
          <w:szCs w:val="24"/>
        </w:rPr>
        <w:t xml:space="preserve"> do not recognise delivery of goods and services at all, which must be a major challenge for budgetary and internal controls.</w:t>
      </w:r>
      <w:r w:rsidR="000C04A8">
        <w:rPr>
          <w:rFonts w:ascii="Times New Roman" w:hAnsi="Times New Roman" w:cs="Times New Roman"/>
          <w:sz w:val="24"/>
          <w:szCs w:val="24"/>
        </w:rPr>
        <w:t xml:space="preserve"> </w:t>
      </w:r>
      <w:r w:rsidRPr="009326D3">
        <w:rPr>
          <w:rFonts w:ascii="Times New Roman" w:hAnsi="Times New Roman" w:cs="Times New Roman"/>
          <w:sz w:val="24"/>
          <w:szCs w:val="24"/>
        </w:rPr>
        <w:t xml:space="preserve"> </w:t>
      </w:r>
    </w:p>
    <w:p w14:paraId="5087AD32" w14:textId="77777777" w:rsidR="008342A6" w:rsidRDefault="008342A6">
      <w:pPr>
        <w:spacing w:after="0" w:line="240" w:lineRule="auto"/>
        <w:rPr>
          <w:highlight w:val="green"/>
        </w:rPr>
      </w:pPr>
    </w:p>
    <w:p w14:paraId="3009A6C1" w14:textId="5C31D27F" w:rsidR="000C04A8" w:rsidRDefault="000C04A8">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 xml:space="preserve">This stage of the process has particular implications for accrual accounting and the recognition of liabilities. It </w:t>
      </w:r>
      <w:r>
        <w:rPr>
          <w:rFonts w:ascii="Times New Roman" w:hAnsi="Times New Roman" w:cs="Times New Roman"/>
          <w:sz w:val="24"/>
          <w:szCs w:val="24"/>
        </w:rPr>
        <w:t>may</w:t>
      </w:r>
      <w:r w:rsidR="009B51FD">
        <w:rPr>
          <w:rFonts w:ascii="Times New Roman" w:hAnsi="Times New Roman" w:cs="Times New Roman"/>
          <w:sz w:val="24"/>
          <w:szCs w:val="24"/>
        </w:rPr>
        <w:t xml:space="preserve"> </w:t>
      </w:r>
      <w:r w:rsidRPr="009326D3">
        <w:rPr>
          <w:rFonts w:ascii="Times New Roman" w:hAnsi="Times New Roman" w:cs="Times New Roman"/>
          <w:sz w:val="24"/>
          <w:szCs w:val="24"/>
        </w:rPr>
        <w:t xml:space="preserve">be </w:t>
      </w:r>
      <w:r>
        <w:rPr>
          <w:rFonts w:ascii="Times New Roman" w:hAnsi="Times New Roman" w:cs="Times New Roman"/>
          <w:sz w:val="24"/>
          <w:szCs w:val="24"/>
        </w:rPr>
        <w:t xml:space="preserve">useful </w:t>
      </w:r>
      <w:r w:rsidRPr="009326D3">
        <w:rPr>
          <w:rFonts w:ascii="Times New Roman" w:hAnsi="Times New Roman" w:cs="Times New Roman"/>
          <w:sz w:val="24"/>
          <w:szCs w:val="24"/>
        </w:rPr>
        <w:t xml:space="preserve">to </w:t>
      </w:r>
      <w:r>
        <w:rPr>
          <w:rFonts w:ascii="Times New Roman" w:hAnsi="Times New Roman" w:cs="Times New Roman"/>
          <w:sz w:val="24"/>
          <w:szCs w:val="24"/>
        </w:rPr>
        <w:t>further explore</w:t>
      </w:r>
      <w:r w:rsidRPr="009326D3">
        <w:rPr>
          <w:rFonts w:ascii="Times New Roman" w:hAnsi="Times New Roman" w:cs="Times New Roman"/>
          <w:sz w:val="24"/>
          <w:szCs w:val="24"/>
        </w:rPr>
        <w:t xml:space="preserve"> whether countries that have adopted full accrual or disclose liabilities in the financial statements</w:t>
      </w:r>
      <w:r>
        <w:rPr>
          <w:rFonts w:ascii="Times New Roman" w:hAnsi="Times New Roman" w:cs="Times New Roman"/>
          <w:sz w:val="24"/>
          <w:szCs w:val="24"/>
        </w:rPr>
        <w:t>,</w:t>
      </w:r>
      <w:r w:rsidRPr="009326D3">
        <w:rPr>
          <w:rFonts w:ascii="Times New Roman" w:hAnsi="Times New Roman" w:cs="Times New Roman"/>
          <w:sz w:val="24"/>
          <w:szCs w:val="24"/>
        </w:rPr>
        <w:t xml:space="preserve"> have </w:t>
      </w:r>
      <w:r>
        <w:rPr>
          <w:rFonts w:ascii="Times New Roman" w:hAnsi="Times New Roman" w:cs="Times New Roman"/>
          <w:sz w:val="24"/>
          <w:szCs w:val="24"/>
        </w:rPr>
        <w:t xml:space="preserve">been consistent in the recognition issue in </w:t>
      </w:r>
      <w:r w:rsidRPr="009326D3">
        <w:rPr>
          <w:rFonts w:ascii="Times New Roman" w:hAnsi="Times New Roman" w:cs="Times New Roman"/>
          <w:sz w:val="24"/>
          <w:szCs w:val="24"/>
        </w:rPr>
        <w:t xml:space="preserve">accounting policies </w:t>
      </w:r>
      <w:r>
        <w:rPr>
          <w:rFonts w:ascii="Times New Roman" w:hAnsi="Times New Roman" w:cs="Times New Roman"/>
          <w:sz w:val="24"/>
          <w:szCs w:val="24"/>
        </w:rPr>
        <w:t>and processes for</w:t>
      </w:r>
      <w:r w:rsidRPr="009326D3">
        <w:rPr>
          <w:rFonts w:ascii="Times New Roman" w:hAnsi="Times New Roman" w:cs="Times New Roman"/>
          <w:sz w:val="24"/>
          <w:szCs w:val="24"/>
        </w:rPr>
        <w:t xml:space="preserve"> this area.</w:t>
      </w:r>
    </w:p>
    <w:p w14:paraId="5C7B57CC" w14:textId="77777777" w:rsidR="000C04A8" w:rsidRDefault="000C04A8">
      <w:pPr>
        <w:spacing w:after="0" w:line="240" w:lineRule="auto"/>
        <w:rPr>
          <w:highlight w:val="green"/>
        </w:rPr>
      </w:pPr>
    </w:p>
    <w:p w14:paraId="000C48FC" w14:textId="72589BA6" w:rsidR="008342A6" w:rsidRPr="009326D3" w:rsidRDefault="008342A6">
      <w:pPr>
        <w:spacing w:after="0" w:line="240" w:lineRule="auto"/>
        <w:rPr>
          <w:rFonts w:ascii="Times New Roman" w:hAnsi="Times New Roman" w:cs="Times New Roman"/>
          <w:b/>
          <w:color w:val="4F81BD" w:themeColor="accent1"/>
          <w:sz w:val="28"/>
          <w:szCs w:val="28"/>
        </w:rPr>
      </w:pPr>
      <w:r w:rsidRPr="009326D3">
        <w:rPr>
          <w:rFonts w:ascii="Times New Roman" w:hAnsi="Times New Roman" w:cs="Times New Roman"/>
          <w:b/>
          <w:color w:val="4F81BD" w:themeColor="accent1"/>
          <w:sz w:val="28"/>
          <w:szCs w:val="28"/>
        </w:rPr>
        <w:t>Stage 4- Receipt of Supplier Invoices</w:t>
      </w:r>
    </w:p>
    <w:p w14:paraId="5C1C96D9" w14:textId="77777777" w:rsidR="00D66F45" w:rsidRDefault="00D66F45">
      <w:pPr>
        <w:spacing w:after="0" w:line="240" w:lineRule="auto"/>
        <w:rPr>
          <w:b/>
          <w:highlight w:val="green"/>
        </w:rPr>
      </w:pPr>
    </w:p>
    <w:p w14:paraId="34AE7131" w14:textId="483F1DE9" w:rsidR="008342A6" w:rsidRPr="009326D3" w:rsidRDefault="008342A6">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 xml:space="preserve">This stage comprises four questions. </w:t>
      </w:r>
    </w:p>
    <w:p w14:paraId="386B5461" w14:textId="77777777" w:rsidR="008342A6" w:rsidRPr="009326D3" w:rsidRDefault="008342A6">
      <w:pPr>
        <w:spacing w:after="0" w:line="240" w:lineRule="auto"/>
        <w:rPr>
          <w:rFonts w:ascii="Times New Roman" w:hAnsi="Times New Roman" w:cs="Times New Roman"/>
          <w:sz w:val="24"/>
          <w:szCs w:val="24"/>
        </w:rPr>
      </w:pPr>
    </w:p>
    <w:p w14:paraId="2B48F181" w14:textId="1866B02E" w:rsidR="008342A6" w:rsidRPr="009326D3" w:rsidRDefault="00EA44EE" w:rsidP="00EA44EE">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 xml:space="preserve">Q16. </w:t>
      </w:r>
      <w:r w:rsidR="008342A6" w:rsidRPr="009326D3">
        <w:rPr>
          <w:rFonts w:ascii="Times New Roman" w:hAnsi="Times New Roman" w:cs="Times New Roman"/>
          <w:b/>
          <w:i/>
          <w:noProof/>
          <w:sz w:val="24"/>
          <w:szCs w:val="24"/>
          <w:lang w:val="en-US"/>
        </w:rPr>
        <w:t>Does your country separa</w:t>
      </w:r>
      <w:r w:rsidR="001A7353">
        <w:rPr>
          <w:rFonts w:ascii="Times New Roman" w:hAnsi="Times New Roman" w:cs="Times New Roman"/>
          <w:b/>
          <w:i/>
          <w:noProof/>
          <w:sz w:val="24"/>
          <w:szCs w:val="24"/>
          <w:lang w:val="en-US"/>
        </w:rPr>
        <w:t>tely record receipt of supplier</w:t>
      </w:r>
      <w:r w:rsidR="008342A6" w:rsidRPr="009326D3">
        <w:rPr>
          <w:rFonts w:ascii="Times New Roman" w:hAnsi="Times New Roman" w:cs="Times New Roman"/>
          <w:b/>
          <w:i/>
          <w:noProof/>
          <w:sz w:val="24"/>
          <w:szCs w:val="24"/>
          <w:lang w:val="en-US"/>
        </w:rPr>
        <w:t xml:space="preserve"> invoices?</w:t>
      </w:r>
    </w:p>
    <w:p w14:paraId="60D645F5" w14:textId="68786155" w:rsidR="008342A6" w:rsidRPr="009326D3" w:rsidRDefault="00EA44EE" w:rsidP="00EA44EE">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 xml:space="preserve">Q17. </w:t>
      </w:r>
      <w:r w:rsidR="008342A6" w:rsidRPr="009326D3">
        <w:rPr>
          <w:rFonts w:ascii="Times New Roman" w:hAnsi="Times New Roman" w:cs="Times New Roman"/>
          <w:b/>
          <w:i/>
          <w:noProof/>
          <w:sz w:val="24"/>
          <w:szCs w:val="24"/>
          <w:lang w:val="en-US"/>
        </w:rPr>
        <w:t xml:space="preserve">If yes where is receipt of a suppliers invoice recorded? </w:t>
      </w:r>
    </w:p>
    <w:p w14:paraId="0890D3D3" w14:textId="77777777" w:rsidR="008342A6" w:rsidRPr="009326D3" w:rsidRDefault="008342A6">
      <w:pPr>
        <w:spacing w:after="0" w:line="240" w:lineRule="auto"/>
        <w:rPr>
          <w:rFonts w:ascii="Times New Roman" w:hAnsi="Times New Roman" w:cs="Times New Roman"/>
          <w:sz w:val="24"/>
          <w:szCs w:val="24"/>
        </w:rPr>
      </w:pPr>
    </w:p>
    <w:p w14:paraId="358C8D31" w14:textId="2A3C7DEF" w:rsidR="00951535" w:rsidRPr="009326D3" w:rsidRDefault="003F0492">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 xml:space="preserve">Figure </w:t>
      </w:r>
      <w:r w:rsidR="001A7353">
        <w:rPr>
          <w:rFonts w:ascii="Times New Roman" w:hAnsi="Times New Roman" w:cs="Times New Roman"/>
          <w:sz w:val="24"/>
          <w:szCs w:val="24"/>
        </w:rPr>
        <w:t>8 summariz</w:t>
      </w:r>
      <w:r w:rsidRPr="009326D3">
        <w:rPr>
          <w:rFonts w:ascii="Times New Roman" w:hAnsi="Times New Roman" w:cs="Times New Roman"/>
          <w:sz w:val="24"/>
          <w:szCs w:val="24"/>
        </w:rPr>
        <w:t xml:space="preserve">es country responses to the above two questions. Seven countries indicated that they record </w:t>
      </w:r>
      <w:r w:rsidR="00951535" w:rsidRPr="009326D3">
        <w:rPr>
          <w:rFonts w:ascii="Times New Roman" w:hAnsi="Times New Roman" w:cs="Times New Roman"/>
          <w:sz w:val="24"/>
          <w:szCs w:val="24"/>
        </w:rPr>
        <w:t xml:space="preserve">the </w:t>
      </w:r>
      <w:r w:rsidRPr="009326D3">
        <w:rPr>
          <w:rFonts w:ascii="Times New Roman" w:hAnsi="Times New Roman" w:cs="Times New Roman"/>
          <w:sz w:val="24"/>
          <w:szCs w:val="24"/>
        </w:rPr>
        <w:t>re</w:t>
      </w:r>
      <w:r w:rsidR="001A7353">
        <w:rPr>
          <w:rFonts w:ascii="Times New Roman" w:hAnsi="Times New Roman" w:cs="Times New Roman"/>
          <w:sz w:val="24"/>
          <w:szCs w:val="24"/>
        </w:rPr>
        <w:t>ceipt of supplier</w:t>
      </w:r>
      <w:r w:rsidR="00951535" w:rsidRPr="009326D3">
        <w:rPr>
          <w:rFonts w:ascii="Times New Roman" w:hAnsi="Times New Roman" w:cs="Times New Roman"/>
          <w:sz w:val="24"/>
          <w:szCs w:val="24"/>
        </w:rPr>
        <w:t xml:space="preserve"> invoices, thu</w:t>
      </w:r>
      <w:r w:rsidRPr="009326D3">
        <w:rPr>
          <w:rFonts w:ascii="Times New Roman" w:hAnsi="Times New Roman" w:cs="Times New Roman"/>
          <w:sz w:val="24"/>
          <w:szCs w:val="24"/>
        </w:rPr>
        <w:t xml:space="preserve">s five indicated they do not record this. </w:t>
      </w:r>
      <w:r w:rsidR="00951535" w:rsidRPr="009326D3">
        <w:rPr>
          <w:rFonts w:ascii="Times New Roman" w:hAnsi="Times New Roman" w:cs="Times New Roman"/>
          <w:sz w:val="24"/>
          <w:szCs w:val="24"/>
        </w:rPr>
        <w:t>While t</w:t>
      </w:r>
      <w:r w:rsidRPr="009326D3">
        <w:rPr>
          <w:rFonts w:ascii="Times New Roman" w:hAnsi="Times New Roman" w:cs="Times New Roman"/>
          <w:sz w:val="24"/>
          <w:szCs w:val="24"/>
        </w:rPr>
        <w:t>h</w:t>
      </w:r>
      <w:r w:rsidR="00951535" w:rsidRPr="009326D3">
        <w:rPr>
          <w:rFonts w:ascii="Times New Roman" w:hAnsi="Times New Roman" w:cs="Times New Roman"/>
          <w:sz w:val="24"/>
          <w:szCs w:val="24"/>
        </w:rPr>
        <w:t>e</w:t>
      </w:r>
      <w:r w:rsidRPr="009326D3">
        <w:rPr>
          <w:rFonts w:ascii="Times New Roman" w:hAnsi="Times New Roman" w:cs="Times New Roman"/>
          <w:sz w:val="24"/>
          <w:szCs w:val="24"/>
        </w:rPr>
        <w:t>s</w:t>
      </w:r>
      <w:r w:rsidR="00951535" w:rsidRPr="009326D3">
        <w:rPr>
          <w:rFonts w:ascii="Times New Roman" w:hAnsi="Times New Roman" w:cs="Times New Roman"/>
          <w:sz w:val="24"/>
          <w:szCs w:val="24"/>
        </w:rPr>
        <w:t>e</w:t>
      </w:r>
      <w:r w:rsidRPr="009326D3">
        <w:rPr>
          <w:rFonts w:ascii="Times New Roman" w:hAnsi="Times New Roman" w:cs="Times New Roman"/>
          <w:sz w:val="24"/>
          <w:szCs w:val="24"/>
        </w:rPr>
        <w:t xml:space="preserve"> </w:t>
      </w:r>
      <w:r w:rsidR="00951535" w:rsidRPr="009326D3">
        <w:rPr>
          <w:rFonts w:ascii="Times New Roman" w:hAnsi="Times New Roman" w:cs="Times New Roman"/>
          <w:sz w:val="24"/>
          <w:szCs w:val="24"/>
        </w:rPr>
        <w:t>numbers are</w:t>
      </w:r>
      <w:r w:rsidRPr="009326D3">
        <w:rPr>
          <w:rFonts w:ascii="Times New Roman" w:hAnsi="Times New Roman" w:cs="Times New Roman"/>
          <w:sz w:val="24"/>
          <w:szCs w:val="24"/>
        </w:rPr>
        <w:t xml:space="preserve"> consistent with responses received regarding recording good and services in Stage 3, </w:t>
      </w:r>
      <w:r w:rsidR="00951535" w:rsidRPr="009326D3">
        <w:rPr>
          <w:rFonts w:ascii="Times New Roman" w:hAnsi="Times New Roman" w:cs="Times New Roman"/>
          <w:sz w:val="24"/>
          <w:szCs w:val="24"/>
        </w:rPr>
        <w:t>two of the respondent countries are different.</w:t>
      </w:r>
      <w:r w:rsidRPr="009326D3">
        <w:rPr>
          <w:rFonts w:ascii="Times New Roman" w:hAnsi="Times New Roman" w:cs="Times New Roman"/>
          <w:sz w:val="24"/>
          <w:szCs w:val="24"/>
        </w:rPr>
        <w:t xml:space="preserve"> Montenegro has now indicated that it records </w:t>
      </w:r>
      <w:r w:rsidR="00951535" w:rsidRPr="009326D3">
        <w:rPr>
          <w:rFonts w:ascii="Times New Roman" w:hAnsi="Times New Roman" w:cs="Times New Roman"/>
          <w:sz w:val="24"/>
          <w:szCs w:val="24"/>
        </w:rPr>
        <w:t xml:space="preserve">the </w:t>
      </w:r>
      <w:r w:rsidRPr="009326D3">
        <w:rPr>
          <w:rFonts w:ascii="Times New Roman" w:hAnsi="Times New Roman" w:cs="Times New Roman"/>
          <w:sz w:val="24"/>
          <w:szCs w:val="24"/>
        </w:rPr>
        <w:t xml:space="preserve">receipt of invoices </w:t>
      </w:r>
      <w:r w:rsidR="00951535" w:rsidRPr="009326D3">
        <w:rPr>
          <w:rFonts w:ascii="Times New Roman" w:hAnsi="Times New Roman" w:cs="Times New Roman"/>
          <w:sz w:val="24"/>
          <w:szCs w:val="24"/>
        </w:rPr>
        <w:t>but did</w:t>
      </w:r>
      <w:r w:rsidRPr="009326D3">
        <w:rPr>
          <w:rFonts w:ascii="Times New Roman" w:hAnsi="Times New Roman" w:cs="Times New Roman"/>
          <w:sz w:val="24"/>
          <w:szCs w:val="24"/>
        </w:rPr>
        <w:t xml:space="preserve"> not </w:t>
      </w:r>
      <w:r w:rsidR="00951535" w:rsidRPr="009326D3">
        <w:rPr>
          <w:rFonts w:ascii="Times New Roman" w:hAnsi="Times New Roman" w:cs="Times New Roman"/>
          <w:sz w:val="24"/>
          <w:szCs w:val="24"/>
        </w:rPr>
        <w:t xml:space="preserve">record receipt of </w:t>
      </w:r>
      <w:r w:rsidRPr="009326D3">
        <w:rPr>
          <w:rFonts w:ascii="Times New Roman" w:hAnsi="Times New Roman" w:cs="Times New Roman"/>
          <w:sz w:val="24"/>
          <w:szCs w:val="24"/>
        </w:rPr>
        <w:t>goods</w:t>
      </w:r>
      <w:r w:rsidR="00951535" w:rsidRPr="009326D3">
        <w:rPr>
          <w:rFonts w:ascii="Times New Roman" w:hAnsi="Times New Roman" w:cs="Times New Roman"/>
          <w:sz w:val="24"/>
          <w:szCs w:val="24"/>
        </w:rPr>
        <w:t xml:space="preserve"> and services, while Georgia has recorded the opposite</w:t>
      </w:r>
      <w:r w:rsidRPr="009326D3">
        <w:rPr>
          <w:rFonts w:ascii="Times New Roman" w:hAnsi="Times New Roman" w:cs="Times New Roman"/>
          <w:sz w:val="24"/>
          <w:szCs w:val="24"/>
        </w:rPr>
        <w:t xml:space="preserve">.  </w:t>
      </w:r>
    </w:p>
    <w:p w14:paraId="72D8EB63" w14:textId="77777777" w:rsidR="00951535" w:rsidRPr="009326D3" w:rsidRDefault="00951535">
      <w:pPr>
        <w:spacing w:after="0" w:line="240" w:lineRule="auto"/>
        <w:rPr>
          <w:rFonts w:ascii="Times New Roman" w:hAnsi="Times New Roman" w:cs="Times New Roman"/>
          <w:sz w:val="24"/>
          <w:szCs w:val="24"/>
        </w:rPr>
      </w:pPr>
    </w:p>
    <w:p w14:paraId="06CB1F4B" w14:textId="6087D336" w:rsidR="00951535" w:rsidRPr="009326D3" w:rsidRDefault="00951535">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Five countries have indicated that they record the receipt of invoices in the central FMIS</w:t>
      </w:r>
      <w:r w:rsidR="0090758C">
        <w:rPr>
          <w:rFonts w:ascii="Times New Roman" w:hAnsi="Times New Roman" w:cs="Times New Roman"/>
          <w:sz w:val="24"/>
          <w:szCs w:val="24"/>
        </w:rPr>
        <w:t xml:space="preserve"> </w:t>
      </w:r>
      <w:proofErr w:type="gramStart"/>
      <w:r w:rsidR="0090758C">
        <w:rPr>
          <w:rFonts w:ascii="Times New Roman" w:hAnsi="Times New Roman" w:cs="Times New Roman"/>
          <w:sz w:val="24"/>
          <w:szCs w:val="24"/>
        </w:rPr>
        <w:t xml:space="preserve">and </w:t>
      </w:r>
      <w:r w:rsidRPr="009326D3">
        <w:rPr>
          <w:rFonts w:ascii="Times New Roman" w:hAnsi="Times New Roman" w:cs="Times New Roman"/>
          <w:sz w:val="24"/>
          <w:szCs w:val="24"/>
        </w:rPr>
        <w:t xml:space="preserve"> </w:t>
      </w:r>
      <w:r w:rsidR="0090758C">
        <w:rPr>
          <w:rFonts w:ascii="Times New Roman" w:hAnsi="Times New Roman" w:cs="Times New Roman"/>
          <w:sz w:val="24"/>
          <w:szCs w:val="24"/>
        </w:rPr>
        <w:t>five</w:t>
      </w:r>
      <w:proofErr w:type="gramEnd"/>
      <w:r w:rsidR="0090758C">
        <w:rPr>
          <w:rFonts w:ascii="Times New Roman" w:hAnsi="Times New Roman" w:cs="Times New Roman"/>
          <w:sz w:val="24"/>
          <w:szCs w:val="24"/>
        </w:rPr>
        <w:t xml:space="preserve"> also </w:t>
      </w:r>
      <w:r w:rsidRPr="009326D3">
        <w:rPr>
          <w:rFonts w:ascii="Times New Roman" w:hAnsi="Times New Roman" w:cs="Times New Roman"/>
          <w:sz w:val="24"/>
          <w:szCs w:val="24"/>
        </w:rPr>
        <w:t xml:space="preserve">record this in </w:t>
      </w:r>
      <w:r w:rsidR="00641EC2" w:rsidRPr="009326D3">
        <w:rPr>
          <w:rFonts w:ascii="Times New Roman" w:hAnsi="Times New Roman" w:cs="Times New Roman"/>
          <w:sz w:val="24"/>
          <w:szCs w:val="24"/>
        </w:rPr>
        <w:t xml:space="preserve">the </w:t>
      </w:r>
      <w:r w:rsidRPr="009326D3">
        <w:rPr>
          <w:rFonts w:ascii="Times New Roman" w:hAnsi="Times New Roman" w:cs="Times New Roman"/>
          <w:sz w:val="24"/>
          <w:szCs w:val="24"/>
        </w:rPr>
        <w:t>MDA</w:t>
      </w:r>
      <w:r w:rsidR="00641EC2" w:rsidRPr="009326D3">
        <w:rPr>
          <w:rFonts w:ascii="Times New Roman" w:hAnsi="Times New Roman" w:cs="Times New Roman"/>
          <w:sz w:val="24"/>
          <w:szCs w:val="24"/>
        </w:rPr>
        <w:t>s’</w:t>
      </w:r>
      <w:r w:rsidRPr="009326D3">
        <w:rPr>
          <w:rFonts w:ascii="Times New Roman" w:hAnsi="Times New Roman" w:cs="Times New Roman"/>
          <w:sz w:val="24"/>
          <w:szCs w:val="24"/>
        </w:rPr>
        <w:t xml:space="preserve"> FMIS</w:t>
      </w:r>
      <w:r w:rsidR="0090758C">
        <w:rPr>
          <w:rFonts w:ascii="Times New Roman" w:hAnsi="Times New Roman" w:cs="Times New Roman"/>
          <w:sz w:val="24"/>
          <w:szCs w:val="24"/>
        </w:rPr>
        <w:t>. T</w:t>
      </w:r>
      <w:r w:rsidR="00641EC2" w:rsidRPr="009326D3">
        <w:rPr>
          <w:rFonts w:ascii="Times New Roman" w:hAnsi="Times New Roman" w:cs="Times New Roman"/>
          <w:sz w:val="24"/>
          <w:szCs w:val="24"/>
        </w:rPr>
        <w:t xml:space="preserve">he </w:t>
      </w:r>
      <w:r w:rsidRPr="009326D3">
        <w:rPr>
          <w:rFonts w:ascii="Times New Roman" w:hAnsi="Times New Roman" w:cs="Times New Roman"/>
          <w:sz w:val="24"/>
          <w:szCs w:val="24"/>
        </w:rPr>
        <w:t xml:space="preserve">Kyrgyz Republic </w:t>
      </w:r>
      <w:r w:rsidR="0090758C">
        <w:rPr>
          <w:rFonts w:ascii="Times New Roman" w:hAnsi="Times New Roman" w:cs="Times New Roman"/>
          <w:sz w:val="24"/>
          <w:szCs w:val="24"/>
        </w:rPr>
        <w:t xml:space="preserve">also </w:t>
      </w:r>
      <w:r w:rsidR="001A7353">
        <w:rPr>
          <w:rFonts w:ascii="Times New Roman" w:hAnsi="Times New Roman" w:cs="Times New Roman"/>
          <w:sz w:val="24"/>
          <w:szCs w:val="24"/>
        </w:rPr>
        <w:t xml:space="preserve">records this </w:t>
      </w:r>
      <w:r w:rsidRPr="009326D3">
        <w:rPr>
          <w:rFonts w:ascii="Times New Roman" w:hAnsi="Times New Roman" w:cs="Times New Roman"/>
          <w:sz w:val="24"/>
          <w:szCs w:val="24"/>
        </w:rPr>
        <w:t xml:space="preserve">at </w:t>
      </w:r>
      <w:r w:rsidR="001A7353">
        <w:rPr>
          <w:rFonts w:ascii="Times New Roman" w:hAnsi="Times New Roman" w:cs="Times New Roman"/>
          <w:sz w:val="24"/>
          <w:szCs w:val="24"/>
        </w:rPr>
        <w:t>its</w:t>
      </w:r>
      <w:r w:rsidRPr="009326D3">
        <w:rPr>
          <w:rFonts w:ascii="Times New Roman" w:hAnsi="Times New Roman" w:cs="Times New Roman"/>
          <w:sz w:val="24"/>
          <w:szCs w:val="24"/>
        </w:rPr>
        <w:t xml:space="preserve"> regional treasury offices.   </w:t>
      </w:r>
    </w:p>
    <w:p w14:paraId="56ED56E6" w14:textId="6C11683D" w:rsidR="003F0492" w:rsidRPr="009326D3" w:rsidRDefault="00951535">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 xml:space="preserve">   </w:t>
      </w:r>
      <w:r w:rsidR="003F0492" w:rsidRPr="009326D3">
        <w:rPr>
          <w:rFonts w:ascii="Times New Roman" w:hAnsi="Times New Roman" w:cs="Times New Roman"/>
          <w:sz w:val="24"/>
          <w:szCs w:val="24"/>
        </w:rPr>
        <w:t xml:space="preserve"> </w:t>
      </w:r>
    </w:p>
    <w:p w14:paraId="4C5820AC" w14:textId="77777777" w:rsidR="008342A6" w:rsidRPr="009326D3" w:rsidRDefault="008342A6">
      <w:pPr>
        <w:spacing w:after="0" w:line="240" w:lineRule="auto"/>
        <w:rPr>
          <w:rFonts w:ascii="Times New Roman" w:hAnsi="Times New Roman" w:cs="Times New Roman"/>
          <w:sz w:val="24"/>
          <w:szCs w:val="24"/>
        </w:rPr>
      </w:pPr>
    </w:p>
    <w:p w14:paraId="7CCA1719" w14:textId="2156E1CE" w:rsidR="008342A6" w:rsidRPr="009326D3" w:rsidRDefault="001B4892">
      <w:pPr>
        <w:spacing w:after="0" w:line="240" w:lineRule="auto"/>
        <w:rPr>
          <w:rFonts w:ascii="Times New Roman" w:hAnsi="Times New Roman" w:cs="Times New Roman"/>
          <w:i/>
          <w:color w:val="4F81BD" w:themeColor="accent1"/>
          <w:sz w:val="24"/>
          <w:szCs w:val="24"/>
        </w:rPr>
      </w:pPr>
      <w:r w:rsidRPr="009326D3">
        <w:rPr>
          <w:rFonts w:ascii="Times New Roman" w:hAnsi="Times New Roman" w:cs="Times New Roman"/>
          <w:i/>
          <w:color w:val="4F81BD" w:themeColor="accent1"/>
          <w:sz w:val="24"/>
          <w:szCs w:val="24"/>
        </w:rPr>
        <w:t>Figure 8</w:t>
      </w:r>
      <w:r w:rsidR="003F0492" w:rsidRPr="009326D3">
        <w:rPr>
          <w:rFonts w:ascii="Times New Roman" w:hAnsi="Times New Roman" w:cs="Times New Roman"/>
          <w:i/>
          <w:color w:val="4F81BD" w:themeColor="accent1"/>
          <w:sz w:val="24"/>
          <w:szCs w:val="24"/>
        </w:rPr>
        <w:t xml:space="preserve"> </w:t>
      </w:r>
      <w:proofErr w:type="gramStart"/>
      <w:r w:rsidR="003F0492" w:rsidRPr="009326D3">
        <w:rPr>
          <w:rFonts w:ascii="Times New Roman" w:hAnsi="Times New Roman" w:cs="Times New Roman"/>
          <w:i/>
          <w:color w:val="4F81BD" w:themeColor="accent1"/>
          <w:sz w:val="24"/>
          <w:szCs w:val="24"/>
        </w:rPr>
        <w:t>-  Registering</w:t>
      </w:r>
      <w:proofErr w:type="gramEnd"/>
      <w:r w:rsidR="003F0492" w:rsidRPr="009326D3">
        <w:rPr>
          <w:rFonts w:ascii="Times New Roman" w:hAnsi="Times New Roman" w:cs="Times New Roman"/>
          <w:i/>
          <w:color w:val="4F81BD" w:themeColor="accent1"/>
          <w:sz w:val="24"/>
          <w:szCs w:val="24"/>
        </w:rPr>
        <w:t xml:space="preserve"> Supplier Invoices</w:t>
      </w:r>
    </w:p>
    <w:p w14:paraId="6FE527D8" w14:textId="0326E268" w:rsidR="008342A6" w:rsidRDefault="003F0492">
      <w:pPr>
        <w:spacing w:after="0" w:line="240" w:lineRule="auto"/>
      </w:pPr>
      <w:r>
        <w:rPr>
          <w:noProof/>
          <w:lang w:val="en-US"/>
        </w:rPr>
        <w:drawing>
          <wp:inline distT="0" distB="0" distL="0" distR="0" wp14:anchorId="05C87492" wp14:editId="5EAD8326">
            <wp:extent cx="4572000" cy="2743200"/>
            <wp:effectExtent l="0" t="0" r="25400" b="254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5367CC9" w14:textId="77777777" w:rsidR="008342A6" w:rsidRDefault="008342A6">
      <w:pPr>
        <w:spacing w:after="0" w:line="240" w:lineRule="auto"/>
      </w:pPr>
    </w:p>
    <w:p w14:paraId="65DD7C32" w14:textId="020E742C" w:rsidR="00641EC2" w:rsidRPr="009326D3" w:rsidRDefault="00EA44EE" w:rsidP="00EA44EE">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 xml:space="preserve">Q18. </w:t>
      </w:r>
      <w:r w:rsidR="00641EC2" w:rsidRPr="009326D3">
        <w:rPr>
          <w:rFonts w:ascii="Times New Roman" w:hAnsi="Times New Roman" w:cs="Times New Roman"/>
          <w:b/>
          <w:i/>
          <w:noProof/>
          <w:sz w:val="24"/>
          <w:szCs w:val="24"/>
          <w:lang w:val="en-US"/>
        </w:rPr>
        <w:t>Supplier invoices are matched to commitments when received?</w:t>
      </w:r>
    </w:p>
    <w:p w14:paraId="7CF269B2" w14:textId="0EE17312" w:rsidR="00641EC2" w:rsidRPr="009326D3" w:rsidRDefault="00EA44EE" w:rsidP="00EA44EE">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 xml:space="preserve">Q19. </w:t>
      </w:r>
      <w:r w:rsidR="00641EC2" w:rsidRPr="009326D3">
        <w:rPr>
          <w:rFonts w:ascii="Times New Roman" w:hAnsi="Times New Roman" w:cs="Times New Roman"/>
          <w:b/>
          <w:i/>
          <w:noProof/>
          <w:sz w:val="24"/>
          <w:szCs w:val="24"/>
          <w:lang w:val="en-US"/>
        </w:rPr>
        <w:t>If no please explain how you verify the authenticity of the invoice.</w:t>
      </w:r>
    </w:p>
    <w:p w14:paraId="565DF379" w14:textId="77777777" w:rsidR="008342A6" w:rsidRPr="009326D3" w:rsidRDefault="008342A6">
      <w:pPr>
        <w:spacing w:after="0" w:line="240" w:lineRule="auto"/>
        <w:rPr>
          <w:rFonts w:ascii="Times New Roman" w:hAnsi="Times New Roman" w:cs="Times New Roman"/>
          <w:sz w:val="24"/>
          <w:szCs w:val="24"/>
        </w:rPr>
      </w:pPr>
    </w:p>
    <w:p w14:paraId="00E34CC9" w14:textId="697FB94B" w:rsidR="00641EC2" w:rsidRPr="009326D3" w:rsidRDefault="00641EC2">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 xml:space="preserve">All seven countries that responded yes to question 16 regarding registering the receipt of supplier invoices </w:t>
      </w:r>
      <w:r w:rsidR="001A7353">
        <w:rPr>
          <w:rFonts w:ascii="Times New Roman" w:hAnsi="Times New Roman" w:cs="Times New Roman"/>
          <w:sz w:val="24"/>
          <w:szCs w:val="24"/>
        </w:rPr>
        <w:t xml:space="preserve">indicated that they </w:t>
      </w:r>
      <w:r w:rsidRPr="009326D3">
        <w:rPr>
          <w:rFonts w:ascii="Times New Roman" w:hAnsi="Times New Roman" w:cs="Times New Roman"/>
          <w:sz w:val="24"/>
          <w:szCs w:val="24"/>
        </w:rPr>
        <w:t xml:space="preserve">matched these invoices to commitments. </w:t>
      </w:r>
    </w:p>
    <w:p w14:paraId="09E5B5E4" w14:textId="77777777" w:rsidR="00641EC2" w:rsidRPr="009326D3" w:rsidRDefault="00641EC2">
      <w:pPr>
        <w:spacing w:after="0" w:line="240" w:lineRule="auto"/>
        <w:rPr>
          <w:rFonts w:ascii="Times New Roman" w:hAnsi="Times New Roman" w:cs="Times New Roman"/>
          <w:sz w:val="24"/>
          <w:szCs w:val="24"/>
        </w:rPr>
      </w:pPr>
    </w:p>
    <w:p w14:paraId="58FF1EB3" w14:textId="1D2172E8" w:rsidR="00641EC2" w:rsidRPr="009326D3" w:rsidRDefault="00641EC2">
      <w:pPr>
        <w:spacing w:after="0" w:line="240" w:lineRule="auto"/>
        <w:rPr>
          <w:rFonts w:ascii="Times New Roman" w:hAnsi="Times New Roman" w:cs="Times New Roman"/>
          <w:b/>
          <w:color w:val="4F81BD" w:themeColor="accent1"/>
          <w:sz w:val="24"/>
          <w:szCs w:val="24"/>
        </w:rPr>
      </w:pPr>
      <w:r w:rsidRPr="009326D3">
        <w:rPr>
          <w:rFonts w:ascii="Times New Roman" w:hAnsi="Times New Roman" w:cs="Times New Roman"/>
          <w:b/>
          <w:color w:val="4F81BD" w:themeColor="accent1"/>
          <w:sz w:val="24"/>
          <w:szCs w:val="24"/>
        </w:rPr>
        <w:t>Conclusion</w:t>
      </w:r>
      <w:r w:rsidR="001B4892" w:rsidRPr="009326D3">
        <w:rPr>
          <w:rFonts w:ascii="Times New Roman" w:hAnsi="Times New Roman" w:cs="Times New Roman"/>
          <w:b/>
          <w:color w:val="4F81BD" w:themeColor="accent1"/>
          <w:sz w:val="24"/>
          <w:szCs w:val="24"/>
        </w:rPr>
        <w:t>s</w:t>
      </w:r>
    </w:p>
    <w:p w14:paraId="0D5B3383" w14:textId="77777777" w:rsidR="00641EC2" w:rsidRPr="009326D3" w:rsidRDefault="00641EC2">
      <w:pPr>
        <w:spacing w:after="0" w:line="240" w:lineRule="auto"/>
        <w:rPr>
          <w:rFonts w:ascii="Times New Roman" w:hAnsi="Times New Roman" w:cs="Times New Roman"/>
          <w:sz w:val="24"/>
          <w:szCs w:val="24"/>
        </w:rPr>
      </w:pPr>
    </w:p>
    <w:p w14:paraId="6BEA4737" w14:textId="0E526CC6" w:rsidR="008342A6" w:rsidRPr="009326D3" w:rsidRDefault="00641EC2">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While seven countries are recording receipt of invoices and matching these to the original commitments, five are not. This stage along with the recording of goods and services receipt, represent important control points in government.  Countries that do not record these stages would find budget control, management an</w:t>
      </w:r>
      <w:r w:rsidR="001A7353">
        <w:rPr>
          <w:rFonts w:ascii="Times New Roman" w:hAnsi="Times New Roman" w:cs="Times New Roman"/>
          <w:sz w:val="24"/>
          <w:szCs w:val="24"/>
        </w:rPr>
        <w:t>d</w:t>
      </w:r>
      <w:r w:rsidRPr="009326D3">
        <w:rPr>
          <w:rFonts w:ascii="Times New Roman" w:hAnsi="Times New Roman" w:cs="Times New Roman"/>
          <w:sz w:val="24"/>
          <w:szCs w:val="24"/>
        </w:rPr>
        <w:t xml:space="preserve"> reporting very challenging. Managing these processes outside either a central or MDA FMIS woul</w:t>
      </w:r>
      <w:r w:rsidR="001A7353">
        <w:rPr>
          <w:rFonts w:ascii="Times New Roman" w:hAnsi="Times New Roman" w:cs="Times New Roman"/>
          <w:sz w:val="24"/>
          <w:szCs w:val="24"/>
        </w:rPr>
        <w:t>d also be extremely challenging.</w:t>
      </w:r>
    </w:p>
    <w:p w14:paraId="0B239F9B" w14:textId="77777777" w:rsidR="001A7353" w:rsidRDefault="001A7353">
      <w:pPr>
        <w:spacing w:after="0" w:line="240" w:lineRule="auto"/>
        <w:rPr>
          <w:b/>
          <w:color w:val="4F81BD" w:themeColor="accent1"/>
          <w:sz w:val="28"/>
          <w:szCs w:val="28"/>
        </w:rPr>
      </w:pPr>
    </w:p>
    <w:p w14:paraId="41658912" w14:textId="25E05CC1" w:rsidR="00641EC2" w:rsidRPr="009326D3" w:rsidRDefault="00202706">
      <w:pPr>
        <w:spacing w:after="0" w:line="240" w:lineRule="auto"/>
        <w:rPr>
          <w:b/>
          <w:color w:val="4F81BD" w:themeColor="accent1"/>
          <w:sz w:val="28"/>
          <w:szCs w:val="28"/>
        </w:rPr>
      </w:pPr>
      <w:r w:rsidRPr="009326D3">
        <w:rPr>
          <w:b/>
          <w:color w:val="4F81BD" w:themeColor="accent1"/>
          <w:sz w:val="28"/>
          <w:szCs w:val="28"/>
        </w:rPr>
        <w:t xml:space="preserve">Stage Five – </w:t>
      </w:r>
      <w:r w:rsidR="001B4892" w:rsidRPr="009326D3">
        <w:rPr>
          <w:b/>
          <w:color w:val="4F81BD" w:themeColor="accent1"/>
          <w:sz w:val="28"/>
          <w:szCs w:val="28"/>
        </w:rPr>
        <w:t>Pending Payments (</w:t>
      </w:r>
      <w:r w:rsidRPr="009326D3">
        <w:rPr>
          <w:b/>
          <w:color w:val="4F81BD" w:themeColor="accent1"/>
          <w:sz w:val="28"/>
          <w:szCs w:val="28"/>
        </w:rPr>
        <w:t>Accounts Payable</w:t>
      </w:r>
      <w:r w:rsidR="001B4892" w:rsidRPr="009326D3">
        <w:rPr>
          <w:b/>
          <w:color w:val="4F81BD" w:themeColor="accent1"/>
          <w:sz w:val="28"/>
          <w:szCs w:val="28"/>
        </w:rPr>
        <w:t>)</w:t>
      </w:r>
    </w:p>
    <w:p w14:paraId="6F48519A" w14:textId="77777777" w:rsidR="00641EC2" w:rsidRDefault="00641EC2">
      <w:pPr>
        <w:spacing w:after="0" w:line="240" w:lineRule="auto"/>
      </w:pPr>
    </w:p>
    <w:p w14:paraId="68EC94AF" w14:textId="3D24A3AC" w:rsidR="00D63DFD" w:rsidRPr="009326D3" w:rsidRDefault="00D63DFD" w:rsidP="00D63DFD">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 xml:space="preserve">This stage comprises five questions. </w:t>
      </w:r>
    </w:p>
    <w:p w14:paraId="20C82F73" w14:textId="77777777" w:rsidR="00E955BD" w:rsidRPr="009326D3" w:rsidRDefault="00E955BD">
      <w:pPr>
        <w:spacing w:after="0" w:line="240" w:lineRule="auto"/>
        <w:rPr>
          <w:rFonts w:ascii="Times New Roman" w:hAnsi="Times New Roman" w:cs="Times New Roman"/>
          <w:sz w:val="24"/>
          <w:szCs w:val="24"/>
        </w:rPr>
      </w:pPr>
    </w:p>
    <w:p w14:paraId="269207ED" w14:textId="1E5E02EA" w:rsidR="00E955BD" w:rsidRPr="009326D3" w:rsidRDefault="00EA44EE" w:rsidP="00EA44EE">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 xml:space="preserve">Q20. </w:t>
      </w:r>
      <w:r w:rsidR="00E955BD" w:rsidRPr="009326D3">
        <w:rPr>
          <w:rFonts w:ascii="Times New Roman" w:hAnsi="Times New Roman" w:cs="Times New Roman"/>
          <w:b/>
          <w:i/>
          <w:noProof/>
          <w:sz w:val="24"/>
          <w:szCs w:val="24"/>
          <w:lang w:val="en-US"/>
        </w:rPr>
        <w:t>Does your country recognise accounts payable in the budget execution process? Y/N</w:t>
      </w:r>
    </w:p>
    <w:p w14:paraId="792C9ED3" w14:textId="70AEAF35" w:rsidR="00E955BD" w:rsidRPr="009326D3" w:rsidRDefault="00EA44EE" w:rsidP="00EA44EE">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Q21.</w:t>
      </w:r>
      <w:r w:rsidR="00E955BD" w:rsidRPr="009326D3">
        <w:rPr>
          <w:rFonts w:ascii="Times New Roman" w:hAnsi="Times New Roman" w:cs="Times New Roman"/>
          <w:b/>
          <w:i/>
          <w:noProof/>
          <w:sz w:val="24"/>
          <w:szCs w:val="24"/>
          <w:lang w:val="en-US"/>
        </w:rPr>
        <w:t xml:space="preserve">Where is the recognition of </w:t>
      </w:r>
      <w:r w:rsidR="001A7353">
        <w:rPr>
          <w:rFonts w:ascii="Times New Roman" w:hAnsi="Times New Roman" w:cs="Times New Roman"/>
          <w:b/>
          <w:i/>
          <w:noProof/>
          <w:sz w:val="24"/>
          <w:szCs w:val="24"/>
          <w:lang w:val="en-US"/>
        </w:rPr>
        <w:t xml:space="preserve">the </w:t>
      </w:r>
      <w:r w:rsidR="00E955BD" w:rsidRPr="009326D3">
        <w:rPr>
          <w:rFonts w:ascii="Times New Roman" w:hAnsi="Times New Roman" w:cs="Times New Roman"/>
          <w:b/>
          <w:i/>
          <w:noProof/>
          <w:sz w:val="24"/>
          <w:szCs w:val="24"/>
          <w:lang w:val="en-US"/>
        </w:rPr>
        <w:t xml:space="preserve">accounts payable stage defined in your Public Financial Management Process? </w:t>
      </w:r>
    </w:p>
    <w:p w14:paraId="2BDA92E3" w14:textId="77777777" w:rsidR="00E955BD" w:rsidRPr="009326D3" w:rsidRDefault="00E955BD" w:rsidP="00E955BD">
      <w:pPr>
        <w:spacing w:after="0" w:line="240" w:lineRule="auto"/>
        <w:rPr>
          <w:rFonts w:ascii="Times New Roman" w:hAnsi="Times New Roman" w:cs="Times New Roman"/>
          <w:b/>
          <w:i/>
          <w:noProof/>
          <w:sz w:val="24"/>
          <w:szCs w:val="24"/>
          <w:lang w:val="en-US"/>
        </w:rPr>
      </w:pPr>
    </w:p>
    <w:p w14:paraId="2BFE82A8" w14:textId="38A6DDDF" w:rsidR="00E955BD" w:rsidRPr="009326D3" w:rsidRDefault="00E955BD" w:rsidP="00E955BD">
      <w:pPr>
        <w:spacing w:after="0" w:line="240" w:lineRule="auto"/>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Nine countries indicated that they recognise accounts payable, while three indicated that they do not. Of the nine, five define this in the general PFM</w:t>
      </w:r>
      <w:r w:rsidR="001A7353">
        <w:rPr>
          <w:rFonts w:ascii="Times New Roman" w:hAnsi="Times New Roman" w:cs="Times New Roman"/>
          <w:noProof/>
          <w:sz w:val="24"/>
          <w:szCs w:val="24"/>
          <w:lang w:val="en-US"/>
        </w:rPr>
        <w:t xml:space="preserve"> law while four define it in </w:t>
      </w:r>
      <w:r w:rsidRPr="009326D3">
        <w:rPr>
          <w:rFonts w:ascii="Times New Roman" w:hAnsi="Times New Roman" w:cs="Times New Roman"/>
          <w:noProof/>
          <w:sz w:val="24"/>
          <w:szCs w:val="24"/>
          <w:lang w:val="en-US"/>
        </w:rPr>
        <w:t>other legislative instrument</w:t>
      </w:r>
      <w:r w:rsidR="00C447BD" w:rsidRPr="009326D3">
        <w:rPr>
          <w:rFonts w:ascii="Times New Roman" w:hAnsi="Times New Roman" w:cs="Times New Roman"/>
          <w:noProof/>
          <w:sz w:val="24"/>
          <w:szCs w:val="24"/>
          <w:lang w:val="en-US"/>
        </w:rPr>
        <w:t xml:space="preserve">s including instructions, </w:t>
      </w:r>
      <w:r w:rsidRPr="009326D3">
        <w:rPr>
          <w:rFonts w:ascii="Times New Roman" w:hAnsi="Times New Roman" w:cs="Times New Roman"/>
          <w:noProof/>
          <w:sz w:val="24"/>
          <w:szCs w:val="24"/>
          <w:lang w:val="en-US"/>
        </w:rPr>
        <w:t>regulation</w:t>
      </w:r>
      <w:r w:rsidR="00C447BD" w:rsidRPr="009326D3">
        <w:rPr>
          <w:rFonts w:ascii="Times New Roman" w:hAnsi="Times New Roman" w:cs="Times New Roman"/>
          <w:noProof/>
          <w:sz w:val="24"/>
          <w:szCs w:val="24"/>
          <w:lang w:val="en-US"/>
        </w:rPr>
        <w:t xml:space="preserve">s and rule books </w:t>
      </w:r>
      <w:r w:rsidRPr="009326D3">
        <w:rPr>
          <w:rFonts w:ascii="Times New Roman" w:hAnsi="Times New Roman" w:cs="Times New Roman"/>
          <w:noProof/>
          <w:sz w:val="24"/>
          <w:szCs w:val="24"/>
          <w:lang w:val="en-US"/>
        </w:rPr>
        <w:t>on accounting</w:t>
      </w:r>
      <w:r w:rsidR="00C447BD" w:rsidRPr="009326D3">
        <w:rPr>
          <w:rFonts w:ascii="Times New Roman" w:hAnsi="Times New Roman" w:cs="Times New Roman"/>
          <w:noProof/>
          <w:sz w:val="24"/>
          <w:szCs w:val="24"/>
          <w:lang w:val="en-US"/>
        </w:rPr>
        <w:t>.</w:t>
      </w:r>
      <w:r w:rsidR="008912DF" w:rsidRPr="009326D3">
        <w:rPr>
          <w:rFonts w:ascii="Times New Roman" w:hAnsi="Times New Roman" w:cs="Times New Roman"/>
          <w:noProof/>
          <w:sz w:val="24"/>
          <w:szCs w:val="24"/>
          <w:lang w:val="en-US"/>
        </w:rPr>
        <w:t xml:space="preserve">  Two additional countries, Belarus and Moldova</w:t>
      </w:r>
      <w:r w:rsidR="001A7353">
        <w:rPr>
          <w:rFonts w:ascii="Times New Roman" w:hAnsi="Times New Roman" w:cs="Times New Roman"/>
          <w:noProof/>
          <w:sz w:val="24"/>
          <w:szCs w:val="24"/>
          <w:lang w:val="en-US"/>
        </w:rPr>
        <w:t>,</w:t>
      </w:r>
      <w:r w:rsidR="008912DF" w:rsidRPr="009326D3">
        <w:rPr>
          <w:rFonts w:ascii="Times New Roman" w:hAnsi="Times New Roman" w:cs="Times New Roman"/>
          <w:noProof/>
          <w:sz w:val="24"/>
          <w:szCs w:val="24"/>
          <w:lang w:val="en-US"/>
        </w:rPr>
        <w:t xml:space="preserve"> responded yes to question 20 but no to recognition of the receipts of goods and service</w:t>
      </w:r>
      <w:r w:rsidR="001A7353">
        <w:rPr>
          <w:rFonts w:ascii="Times New Roman" w:hAnsi="Times New Roman" w:cs="Times New Roman"/>
          <w:noProof/>
          <w:sz w:val="24"/>
          <w:szCs w:val="24"/>
          <w:lang w:val="en-US"/>
        </w:rPr>
        <w:t>s, and</w:t>
      </w:r>
      <w:r w:rsidR="008912DF" w:rsidRPr="009326D3">
        <w:rPr>
          <w:rFonts w:ascii="Times New Roman" w:hAnsi="Times New Roman" w:cs="Times New Roman"/>
          <w:noProof/>
          <w:sz w:val="24"/>
          <w:szCs w:val="24"/>
          <w:lang w:val="en-US"/>
        </w:rPr>
        <w:t xml:space="preserve"> supplier invoices in Stage 3 and 4 of the questionnaire. The</w:t>
      </w:r>
      <w:r w:rsidR="001A7353">
        <w:rPr>
          <w:rFonts w:ascii="Times New Roman" w:hAnsi="Times New Roman" w:cs="Times New Roman"/>
          <w:noProof/>
          <w:sz w:val="24"/>
          <w:szCs w:val="24"/>
          <w:lang w:val="en-US"/>
        </w:rPr>
        <w:t>ir</w:t>
      </w:r>
      <w:r w:rsidR="008912DF" w:rsidRPr="009326D3">
        <w:rPr>
          <w:rFonts w:ascii="Times New Roman" w:hAnsi="Times New Roman" w:cs="Times New Roman"/>
          <w:noProof/>
          <w:sz w:val="24"/>
          <w:szCs w:val="24"/>
          <w:lang w:val="en-US"/>
        </w:rPr>
        <w:t xml:space="preserve"> positive response </w:t>
      </w:r>
      <w:r w:rsidR="001A7353">
        <w:rPr>
          <w:rFonts w:ascii="Times New Roman" w:hAnsi="Times New Roman" w:cs="Times New Roman"/>
          <w:noProof/>
          <w:sz w:val="24"/>
          <w:szCs w:val="24"/>
          <w:lang w:val="en-US"/>
        </w:rPr>
        <w:t xml:space="preserve">to this question </w:t>
      </w:r>
      <w:r w:rsidR="008912DF" w:rsidRPr="009326D3">
        <w:rPr>
          <w:rFonts w:ascii="Times New Roman" w:hAnsi="Times New Roman" w:cs="Times New Roman"/>
          <w:noProof/>
          <w:sz w:val="24"/>
          <w:szCs w:val="24"/>
          <w:lang w:val="en-US"/>
        </w:rPr>
        <w:t xml:space="preserve">appears at odds with these earlier responses. </w:t>
      </w:r>
    </w:p>
    <w:p w14:paraId="67190EA7" w14:textId="5D715343" w:rsidR="00E955BD" w:rsidRPr="009326D3" w:rsidRDefault="00E955BD" w:rsidP="00E955BD">
      <w:pPr>
        <w:pStyle w:val="ListParagraph"/>
        <w:spacing w:after="0" w:line="240" w:lineRule="auto"/>
        <w:ind w:left="1440"/>
        <w:rPr>
          <w:rFonts w:ascii="Times New Roman" w:hAnsi="Times New Roman" w:cs="Times New Roman"/>
          <w:noProof/>
          <w:sz w:val="24"/>
          <w:szCs w:val="24"/>
          <w:lang w:val="en-US"/>
        </w:rPr>
      </w:pPr>
    </w:p>
    <w:p w14:paraId="421B495F" w14:textId="2DDEDB49" w:rsidR="00E955BD" w:rsidRPr="009326D3" w:rsidRDefault="001B4892" w:rsidP="003A4910">
      <w:pPr>
        <w:pStyle w:val="ListParagraph"/>
        <w:spacing w:after="0" w:line="240" w:lineRule="auto"/>
        <w:ind w:left="0"/>
        <w:jc w:val="both"/>
        <w:rPr>
          <w:rFonts w:ascii="Times New Roman" w:hAnsi="Times New Roman" w:cs="Times New Roman"/>
          <w:i/>
          <w:noProof/>
          <w:color w:val="4F81BD" w:themeColor="accent1"/>
          <w:sz w:val="24"/>
          <w:szCs w:val="24"/>
          <w:lang w:val="en-US"/>
        </w:rPr>
      </w:pPr>
      <w:r w:rsidRPr="009326D3">
        <w:rPr>
          <w:rFonts w:ascii="Times New Roman" w:hAnsi="Times New Roman" w:cs="Times New Roman"/>
          <w:i/>
          <w:noProof/>
          <w:color w:val="4F81BD" w:themeColor="accent1"/>
          <w:sz w:val="24"/>
          <w:szCs w:val="24"/>
          <w:lang w:val="en-US"/>
        </w:rPr>
        <w:t>Figure 9</w:t>
      </w:r>
      <w:r w:rsidR="003A4910" w:rsidRPr="009326D3">
        <w:rPr>
          <w:rFonts w:ascii="Times New Roman" w:hAnsi="Times New Roman" w:cs="Times New Roman"/>
          <w:i/>
          <w:noProof/>
          <w:color w:val="4F81BD" w:themeColor="accent1"/>
          <w:sz w:val="24"/>
          <w:szCs w:val="24"/>
          <w:lang w:val="en-US"/>
        </w:rPr>
        <w:t xml:space="preserve"> – Recognition of Accounts Payable</w:t>
      </w:r>
    </w:p>
    <w:p w14:paraId="3AD102EE" w14:textId="77777777" w:rsidR="00E955BD" w:rsidRPr="009326D3" w:rsidRDefault="00E955BD">
      <w:pPr>
        <w:spacing w:after="0" w:line="240" w:lineRule="auto"/>
        <w:rPr>
          <w:rFonts w:ascii="Times New Roman" w:hAnsi="Times New Roman" w:cs="Times New Roman"/>
          <w:sz w:val="24"/>
          <w:szCs w:val="24"/>
        </w:rPr>
      </w:pPr>
    </w:p>
    <w:p w14:paraId="41A7C15F" w14:textId="142BB8E9" w:rsidR="00D63DFD" w:rsidRDefault="00E955BD">
      <w:pPr>
        <w:spacing w:after="0" w:line="240" w:lineRule="auto"/>
        <w:rPr>
          <w:highlight w:val="green"/>
        </w:rPr>
      </w:pPr>
      <w:r>
        <w:rPr>
          <w:noProof/>
          <w:lang w:val="en-US"/>
        </w:rPr>
        <w:drawing>
          <wp:inline distT="0" distB="0" distL="0" distR="0" wp14:anchorId="6C618614" wp14:editId="418D1FCC">
            <wp:extent cx="4572000" cy="2743200"/>
            <wp:effectExtent l="0" t="0" r="25400" b="254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BB222B7" w14:textId="77777777" w:rsidR="00D63DFD" w:rsidRDefault="00D63DFD">
      <w:pPr>
        <w:spacing w:after="0" w:line="240" w:lineRule="auto"/>
        <w:rPr>
          <w:highlight w:val="green"/>
        </w:rPr>
      </w:pPr>
    </w:p>
    <w:p w14:paraId="6A712097" w14:textId="77777777" w:rsidR="00E955BD" w:rsidRPr="000A342A" w:rsidRDefault="00E955BD" w:rsidP="00E955BD">
      <w:pPr>
        <w:pStyle w:val="ListParagraph"/>
        <w:ind w:left="360"/>
        <w:rPr>
          <w:noProof/>
          <w:lang w:val="en-US"/>
        </w:rPr>
      </w:pPr>
    </w:p>
    <w:p w14:paraId="5C95072A" w14:textId="6895506C" w:rsidR="008912DF" w:rsidRPr="009326D3" w:rsidRDefault="001B4892" w:rsidP="008912DF">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Q22</w:t>
      </w:r>
      <w:r w:rsidR="008912DF" w:rsidRPr="009326D3">
        <w:rPr>
          <w:rFonts w:ascii="Times New Roman" w:hAnsi="Times New Roman" w:cs="Times New Roman"/>
          <w:b/>
          <w:i/>
          <w:noProof/>
          <w:sz w:val="24"/>
          <w:szCs w:val="24"/>
          <w:lang w:val="en-US"/>
        </w:rPr>
        <w:t xml:space="preserve">.  </w:t>
      </w:r>
      <w:r w:rsidR="00E955BD" w:rsidRPr="009326D3">
        <w:rPr>
          <w:rFonts w:ascii="Times New Roman" w:hAnsi="Times New Roman" w:cs="Times New Roman"/>
          <w:b/>
          <w:i/>
          <w:noProof/>
          <w:sz w:val="24"/>
          <w:szCs w:val="24"/>
          <w:lang w:val="en-US"/>
        </w:rPr>
        <w:t xml:space="preserve">Does this definition closely align with the defintion reflected in </w:t>
      </w:r>
      <w:r w:rsidR="00C447BD" w:rsidRPr="009326D3">
        <w:rPr>
          <w:rFonts w:ascii="Times New Roman" w:hAnsi="Times New Roman" w:cs="Times New Roman"/>
          <w:b/>
          <w:i/>
          <w:noProof/>
          <w:sz w:val="24"/>
          <w:szCs w:val="24"/>
          <w:lang w:val="en-US"/>
        </w:rPr>
        <w:t>the questionnaire?</w:t>
      </w:r>
      <w:r w:rsidR="008912DF" w:rsidRPr="009326D3">
        <w:rPr>
          <w:rFonts w:ascii="Times New Roman" w:hAnsi="Times New Roman" w:cs="Times New Roman"/>
          <w:b/>
          <w:i/>
          <w:noProof/>
          <w:sz w:val="24"/>
          <w:szCs w:val="24"/>
          <w:lang w:val="en-US"/>
        </w:rPr>
        <w:t>\</w:t>
      </w:r>
    </w:p>
    <w:p w14:paraId="649BE336" w14:textId="521787B4" w:rsidR="00E955BD" w:rsidRPr="009326D3" w:rsidRDefault="001B4892" w:rsidP="008912DF">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Q23</w:t>
      </w:r>
      <w:r w:rsidR="008912DF" w:rsidRPr="009326D3">
        <w:rPr>
          <w:rFonts w:ascii="Times New Roman" w:hAnsi="Times New Roman" w:cs="Times New Roman"/>
          <w:b/>
          <w:i/>
          <w:noProof/>
          <w:sz w:val="24"/>
          <w:szCs w:val="24"/>
          <w:lang w:val="en-US"/>
        </w:rPr>
        <w:t xml:space="preserve">.  </w:t>
      </w:r>
      <w:r w:rsidR="00E955BD" w:rsidRPr="009326D3">
        <w:rPr>
          <w:rFonts w:ascii="Times New Roman" w:hAnsi="Times New Roman" w:cs="Times New Roman"/>
          <w:b/>
          <w:i/>
          <w:noProof/>
          <w:sz w:val="24"/>
          <w:szCs w:val="24"/>
          <w:lang w:val="en-US"/>
        </w:rPr>
        <w:t xml:space="preserve">If no, what are the key differences in your country’s definition?  </w:t>
      </w:r>
    </w:p>
    <w:p w14:paraId="4B686CBA" w14:textId="77777777" w:rsidR="00E955BD" w:rsidRPr="009326D3" w:rsidRDefault="00E955BD" w:rsidP="00E955BD">
      <w:pPr>
        <w:rPr>
          <w:rFonts w:ascii="Times New Roman" w:hAnsi="Times New Roman" w:cs="Times New Roman"/>
          <w:i/>
          <w:noProof/>
          <w:sz w:val="24"/>
          <w:szCs w:val="24"/>
          <w:lang w:val="en-US"/>
        </w:rPr>
      </w:pPr>
    </w:p>
    <w:p w14:paraId="42FA52BF" w14:textId="4114415E" w:rsidR="00C447BD" w:rsidRPr="009326D3" w:rsidRDefault="00C447BD" w:rsidP="00E955BD">
      <w:pPr>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Seven countries indicated that the definitions are closely aligned</w:t>
      </w:r>
      <w:r w:rsidR="008912DF" w:rsidRPr="009326D3">
        <w:rPr>
          <w:rFonts w:ascii="Times New Roman" w:hAnsi="Times New Roman" w:cs="Times New Roman"/>
          <w:noProof/>
          <w:sz w:val="24"/>
          <w:szCs w:val="24"/>
          <w:lang w:val="en-US"/>
        </w:rPr>
        <w:t xml:space="preserve">. </w:t>
      </w:r>
      <w:r w:rsidRPr="009326D3">
        <w:rPr>
          <w:rFonts w:ascii="Times New Roman" w:hAnsi="Times New Roman" w:cs="Times New Roman"/>
          <w:noProof/>
          <w:sz w:val="24"/>
          <w:szCs w:val="24"/>
          <w:lang w:val="en-US"/>
        </w:rPr>
        <w:t xml:space="preserve"> </w:t>
      </w:r>
      <w:r w:rsidR="008912DF" w:rsidRPr="009326D3">
        <w:rPr>
          <w:rFonts w:ascii="Times New Roman" w:hAnsi="Times New Roman" w:cs="Times New Roman"/>
          <w:noProof/>
          <w:sz w:val="24"/>
          <w:szCs w:val="24"/>
          <w:lang w:val="en-US"/>
        </w:rPr>
        <w:t>O</w:t>
      </w:r>
      <w:r w:rsidRPr="009326D3">
        <w:rPr>
          <w:rFonts w:ascii="Times New Roman" w:hAnsi="Times New Roman" w:cs="Times New Roman"/>
          <w:noProof/>
          <w:sz w:val="24"/>
          <w:szCs w:val="24"/>
          <w:lang w:val="en-US"/>
        </w:rPr>
        <w:t>ne country</w:t>
      </w:r>
      <w:r w:rsidR="00904B6B">
        <w:rPr>
          <w:rFonts w:ascii="Times New Roman" w:hAnsi="Times New Roman" w:cs="Times New Roman"/>
          <w:noProof/>
          <w:sz w:val="24"/>
          <w:szCs w:val="24"/>
          <w:lang w:val="en-US"/>
        </w:rPr>
        <w:t>,</w:t>
      </w:r>
      <w:r w:rsidRPr="009326D3">
        <w:rPr>
          <w:rFonts w:ascii="Times New Roman" w:hAnsi="Times New Roman" w:cs="Times New Roman"/>
          <w:noProof/>
          <w:sz w:val="24"/>
          <w:szCs w:val="24"/>
          <w:lang w:val="en-US"/>
        </w:rPr>
        <w:t xml:space="preserve"> Belarus, indicat</w:t>
      </w:r>
      <w:r w:rsidR="00904B6B">
        <w:rPr>
          <w:rFonts w:ascii="Times New Roman" w:hAnsi="Times New Roman" w:cs="Times New Roman"/>
          <w:noProof/>
          <w:sz w:val="24"/>
          <w:szCs w:val="24"/>
          <w:lang w:val="en-US"/>
        </w:rPr>
        <w:t>ed</w:t>
      </w:r>
      <w:r w:rsidRPr="009326D3">
        <w:rPr>
          <w:rFonts w:ascii="Times New Roman" w:hAnsi="Times New Roman" w:cs="Times New Roman"/>
          <w:noProof/>
          <w:sz w:val="24"/>
          <w:szCs w:val="24"/>
          <w:lang w:val="en-US"/>
        </w:rPr>
        <w:t xml:space="preserve"> that accounts payable is only recognised in </w:t>
      </w:r>
      <w:r w:rsidR="0090758C">
        <w:rPr>
          <w:rFonts w:ascii="Times New Roman" w:hAnsi="Times New Roman" w:cs="Times New Roman"/>
          <w:noProof/>
          <w:sz w:val="24"/>
          <w:szCs w:val="24"/>
          <w:lang w:val="en-US"/>
        </w:rPr>
        <w:t>the Treasury once information is provided from budget managers (presumably, this would be the payment request accompanied by an invoice)</w:t>
      </w:r>
      <w:r w:rsidR="0090758C" w:rsidRPr="009326D3">
        <w:rPr>
          <w:rFonts w:ascii="Times New Roman" w:hAnsi="Times New Roman" w:cs="Times New Roman"/>
          <w:noProof/>
          <w:sz w:val="24"/>
          <w:szCs w:val="24"/>
          <w:lang w:val="en-US"/>
        </w:rPr>
        <w:t xml:space="preserve">. </w:t>
      </w:r>
      <w:r w:rsidR="001A7353">
        <w:rPr>
          <w:rFonts w:ascii="Times New Roman" w:hAnsi="Times New Roman" w:cs="Times New Roman"/>
          <w:noProof/>
          <w:sz w:val="24"/>
          <w:szCs w:val="24"/>
          <w:lang w:val="en-US"/>
        </w:rPr>
        <w:t>Macedonia did not respond to</w:t>
      </w:r>
      <w:r w:rsidR="008912DF" w:rsidRPr="009326D3">
        <w:rPr>
          <w:rFonts w:ascii="Times New Roman" w:hAnsi="Times New Roman" w:cs="Times New Roman"/>
          <w:noProof/>
          <w:sz w:val="24"/>
          <w:szCs w:val="24"/>
          <w:lang w:val="en-US"/>
        </w:rPr>
        <w:t xml:space="preserve"> questions 24 and 25. </w:t>
      </w:r>
    </w:p>
    <w:p w14:paraId="001FFACF" w14:textId="715BE890" w:rsidR="00E955BD" w:rsidRPr="009326D3" w:rsidRDefault="001B4892" w:rsidP="008912DF">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Q24</w:t>
      </w:r>
      <w:r w:rsidR="008912DF" w:rsidRPr="009326D3">
        <w:rPr>
          <w:rFonts w:ascii="Times New Roman" w:hAnsi="Times New Roman" w:cs="Times New Roman"/>
          <w:b/>
          <w:i/>
          <w:noProof/>
          <w:sz w:val="24"/>
          <w:szCs w:val="24"/>
          <w:lang w:val="en-US"/>
        </w:rPr>
        <w:t xml:space="preserve"> When is a</w:t>
      </w:r>
      <w:r w:rsidR="00E955BD" w:rsidRPr="009326D3">
        <w:rPr>
          <w:rFonts w:ascii="Times New Roman" w:hAnsi="Times New Roman" w:cs="Times New Roman"/>
          <w:b/>
          <w:i/>
          <w:noProof/>
          <w:sz w:val="24"/>
          <w:szCs w:val="24"/>
          <w:lang w:val="en-US"/>
        </w:rPr>
        <w:t>n accounts payable recognised</w:t>
      </w:r>
      <w:r w:rsidR="008912DF" w:rsidRPr="009326D3">
        <w:rPr>
          <w:rFonts w:ascii="Times New Roman" w:hAnsi="Times New Roman" w:cs="Times New Roman"/>
          <w:b/>
          <w:i/>
          <w:noProof/>
          <w:sz w:val="24"/>
          <w:szCs w:val="24"/>
          <w:lang w:val="en-US"/>
        </w:rPr>
        <w:t>?</w:t>
      </w:r>
    </w:p>
    <w:p w14:paraId="5ED3E74C" w14:textId="77777777" w:rsidR="008912DF" w:rsidRPr="009326D3" w:rsidRDefault="008912DF" w:rsidP="008912DF">
      <w:pPr>
        <w:spacing w:after="0" w:line="240" w:lineRule="auto"/>
        <w:rPr>
          <w:rFonts w:ascii="Times New Roman" w:hAnsi="Times New Roman" w:cs="Times New Roman"/>
          <w:b/>
          <w:i/>
          <w:noProof/>
          <w:sz w:val="24"/>
          <w:szCs w:val="24"/>
          <w:lang w:val="en-US"/>
        </w:rPr>
      </w:pPr>
    </w:p>
    <w:p w14:paraId="5314D56F" w14:textId="411C78AF" w:rsidR="00873292" w:rsidRPr="009326D3" w:rsidRDefault="00873292" w:rsidP="008912DF">
      <w:pPr>
        <w:spacing w:after="0" w:line="240" w:lineRule="auto"/>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The questionnaire provided five options to respondent countries regarding recognition of an accounts payable</w:t>
      </w:r>
      <w:r w:rsidR="00AB15A2">
        <w:rPr>
          <w:rFonts w:ascii="Times New Roman" w:hAnsi="Times New Roman" w:cs="Times New Roman"/>
          <w:noProof/>
          <w:sz w:val="24"/>
          <w:szCs w:val="24"/>
          <w:lang w:val="en-US"/>
        </w:rPr>
        <w:t xml:space="preserve"> (Figure 10) </w:t>
      </w:r>
      <w:r w:rsidRPr="009326D3">
        <w:rPr>
          <w:rFonts w:ascii="Times New Roman" w:hAnsi="Times New Roman" w:cs="Times New Roman"/>
          <w:noProof/>
          <w:sz w:val="24"/>
          <w:szCs w:val="24"/>
          <w:lang w:val="en-US"/>
        </w:rPr>
        <w:t>. This question provided a useful check on earlier responses regarding Stages 3</w:t>
      </w:r>
      <w:r w:rsidR="001A7353">
        <w:rPr>
          <w:rFonts w:ascii="Times New Roman" w:hAnsi="Times New Roman" w:cs="Times New Roman"/>
          <w:noProof/>
          <w:sz w:val="24"/>
          <w:szCs w:val="24"/>
          <w:lang w:val="en-US"/>
        </w:rPr>
        <w:t xml:space="preserve"> </w:t>
      </w:r>
      <w:r w:rsidRPr="009326D3">
        <w:rPr>
          <w:rFonts w:ascii="Times New Roman" w:hAnsi="Times New Roman" w:cs="Times New Roman"/>
          <w:noProof/>
          <w:sz w:val="24"/>
          <w:szCs w:val="24"/>
          <w:lang w:val="en-US"/>
        </w:rPr>
        <w:t xml:space="preserve">and 4 of the process. Two countries recognise an accounts payable when goods and services are received, which is the usual definition internationally. In government it is also common to require a correctly rendered invoice along with </w:t>
      </w:r>
      <w:r w:rsidR="00AB15A2">
        <w:rPr>
          <w:rFonts w:ascii="Times New Roman" w:hAnsi="Times New Roman" w:cs="Times New Roman"/>
          <w:noProof/>
          <w:sz w:val="24"/>
          <w:szCs w:val="24"/>
          <w:lang w:val="en-US"/>
        </w:rPr>
        <w:t xml:space="preserve">the </w:t>
      </w:r>
      <w:r w:rsidRPr="009326D3">
        <w:rPr>
          <w:rFonts w:ascii="Times New Roman" w:hAnsi="Times New Roman" w:cs="Times New Roman"/>
          <w:noProof/>
          <w:sz w:val="24"/>
          <w:szCs w:val="24"/>
          <w:lang w:val="en-US"/>
        </w:rPr>
        <w:t>receipt of goods and services</w:t>
      </w:r>
      <w:r w:rsidR="00AB15A2">
        <w:rPr>
          <w:rFonts w:ascii="Times New Roman" w:hAnsi="Times New Roman" w:cs="Times New Roman"/>
          <w:noProof/>
          <w:sz w:val="24"/>
          <w:szCs w:val="24"/>
          <w:lang w:val="en-US"/>
        </w:rPr>
        <w:t>,</w:t>
      </w:r>
      <w:r w:rsidRPr="009326D3">
        <w:rPr>
          <w:rFonts w:ascii="Times New Roman" w:hAnsi="Times New Roman" w:cs="Times New Roman"/>
          <w:noProof/>
          <w:sz w:val="24"/>
          <w:szCs w:val="24"/>
          <w:lang w:val="en-US"/>
        </w:rPr>
        <w:t xml:space="preserve"> and three further countries indicated that both were required for recognition of an accounts payable.  Of the remaining three countries, K</w:t>
      </w:r>
      <w:r w:rsidR="009B51FD">
        <w:rPr>
          <w:rFonts w:ascii="Times New Roman" w:hAnsi="Times New Roman" w:cs="Times New Roman"/>
          <w:noProof/>
          <w:sz w:val="24"/>
          <w:szCs w:val="24"/>
          <w:lang w:val="en-US"/>
        </w:rPr>
        <w:t>r</w:t>
      </w:r>
      <w:r w:rsidRPr="009326D3">
        <w:rPr>
          <w:rFonts w:ascii="Times New Roman" w:hAnsi="Times New Roman" w:cs="Times New Roman"/>
          <w:noProof/>
          <w:sz w:val="24"/>
          <w:szCs w:val="24"/>
          <w:lang w:val="en-US"/>
        </w:rPr>
        <w:t>ygyz Republic indicated that only the invoice was required for recognition, Albania that it was recognised only when the payment request was received from an MDA, and in Kazakhstan, only when payment was made to a supplier. In all three cases, this is inconsistent with international practice and the definition provided in the questionnaire. However, in question 23 all three countries indicated that the definit</w:t>
      </w:r>
      <w:r w:rsidR="00AB15A2">
        <w:rPr>
          <w:rFonts w:ascii="Times New Roman" w:hAnsi="Times New Roman" w:cs="Times New Roman"/>
          <w:noProof/>
          <w:sz w:val="24"/>
          <w:szCs w:val="24"/>
          <w:lang w:val="en-US"/>
        </w:rPr>
        <w:t xml:space="preserve">ion </w:t>
      </w:r>
      <w:r w:rsidR="00A67361">
        <w:rPr>
          <w:rFonts w:ascii="Times New Roman" w:hAnsi="Times New Roman" w:cs="Times New Roman"/>
          <w:noProof/>
          <w:sz w:val="24"/>
          <w:szCs w:val="24"/>
          <w:lang w:val="en-US"/>
        </w:rPr>
        <w:t xml:space="preserve">of accounts payable </w:t>
      </w:r>
      <w:r w:rsidR="00AB15A2">
        <w:rPr>
          <w:rFonts w:ascii="Times New Roman" w:hAnsi="Times New Roman" w:cs="Times New Roman"/>
          <w:noProof/>
          <w:sz w:val="24"/>
          <w:szCs w:val="24"/>
          <w:lang w:val="en-US"/>
        </w:rPr>
        <w:t>was similar to the one appl</w:t>
      </w:r>
      <w:r w:rsidRPr="009326D3">
        <w:rPr>
          <w:rFonts w:ascii="Times New Roman" w:hAnsi="Times New Roman" w:cs="Times New Roman"/>
          <w:noProof/>
          <w:sz w:val="24"/>
          <w:szCs w:val="24"/>
          <w:lang w:val="en-US"/>
        </w:rPr>
        <w:t xml:space="preserve">ying in their country.  </w:t>
      </w:r>
    </w:p>
    <w:p w14:paraId="2638F544" w14:textId="614CD6CB" w:rsidR="00873292" w:rsidRPr="009326D3" w:rsidRDefault="00873292" w:rsidP="008912DF">
      <w:pPr>
        <w:spacing w:after="0" w:line="240" w:lineRule="auto"/>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 xml:space="preserve">  </w:t>
      </w:r>
    </w:p>
    <w:p w14:paraId="731DA467" w14:textId="0BF70741" w:rsidR="003A4910" w:rsidRPr="009326D3" w:rsidRDefault="003A4910" w:rsidP="008912DF">
      <w:pPr>
        <w:spacing w:after="0" w:line="240" w:lineRule="auto"/>
        <w:rPr>
          <w:rFonts w:ascii="Times New Roman" w:hAnsi="Times New Roman" w:cs="Times New Roman"/>
          <w:i/>
          <w:noProof/>
          <w:color w:val="4F81BD" w:themeColor="accent1"/>
          <w:sz w:val="24"/>
          <w:szCs w:val="24"/>
          <w:lang w:val="en-US"/>
        </w:rPr>
      </w:pPr>
      <w:r w:rsidRPr="009326D3">
        <w:rPr>
          <w:rFonts w:ascii="Times New Roman" w:hAnsi="Times New Roman" w:cs="Times New Roman"/>
          <w:i/>
          <w:noProof/>
          <w:color w:val="4F81BD" w:themeColor="accent1"/>
          <w:sz w:val="24"/>
          <w:szCs w:val="24"/>
          <w:lang w:val="en-US"/>
        </w:rPr>
        <w:lastRenderedPageBreak/>
        <w:t xml:space="preserve">Figure </w:t>
      </w:r>
      <w:r w:rsidR="001B4892" w:rsidRPr="009326D3">
        <w:rPr>
          <w:rFonts w:ascii="Times New Roman" w:hAnsi="Times New Roman" w:cs="Times New Roman"/>
          <w:i/>
          <w:noProof/>
          <w:color w:val="4F81BD" w:themeColor="accent1"/>
          <w:sz w:val="24"/>
          <w:szCs w:val="24"/>
          <w:lang w:val="en-US"/>
        </w:rPr>
        <w:t>10</w:t>
      </w:r>
      <w:r w:rsidRPr="009326D3">
        <w:rPr>
          <w:rFonts w:ascii="Times New Roman" w:hAnsi="Times New Roman" w:cs="Times New Roman"/>
          <w:i/>
          <w:noProof/>
          <w:color w:val="4F81BD" w:themeColor="accent1"/>
          <w:sz w:val="24"/>
          <w:szCs w:val="24"/>
          <w:lang w:val="en-US"/>
        </w:rPr>
        <w:t xml:space="preserve"> – When is an Accounts Payable Recognised?</w:t>
      </w:r>
    </w:p>
    <w:p w14:paraId="4565DF4D" w14:textId="77777777" w:rsidR="003A4910" w:rsidRPr="00873292" w:rsidRDefault="003A4910" w:rsidP="008912DF">
      <w:pPr>
        <w:spacing w:after="0" w:line="240" w:lineRule="auto"/>
        <w:rPr>
          <w:noProof/>
          <w:lang w:val="en-US"/>
        </w:rPr>
      </w:pPr>
    </w:p>
    <w:p w14:paraId="025D2FF2" w14:textId="60E2BB8D" w:rsidR="008912DF" w:rsidRDefault="00AB15A2" w:rsidP="008912DF">
      <w:pPr>
        <w:spacing w:after="0" w:line="240" w:lineRule="auto"/>
        <w:rPr>
          <w:b/>
          <w:i/>
          <w:noProof/>
          <w:lang w:val="en-US"/>
        </w:rPr>
      </w:pPr>
      <w:r>
        <w:rPr>
          <w:noProof/>
          <w:lang w:val="en-US"/>
        </w:rPr>
        <w:drawing>
          <wp:inline distT="0" distB="0" distL="0" distR="0" wp14:anchorId="7541FD9D" wp14:editId="40B5A74A">
            <wp:extent cx="4460240" cy="2400300"/>
            <wp:effectExtent l="0" t="0" r="3556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37B573" w14:textId="77777777" w:rsidR="00873292" w:rsidRDefault="00873292" w:rsidP="008912DF">
      <w:pPr>
        <w:spacing w:after="0" w:line="240" w:lineRule="auto"/>
        <w:rPr>
          <w:b/>
          <w:i/>
          <w:noProof/>
          <w:lang w:val="en-US"/>
        </w:rPr>
      </w:pPr>
    </w:p>
    <w:p w14:paraId="7B538B0B" w14:textId="4F0A3190" w:rsidR="003E3C1A" w:rsidRPr="009326D3" w:rsidRDefault="003E3C1A" w:rsidP="008912DF">
      <w:pPr>
        <w:spacing w:after="0" w:line="240" w:lineRule="auto"/>
        <w:rPr>
          <w:rFonts w:ascii="Times New Roman" w:hAnsi="Times New Roman" w:cs="Times New Roman"/>
          <w:b/>
          <w:noProof/>
          <w:color w:val="4F81BD" w:themeColor="accent1"/>
          <w:sz w:val="24"/>
          <w:szCs w:val="24"/>
          <w:lang w:val="en-US"/>
        </w:rPr>
      </w:pPr>
      <w:r w:rsidRPr="009326D3">
        <w:rPr>
          <w:rFonts w:ascii="Times New Roman" w:hAnsi="Times New Roman" w:cs="Times New Roman"/>
          <w:b/>
          <w:noProof/>
          <w:color w:val="4F81BD" w:themeColor="accent1"/>
          <w:sz w:val="24"/>
          <w:szCs w:val="24"/>
          <w:lang w:val="en-US"/>
        </w:rPr>
        <w:t>Conclusions</w:t>
      </w:r>
    </w:p>
    <w:p w14:paraId="7BA87F0D" w14:textId="77777777" w:rsidR="003E3C1A" w:rsidRPr="009326D3" w:rsidRDefault="003E3C1A" w:rsidP="008912DF">
      <w:pPr>
        <w:spacing w:after="0" w:line="240" w:lineRule="auto"/>
        <w:rPr>
          <w:rFonts w:ascii="Times New Roman" w:hAnsi="Times New Roman" w:cs="Times New Roman"/>
          <w:b/>
          <w:noProof/>
          <w:color w:val="4F81BD" w:themeColor="accent1"/>
          <w:sz w:val="24"/>
          <w:szCs w:val="24"/>
          <w:lang w:val="en-US"/>
        </w:rPr>
      </w:pPr>
    </w:p>
    <w:p w14:paraId="0A1F0239" w14:textId="05E9E86C" w:rsidR="003E3C1A" w:rsidRPr="009326D3" w:rsidRDefault="003E3C1A" w:rsidP="008912DF">
      <w:pPr>
        <w:spacing w:after="0" w:line="240" w:lineRule="auto"/>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 xml:space="preserve">One of the reasons why TCOP undertook the survey was to gauge the conceptual differences and common points in relation to key stages in the budget execution process. Five countries have provided responses which are consistent across stages 3 to 5 of the questionnaire. However the responses received from four countries have been inconsistent across these stages, suggesting that further discussions and clarification maybe useful bilaterally or in a working group.   </w:t>
      </w:r>
    </w:p>
    <w:p w14:paraId="4A603EF1" w14:textId="77777777" w:rsidR="003E3C1A" w:rsidRPr="009326D3" w:rsidRDefault="003E3C1A" w:rsidP="008912DF">
      <w:pPr>
        <w:spacing w:after="0" w:line="240" w:lineRule="auto"/>
        <w:rPr>
          <w:rFonts w:ascii="Times New Roman" w:hAnsi="Times New Roman" w:cs="Times New Roman"/>
          <w:noProof/>
          <w:sz w:val="24"/>
          <w:szCs w:val="24"/>
          <w:lang w:val="en-US"/>
        </w:rPr>
      </w:pPr>
    </w:p>
    <w:p w14:paraId="695B8508" w14:textId="0B394176" w:rsidR="003E3C1A" w:rsidRPr="009326D3" w:rsidRDefault="003E3C1A" w:rsidP="008912DF">
      <w:pPr>
        <w:spacing w:after="0" w:line="240" w:lineRule="auto"/>
        <w:rPr>
          <w:rFonts w:ascii="Times New Roman" w:hAnsi="Times New Roman" w:cs="Times New Roman"/>
          <w:b/>
          <w:noProof/>
          <w:color w:val="1F497D" w:themeColor="text2"/>
          <w:sz w:val="28"/>
          <w:szCs w:val="28"/>
          <w:lang w:val="en-US"/>
        </w:rPr>
      </w:pPr>
      <w:r w:rsidRPr="009326D3">
        <w:rPr>
          <w:rFonts w:ascii="Times New Roman" w:hAnsi="Times New Roman" w:cs="Times New Roman"/>
          <w:b/>
          <w:noProof/>
          <w:color w:val="1F497D" w:themeColor="text2"/>
          <w:sz w:val="28"/>
          <w:szCs w:val="28"/>
          <w:lang w:val="en-US"/>
        </w:rPr>
        <w:t>Stage 6 –</w:t>
      </w:r>
      <w:r w:rsidR="00DD47C2" w:rsidRPr="009326D3">
        <w:rPr>
          <w:rFonts w:ascii="Times New Roman" w:hAnsi="Times New Roman" w:cs="Times New Roman"/>
          <w:b/>
          <w:noProof/>
          <w:color w:val="1F497D" w:themeColor="text2"/>
          <w:sz w:val="28"/>
          <w:szCs w:val="28"/>
          <w:lang w:val="en-US"/>
        </w:rPr>
        <w:t xml:space="preserve">Payments (on the </w:t>
      </w:r>
      <w:r w:rsidRPr="009326D3">
        <w:rPr>
          <w:rFonts w:ascii="Times New Roman" w:hAnsi="Times New Roman" w:cs="Times New Roman"/>
          <w:b/>
          <w:noProof/>
          <w:color w:val="1F497D" w:themeColor="text2"/>
          <w:sz w:val="28"/>
          <w:szCs w:val="28"/>
          <w:lang w:val="en-US"/>
        </w:rPr>
        <w:t>Due Date</w:t>
      </w:r>
      <w:r w:rsidR="00DD47C2" w:rsidRPr="009326D3">
        <w:rPr>
          <w:rFonts w:ascii="Times New Roman" w:hAnsi="Times New Roman" w:cs="Times New Roman"/>
          <w:b/>
          <w:noProof/>
          <w:color w:val="1F497D" w:themeColor="text2"/>
          <w:sz w:val="28"/>
          <w:szCs w:val="28"/>
          <w:lang w:val="en-US"/>
        </w:rPr>
        <w:t>)</w:t>
      </w:r>
    </w:p>
    <w:p w14:paraId="0B303329" w14:textId="77777777" w:rsidR="00EA44EE" w:rsidRDefault="00EA44EE" w:rsidP="008912DF">
      <w:pPr>
        <w:spacing w:after="0" w:line="240" w:lineRule="auto"/>
        <w:rPr>
          <w:b/>
          <w:noProof/>
          <w:color w:val="1F497D" w:themeColor="text2"/>
          <w:sz w:val="24"/>
          <w:szCs w:val="24"/>
          <w:lang w:val="en-US"/>
        </w:rPr>
      </w:pPr>
    </w:p>
    <w:p w14:paraId="691636AF" w14:textId="792C8D22" w:rsidR="00EA44EE" w:rsidRPr="009326D3" w:rsidRDefault="00EA44EE" w:rsidP="00EA44EE">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 xml:space="preserve">This stage comprises six questions. </w:t>
      </w:r>
    </w:p>
    <w:p w14:paraId="551C31DC" w14:textId="77777777" w:rsidR="003E3C1A" w:rsidRPr="00AB15A2" w:rsidRDefault="003E3C1A" w:rsidP="00AB15A2">
      <w:pPr>
        <w:spacing w:after="0" w:line="240" w:lineRule="auto"/>
        <w:rPr>
          <w:rFonts w:ascii="Times New Roman" w:hAnsi="Times New Roman" w:cs="Times New Roman"/>
          <w:noProof/>
          <w:sz w:val="24"/>
          <w:szCs w:val="24"/>
          <w:lang w:val="en-US"/>
        </w:rPr>
      </w:pPr>
    </w:p>
    <w:p w14:paraId="466DF05E" w14:textId="0C613BFB" w:rsidR="003E3C1A" w:rsidRPr="009326D3" w:rsidRDefault="00DD47C2" w:rsidP="003E3C1A">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Q25</w:t>
      </w:r>
      <w:r w:rsidR="003E3C1A" w:rsidRPr="009326D3">
        <w:rPr>
          <w:rFonts w:ascii="Times New Roman" w:hAnsi="Times New Roman" w:cs="Times New Roman"/>
          <w:b/>
          <w:i/>
          <w:noProof/>
          <w:sz w:val="24"/>
          <w:szCs w:val="24"/>
          <w:lang w:val="en-US"/>
        </w:rPr>
        <w:t xml:space="preserve">. Does your country have a definition of Due Date?  </w:t>
      </w:r>
    </w:p>
    <w:p w14:paraId="02AB1F8B" w14:textId="78FFF5E7" w:rsidR="003E3C1A" w:rsidRPr="009326D3" w:rsidRDefault="00DD47C2" w:rsidP="003E3C1A">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Q26</w:t>
      </w:r>
      <w:r w:rsidR="003E3C1A" w:rsidRPr="009326D3">
        <w:rPr>
          <w:rFonts w:ascii="Times New Roman" w:hAnsi="Times New Roman" w:cs="Times New Roman"/>
          <w:b/>
          <w:i/>
          <w:noProof/>
          <w:sz w:val="24"/>
          <w:szCs w:val="24"/>
          <w:lang w:val="en-US"/>
        </w:rPr>
        <w:t>. Does this definition closely align with the defintion reflected in stage 5 above? Y/N</w:t>
      </w:r>
    </w:p>
    <w:p w14:paraId="3A3FB954" w14:textId="4DB07C5B" w:rsidR="003E3C1A" w:rsidRPr="009326D3" w:rsidRDefault="00DD47C2" w:rsidP="003711D5">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Q27</w:t>
      </w:r>
      <w:r w:rsidR="003E3C1A" w:rsidRPr="009326D3">
        <w:rPr>
          <w:rFonts w:ascii="Times New Roman" w:hAnsi="Times New Roman" w:cs="Times New Roman"/>
          <w:b/>
          <w:i/>
          <w:noProof/>
          <w:sz w:val="24"/>
          <w:szCs w:val="24"/>
          <w:lang w:val="en-US"/>
        </w:rPr>
        <w:t>. If no, what are the key differences</w:t>
      </w:r>
      <w:r w:rsidR="003711D5" w:rsidRPr="009326D3">
        <w:rPr>
          <w:rFonts w:ascii="Times New Roman" w:hAnsi="Times New Roman" w:cs="Times New Roman"/>
          <w:b/>
          <w:i/>
          <w:noProof/>
          <w:sz w:val="24"/>
          <w:szCs w:val="24"/>
          <w:lang w:val="en-US"/>
        </w:rPr>
        <w:t xml:space="preserve"> in your country’s definition? </w:t>
      </w:r>
    </w:p>
    <w:p w14:paraId="404AE8C9" w14:textId="77777777" w:rsidR="003711D5" w:rsidRPr="009326D3" w:rsidRDefault="003711D5" w:rsidP="003711D5">
      <w:pPr>
        <w:spacing w:after="0" w:line="240" w:lineRule="auto"/>
        <w:rPr>
          <w:rFonts w:ascii="Times New Roman" w:hAnsi="Times New Roman" w:cs="Times New Roman"/>
          <w:noProof/>
          <w:sz w:val="24"/>
          <w:szCs w:val="24"/>
          <w:lang w:val="en-US"/>
        </w:rPr>
      </w:pPr>
    </w:p>
    <w:p w14:paraId="69E7EEFE" w14:textId="5F8E8593" w:rsidR="00F0085C" w:rsidRPr="009326D3" w:rsidRDefault="003711D5" w:rsidP="003711D5">
      <w:pPr>
        <w:spacing w:after="0" w:line="240" w:lineRule="auto"/>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 xml:space="preserve">Figure </w:t>
      </w:r>
      <w:r w:rsidR="00DD47C2" w:rsidRPr="009326D3">
        <w:rPr>
          <w:rFonts w:ascii="Times New Roman" w:hAnsi="Times New Roman" w:cs="Times New Roman"/>
          <w:noProof/>
          <w:sz w:val="24"/>
          <w:szCs w:val="24"/>
          <w:lang w:val="en-US"/>
        </w:rPr>
        <w:t>11</w:t>
      </w:r>
      <w:r w:rsidRPr="009326D3">
        <w:rPr>
          <w:rFonts w:ascii="Times New Roman" w:hAnsi="Times New Roman" w:cs="Times New Roman"/>
          <w:noProof/>
          <w:sz w:val="24"/>
          <w:szCs w:val="24"/>
          <w:lang w:val="en-US"/>
        </w:rPr>
        <w:t xml:space="preserve"> summarises the country responses regarding the concept of due date. </w:t>
      </w:r>
      <w:r w:rsidR="00DD47C2" w:rsidRPr="009326D3">
        <w:rPr>
          <w:rFonts w:ascii="Times New Roman" w:hAnsi="Times New Roman" w:cs="Times New Roman"/>
          <w:noProof/>
          <w:sz w:val="24"/>
          <w:szCs w:val="24"/>
          <w:lang w:val="en-US"/>
        </w:rPr>
        <w:t>Twelve</w:t>
      </w:r>
      <w:r w:rsidR="003A4910" w:rsidRPr="009326D3">
        <w:rPr>
          <w:rFonts w:ascii="Times New Roman" w:hAnsi="Times New Roman" w:cs="Times New Roman"/>
          <w:noProof/>
          <w:sz w:val="24"/>
          <w:szCs w:val="24"/>
          <w:lang w:val="en-US"/>
        </w:rPr>
        <w:t xml:space="preserve"> countries responded to this question with eight indicating that the due date concept exists and four indicating that it does not exist. Of the eight positive responses</w:t>
      </w:r>
      <w:r w:rsidR="00E8372F" w:rsidRPr="009326D3">
        <w:rPr>
          <w:rFonts w:ascii="Times New Roman" w:hAnsi="Times New Roman" w:cs="Times New Roman"/>
          <w:noProof/>
          <w:sz w:val="24"/>
          <w:szCs w:val="24"/>
          <w:lang w:val="en-US"/>
        </w:rPr>
        <w:t>,</w:t>
      </w:r>
      <w:r w:rsidR="003A4910" w:rsidRPr="009326D3">
        <w:rPr>
          <w:rFonts w:ascii="Times New Roman" w:hAnsi="Times New Roman" w:cs="Times New Roman"/>
          <w:noProof/>
          <w:sz w:val="24"/>
          <w:szCs w:val="24"/>
          <w:lang w:val="en-US"/>
        </w:rPr>
        <w:t xml:space="preserve"> s</w:t>
      </w:r>
      <w:r w:rsidR="00E8372F" w:rsidRPr="009326D3">
        <w:rPr>
          <w:rFonts w:ascii="Times New Roman" w:hAnsi="Times New Roman" w:cs="Times New Roman"/>
          <w:noProof/>
          <w:sz w:val="24"/>
          <w:szCs w:val="24"/>
          <w:lang w:val="en-US"/>
        </w:rPr>
        <w:t>even</w:t>
      </w:r>
      <w:r w:rsidR="003A4910" w:rsidRPr="009326D3">
        <w:rPr>
          <w:rFonts w:ascii="Times New Roman" w:hAnsi="Times New Roman" w:cs="Times New Roman"/>
          <w:noProof/>
          <w:sz w:val="24"/>
          <w:szCs w:val="24"/>
          <w:lang w:val="en-US"/>
        </w:rPr>
        <w:t xml:space="preserve"> indicated that the concept provided in the questionnaire was similar to the concept applying in their country. </w:t>
      </w:r>
      <w:r w:rsidR="00E8372F" w:rsidRPr="009326D3">
        <w:rPr>
          <w:rFonts w:ascii="Times New Roman" w:hAnsi="Times New Roman" w:cs="Times New Roman"/>
          <w:noProof/>
          <w:sz w:val="24"/>
          <w:szCs w:val="24"/>
          <w:lang w:val="en-US"/>
        </w:rPr>
        <w:t>One of the seven responded no to the question on defin</w:t>
      </w:r>
      <w:r w:rsidR="00F0085C" w:rsidRPr="009326D3">
        <w:rPr>
          <w:rFonts w:ascii="Times New Roman" w:hAnsi="Times New Roman" w:cs="Times New Roman"/>
          <w:noProof/>
          <w:sz w:val="24"/>
          <w:szCs w:val="24"/>
          <w:lang w:val="en-US"/>
        </w:rPr>
        <w:t>i</w:t>
      </w:r>
      <w:r w:rsidR="00E8372F" w:rsidRPr="009326D3">
        <w:rPr>
          <w:rFonts w:ascii="Times New Roman" w:hAnsi="Times New Roman" w:cs="Times New Roman"/>
          <w:noProof/>
          <w:sz w:val="24"/>
          <w:szCs w:val="24"/>
          <w:lang w:val="en-US"/>
        </w:rPr>
        <w:t>tion, however, the accompanying written explanation indicated that the due dat</w:t>
      </w:r>
      <w:r w:rsidR="00F0085C" w:rsidRPr="009326D3">
        <w:rPr>
          <w:rFonts w:ascii="Times New Roman" w:hAnsi="Times New Roman" w:cs="Times New Roman"/>
          <w:noProof/>
          <w:sz w:val="24"/>
          <w:szCs w:val="24"/>
          <w:lang w:val="en-US"/>
        </w:rPr>
        <w:t>e</w:t>
      </w:r>
      <w:r w:rsidR="00E8372F" w:rsidRPr="009326D3">
        <w:rPr>
          <w:rFonts w:ascii="Times New Roman" w:hAnsi="Times New Roman" w:cs="Times New Roman"/>
          <w:noProof/>
          <w:sz w:val="24"/>
          <w:szCs w:val="24"/>
          <w:lang w:val="en-US"/>
        </w:rPr>
        <w:t xml:space="preserve"> was </w:t>
      </w:r>
      <w:r w:rsidR="00F0085C" w:rsidRPr="009326D3">
        <w:rPr>
          <w:rFonts w:ascii="Times New Roman" w:hAnsi="Times New Roman" w:cs="Times New Roman"/>
          <w:noProof/>
          <w:sz w:val="24"/>
          <w:szCs w:val="24"/>
          <w:lang w:val="en-US"/>
        </w:rPr>
        <w:t xml:space="preserve">in fact </w:t>
      </w:r>
      <w:r w:rsidR="00E8372F" w:rsidRPr="009326D3">
        <w:rPr>
          <w:rFonts w:ascii="Times New Roman" w:hAnsi="Times New Roman" w:cs="Times New Roman"/>
          <w:noProof/>
          <w:sz w:val="24"/>
          <w:szCs w:val="24"/>
          <w:lang w:val="en-US"/>
        </w:rPr>
        <w:t>60 days</w:t>
      </w:r>
      <w:r w:rsidR="00F0085C" w:rsidRPr="009326D3">
        <w:rPr>
          <w:rFonts w:ascii="Times New Roman" w:hAnsi="Times New Roman" w:cs="Times New Roman"/>
          <w:noProof/>
          <w:sz w:val="24"/>
          <w:szCs w:val="24"/>
          <w:lang w:val="en-US"/>
        </w:rPr>
        <w:t xml:space="preserve"> (as distinct from the example provided of 30 days)</w:t>
      </w:r>
      <w:r w:rsidR="00E8372F" w:rsidRPr="009326D3">
        <w:rPr>
          <w:rFonts w:ascii="Times New Roman" w:hAnsi="Times New Roman" w:cs="Times New Roman"/>
          <w:noProof/>
          <w:sz w:val="24"/>
          <w:szCs w:val="24"/>
          <w:lang w:val="en-US"/>
        </w:rPr>
        <w:t xml:space="preserve">. The definition provided did not define a specific </w:t>
      </w:r>
      <w:r w:rsidR="00AB15A2">
        <w:rPr>
          <w:rFonts w:ascii="Times New Roman" w:hAnsi="Times New Roman" w:cs="Times New Roman"/>
          <w:noProof/>
          <w:sz w:val="24"/>
          <w:szCs w:val="24"/>
          <w:lang w:val="en-US"/>
        </w:rPr>
        <w:t>timeframe, thus a due date of 60</w:t>
      </w:r>
      <w:r w:rsidR="00E8372F" w:rsidRPr="009326D3">
        <w:rPr>
          <w:rFonts w:ascii="Times New Roman" w:hAnsi="Times New Roman" w:cs="Times New Roman"/>
          <w:noProof/>
          <w:sz w:val="24"/>
          <w:szCs w:val="24"/>
          <w:lang w:val="en-US"/>
        </w:rPr>
        <w:t xml:space="preserve"> days is entirely consistent with the defintion provided</w:t>
      </w:r>
      <w:r w:rsidR="00F0085C" w:rsidRPr="009326D3">
        <w:rPr>
          <w:rFonts w:ascii="Times New Roman" w:hAnsi="Times New Roman" w:cs="Times New Roman"/>
          <w:noProof/>
          <w:sz w:val="24"/>
          <w:szCs w:val="24"/>
          <w:lang w:val="en-US"/>
        </w:rPr>
        <w:t xml:space="preserve"> and the response has been adjusted to yes</w:t>
      </w:r>
      <w:r w:rsidR="00E8372F" w:rsidRPr="009326D3">
        <w:rPr>
          <w:rFonts w:ascii="Times New Roman" w:hAnsi="Times New Roman" w:cs="Times New Roman"/>
          <w:noProof/>
          <w:sz w:val="24"/>
          <w:szCs w:val="24"/>
          <w:lang w:val="en-US"/>
        </w:rPr>
        <w:t xml:space="preserve">. </w:t>
      </w:r>
    </w:p>
    <w:p w14:paraId="041E1088" w14:textId="77777777" w:rsidR="00F0085C" w:rsidRPr="009326D3" w:rsidRDefault="00F0085C" w:rsidP="003711D5">
      <w:pPr>
        <w:spacing w:after="0" w:line="240" w:lineRule="auto"/>
        <w:rPr>
          <w:rFonts w:ascii="Times New Roman" w:hAnsi="Times New Roman" w:cs="Times New Roman"/>
          <w:noProof/>
          <w:sz w:val="24"/>
          <w:szCs w:val="24"/>
          <w:lang w:val="en-US"/>
        </w:rPr>
      </w:pPr>
    </w:p>
    <w:p w14:paraId="6D283422" w14:textId="24DF3DAD" w:rsidR="003711D5" w:rsidRPr="009326D3" w:rsidRDefault="00E8372F" w:rsidP="003711D5">
      <w:pPr>
        <w:spacing w:after="0" w:line="240" w:lineRule="auto"/>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 xml:space="preserve">Russia responded no and indicated that </w:t>
      </w:r>
      <w:r w:rsidR="00307D04" w:rsidRPr="009326D3">
        <w:rPr>
          <w:rFonts w:ascii="Times New Roman" w:hAnsi="Times New Roman" w:cs="Times New Roman"/>
          <w:noProof/>
          <w:sz w:val="24"/>
          <w:szCs w:val="24"/>
          <w:lang w:val="en-US"/>
        </w:rPr>
        <w:t>its due date i</w:t>
      </w:r>
      <w:r w:rsidRPr="009326D3">
        <w:rPr>
          <w:rFonts w:ascii="Times New Roman" w:hAnsi="Times New Roman" w:cs="Times New Roman"/>
          <w:noProof/>
          <w:sz w:val="24"/>
          <w:szCs w:val="24"/>
          <w:lang w:val="en-US"/>
        </w:rPr>
        <w:t xml:space="preserve">s defined in each </w:t>
      </w:r>
      <w:r w:rsidR="00F0085C" w:rsidRPr="009326D3">
        <w:rPr>
          <w:rFonts w:ascii="Times New Roman" w:hAnsi="Times New Roman" w:cs="Times New Roman"/>
          <w:noProof/>
          <w:sz w:val="24"/>
          <w:szCs w:val="24"/>
          <w:lang w:val="en-US"/>
        </w:rPr>
        <w:t xml:space="preserve">individual </w:t>
      </w:r>
      <w:r w:rsidRPr="009326D3">
        <w:rPr>
          <w:rFonts w:ascii="Times New Roman" w:hAnsi="Times New Roman" w:cs="Times New Roman"/>
          <w:noProof/>
          <w:sz w:val="24"/>
          <w:szCs w:val="24"/>
          <w:lang w:val="en-US"/>
        </w:rPr>
        <w:t xml:space="preserve">contract. </w:t>
      </w:r>
      <w:r w:rsidR="00F0085C" w:rsidRPr="009326D3">
        <w:rPr>
          <w:rFonts w:ascii="Times New Roman" w:hAnsi="Times New Roman" w:cs="Times New Roman"/>
          <w:noProof/>
          <w:sz w:val="24"/>
          <w:szCs w:val="24"/>
          <w:lang w:val="en-US"/>
        </w:rPr>
        <w:t xml:space="preserve">The defintion provided in the questionnaire establishing a standard </w:t>
      </w:r>
      <w:r w:rsidR="00307D04" w:rsidRPr="009326D3">
        <w:rPr>
          <w:rFonts w:ascii="Times New Roman" w:hAnsi="Times New Roman" w:cs="Times New Roman"/>
          <w:noProof/>
          <w:sz w:val="24"/>
          <w:szCs w:val="24"/>
          <w:lang w:val="en-US"/>
        </w:rPr>
        <w:t>“</w:t>
      </w:r>
      <w:r w:rsidR="00F0085C" w:rsidRPr="009326D3">
        <w:rPr>
          <w:rFonts w:ascii="Times New Roman" w:hAnsi="Times New Roman" w:cs="Times New Roman"/>
          <w:noProof/>
          <w:sz w:val="24"/>
          <w:szCs w:val="24"/>
          <w:lang w:val="en-US"/>
        </w:rPr>
        <w:t>terms of trade</w:t>
      </w:r>
      <w:r w:rsidR="00307D04" w:rsidRPr="009326D3">
        <w:rPr>
          <w:rFonts w:ascii="Times New Roman" w:hAnsi="Times New Roman" w:cs="Times New Roman"/>
          <w:noProof/>
          <w:sz w:val="24"/>
          <w:szCs w:val="24"/>
          <w:lang w:val="en-US"/>
        </w:rPr>
        <w:t>”</w:t>
      </w:r>
      <w:r w:rsidR="00F0085C" w:rsidRPr="009326D3">
        <w:rPr>
          <w:rFonts w:ascii="Times New Roman" w:hAnsi="Times New Roman" w:cs="Times New Roman"/>
          <w:noProof/>
          <w:sz w:val="24"/>
          <w:szCs w:val="24"/>
          <w:lang w:val="en-US"/>
        </w:rPr>
        <w:t xml:space="preserve"> for government. The standard terms ensures certainty for both suppliers and government. It also ensures certainty for cash outflows and therefore cashflow forecasting. </w:t>
      </w:r>
      <w:r w:rsidR="00AB15A2">
        <w:rPr>
          <w:rFonts w:ascii="Times New Roman" w:hAnsi="Times New Roman" w:cs="Times New Roman"/>
          <w:noProof/>
          <w:sz w:val="24"/>
          <w:szCs w:val="24"/>
          <w:lang w:val="en-US"/>
        </w:rPr>
        <w:t>Defining the due date in each contract</w:t>
      </w:r>
      <w:r w:rsidR="00F0085C" w:rsidRPr="009326D3">
        <w:rPr>
          <w:rFonts w:ascii="Times New Roman" w:hAnsi="Times New Roman" w:cs="Times New Roman"/>
          <w:noProof/>
          <w:sz w:val="24"/>
          <w:szCs w:val="24"/>
          <w:lang w:val="en-US"/>
        </w:rPr>
        <w:t xml:space="preserve"> </w:t>
      </w:r>
      <w:r w:rsidR="00AB15A2">
        <w:rPr>
          <w:rFonts w:ascii="Times New Roman" w:hAnsi="Times New Roman" w:cs="Times New Roman"/>
          <w:noProof/>
          <w:sz w:val="24"/>
          <w:szCs w:val="24"/>
          <w:lang w:val="en-US"/>
        </w:rPr>
        <w:t>allows</w:t>
      </w:r>
      <w:r w:rsidR="00F0085C" w:rsidRPr="009326D3">
        <w:rPr>
          <w:rFonts w:ascii="Times New Roman" w:hAnsi="Times New Roman" w:cs="Times New Roman"/>
          <w:noProof/>
          <w:sz w:val="24"/>
          <w:szCs w:val="24"/>
          <w:lang w:val="en-US"/>
        </w:rPr>
        <w:t xml:space="preserve"> </w:t>
      </w:r>
      <w:r w:rsidR="00307D04" w:rsidRPr="009326D3">
        <w:rPr>
          <w:rFonts w:ascii="Times New Roman" w:hAnsi="Times New Roman" w:cs="Times New Roman"/>
          <w:noProof/>
          <w:sz w:val="24"/>
          <w:szCs w:val="24"/>
          <w:lang w:val="en-US"/>
        </w:rPr>
        <w:t>var</w:t>
      </w:r>
      <w:r w:rsidR="00AB15A2">
        <w:rPr>
          <w:rFonts w:ascii="Times New Roman" w:hAnsi="Times New Roman" w:cs="Times New Roman"/>
          <w:noProof/>
          <w:sz w:val="24"/>
          <w:szCs w:val="24"/>
          <w:lang w:val="en-US"/>
        </w:rPr>
        <w:t>iations</w:t>
      </w:r>
      <w:r w:rsidR="00307D04" w:rsidRPr="009326D3">
        <w:rPr>
          <w:rFonts w:ascii="Times New Roman" w:hAnsi="Times New Roman" w:cs="Times New Roman"/>
          <w:noProof/>
          <w:sz w:val="24"/>
          <w:szCs w:val="24"/>
          <w:lang w:val="en-US"/>
        </w:rPr>
        <w:t xml:space="preserve"> </w:t>
      </w:r>
      <w:r w:rsidR="00AB15A2">
        <w:rPr>
          <w:rFonts w:ascii="Times New Roman" w:hAnsi="Times New Roman" w:cs="Times New Roman"/>
          <w:noProof/>
          <w:sz w:val="24"/>
          <w:szCs w:val="24"/>
          <w:lang w:val="en-US"/>
        </w:rPr>
        <w:t xml:space="preserve">to </w:t>
      </w:r>
      <w:r w:rsidR="00307D04" w:rsidRPr="009326D3">
        <w:rPr>
          <w:rFonts w:ascii="Times New Roman" w:hAnsi="Times New Roman" w:cs="Times New Roman"/>
          <w:noProof/>
          <w:sz w:val="24"/>
          <w:szCs w:val="24"/>
          <w:lang w:val="en-US"/>
        </w:rPr>
        <w:t>the sta</w:t>
      </w:r>
      <w:r w:rsidR="00F0085C" w:rsidRPr="009326D3">
        <w:rPr>
          <w:rFonts w:ascii="Times New Roman" w:hAnsi="Times New Roman" w:cs="Times New Roman"/>
          <w:noProof/>
          <w:sz w:val="24"/>
          <w:szCs w:val="24"/>
          <w:lang w:val="en-US"/>
        </w:rPr>
        <w:t>n</w:t>
      </w:r>
      <w:r w:rsidR="00307D04" w:rsidRPr="009326D3">
        <w:rPr>
          <w:rFonts w:ascii="Times New Roman" w:hAnsi="Times New Roman" w:cs="Times New Roman"/>
          <w:noProof/>
          <w:sz w:val="24"/>
          <w:szCs w:val="24"/>
          <w:lang w:val="en-US"/>
        </w:rPr>
        <w:t>d</w:t>
      </w:r>
      <w:r w:rsidR="00F0085C" w:rsidRPr="009326D3">
        <w:rPr>
          <w:rFonts w:ascii="Times New Roman" w:hAnsi="Times New Roman" w:cs="Times New Roman"/>
          <w:noProof/>
          <w:sz w:val="24"/>
          <w:szCs w:val="24"/>
          <w:lang w:val="en-US"/>
        </w:rPr>
        <w:t>ard “terms of trade”</w:t>
      </w:r>
      <w:r w:rsidR="00AB15A2">
        <w:rPr>
          <w:rFonts w:ascii="Times New Roman" w:hAnsi="Times New Roman" w:cs="Times New Roman"/>
          <w:noProof/>
          <w:sz w:val="24"/>
          <w:szCs w:val="24"/>
          <w:lang w:val="en-US"/>
        </w:rPr>
        <w:t xml:space="preserve"> to be implemented. Ideally</w:t>
      </w:r>
      <w:r w:rsidR="00F0085C" w:rsidRPr="009326D3">
        <w:rPr>
          <w:rFonts w:ascii="Times New Roman" w:hAnsi="Times New Roman" w:cs="Times New Roman"/>
          <w:noProof/>
          <w:sz w:val="24"/>
          <w:szCs w:val="24"/>
          <w:lang w:val="en-US"/>
        </w:rPr>
        <w:t xml:space="preserve"> such variations should be based around </w:t>
      </w:r>
      <w:r w:rsidR="00AB15A2">
        <w:rPr>
          <w:rFonts w:ascii="Times New Roman" w:hAnsi="Times New Roman" w:cs="Times New Roman"/>
          <w:noProof/>
          <w:sz w:val="24"/>
          <w:szCs w:val="24"/>
          <w:lang w:val="en-US"/>
        </w:rPr>
        <w:t>a policy regarding the cost</w:t>
      </w:r>
      <w:r w:rsidR="00F0085C" w:rsidRPr="009326D3">
        <w:rPr>
          <w:rFonts w:ascii="Times New Roman" w:hAnsi="Times New Roman" w:cs="Times New Roman"/>
          <w:noProof/>
          <w:sz w:val="24"/>
          <w:szCs w:val="24"/>
          <w:lang w:val="en-US"/>
        </w:rPr>
        <w:t xml:space="preserve"> to government of paying early</w:t>
      </w:r>
      <w:r w:rsidR="00AB15A2">
        <w:rPr>
          <w:rFonts w:ascii="Times New Roman" w:hAnsi="Times New Roman" w:cs="Times New Roman"/>
          <w:noProof/>
          <w:sz w:val="24"/>
          <w:szCs w:val="24"/>
          <w:lang w:val="en-US"/>
        </w:rPr>
        <w:t>,</w:t>
      </w:r>
      <w:r w:rsidR="00F0085C" w:rsidRPr="009326D3">
        <w:rPr>
          <w:rFonts w:ascii="Times New Roman" w:hAnsi="Times New Roman" w:cs="Times New Roman"/>
          <w:noProof/>
          <w:sz w:val="24"/>
          <w:szCs w:val="24"/>
          <w:lang w:val="en-US"/>
        </w:rPr>
        <w:t xml:space="preserve"> or the cost to the suppliers of paying late. </w:t>
      </w:r>
      <w:r w:rsidRPr="009326D3">
        <w:rPr>
          <w:rFonts w:ascii="Times New Roman" w:hAnsi="Times New Roman" w:cs="Times New Roman"/>
          <w:noProof/>
          <w:sz w:val="24"/>
          <w:szCs w:val="24"/>
          <w:lang w:val="en-US"/>
        </w:rPr>
        <w:t xml:space="preserve"> </w:t>
      </w:r>
      <w:r w:rsidR="00F0085C" w:rsidRPr="009326D3">
        <w:rPr>
          <w:rFonts w:ascii="Times New Roman" w:hAnsi="Times New Roman" w:cs="Times New Roman"/>
          <w:noProof/>
          <w:sz w:val="24"/>
          <w:szCs w:val="24"/>
          <w:lang w:val="en-US"/>
        </w:rPr>
        <w:t xml:space="preserve">Russia’s </w:t>
      </w:r>
      <w:r w:rsidR="00307D04" w:rsidRPr="009326D3">
        <w:rPr>
          <w:rFonts w:ascii="Times New Roman" w:hAnsi="Times New Roman" w:cs="Times New Roman"/>
          <w:noProof/>
          <w:sz w:val="24"/>
          <w:szCs w:val="24"/>
          <w:lang w:val="en-US"/>
        </w:rPr>
        <w:t>concept</w:t>
      </w:r>
      <w:r w:rsidR="00F0085C" w:rsidRPr="009326D3">
        <w:rPr>
          <w:rFonts w:ascii="Times New Roman" w:hAnsi="Times New Roman" w:cs="Times New Roman"/>
          <w:noProof/>
          <w:sz w:val="24"/>
          <w:szCs w:val="24"/>
          <w:lang w:val="en-US"/>
        </w:rPr>
        <w:t xml:space="preserve"> </w:t>
      </w:r>
      <w:r w:rsidR="00307D04" w:rsidRPr="009326D3">
        <w:rPr>
          <w:rFonts w:ascii="Times New Roman" w:hAnsi="Times New Roman" w:cs="Times New Roman"/>
          <w:noProof/>
          <w:sz w:val="24"/>
          <w:szCs w:val="24"/>
          <w:lang w:val="en-US"/>
        </w:rPr>
        <w:t xml:space="preserve">of due dates </w:t>
      </w:r>
      <w:r w:rsidR="00F0085C" w:rsidRPr="009326D3">
        <w:rPr>
          <w:rFonts w:ascii="Times New Roman" w:hAnsi="Times New Roman" w:cs="Times New Roman"/>
          <w:noProof/>
          <w:sz w:val="24"/>
          <w:szCs w:val="24"/>
          <w:lang w:val="en-US"/>
        </w:rPr>
        <w:t xml:space="preserve">is therefore different to </w:t>
      </w:r>
      <w:r w:rsidR="00307D04" w:rsidRPr="009326D3">
        <w:rPr>
          <w:rFonts w:ascii="Times New Roman" w:hAnsi="Times New Roman" w:cs="Times New Roman"/>
          <w:noProof/>
          <w:sz w:val="24"/>
          <w:szCs w:val="24"/>
          <w:lang w:val="en-US"/>
        </w:rPr>
        <w:t xml:space="preserve">the </w:t>
      </w:r>
      <w:r w:rsidR="00F0085C" w:rsidRPr="009326D3">
        <w:rPr>
          <w:rFonts w:ascii="Times New Roman" w:hAnsi="Times New Roman" w:cs="Times New Roman"/>
          <w:noProof/>
          <w:sz w:val="24"/>
          <w:szCs w:val="24"/>
          <w:lang w:val="en-US"/>
        </w:rPr>
        <w:t>defin</w:t>
      </w:r>
      <w:r w:rsidR="00307D04" w:rsidRPr="009326D3">
        <w:rPr>
          <w:rFonts w:ascii="Times New Roman" w:hAnsi="Times New Roman" w:cs="Times New Roman"/>
          <w:noProof/>
          <w:sz w:val="24"/>
          <w:szCs w:val="24"/>
          <w:lang w:val="en-US"/>
        </w:rPr>
        <w:t>i</w:t>
      </w:r>
      <w:r w:rsidR="00F0085C" w:rsidRPr="009326D3">
        <w:rPr>
          <w:rFonts w:ascii="Times New Roman" w:hAnsi="Times New Roman" w:cs="Times New Roman"/>
          <w:noProof/>
          <w:sz w:val="24"/>
          <w:szCs w:val="24"/>
          <w:lang w:val="en-US"/>
        </w:rPr>
        <w:t>tion provided in the questionnaire.</w:t>
      </w:r>
    </w:p>
    <w:p w14:paraId="3A64FD9B" w14:textId="77777777" w:rsidR="003711D5" w:rsidRPr="009326D3" w:rsidRDefault="003711D5" w:rsidP="003711D5">
      <w:pPr>
        <w:spacing w:after="0" w:line="240" w:lineRule="auto"/>
        <w:rPr>
          <w:rFonts w:ascii="Times New Roman" w:hAnsi="Times New Roman" w:cs="Times New Roman"/>
          <w:noProof/>
          <w:sz w:val="24"/>
          <w:szCs w:val="24"/>
          <w:lang w:val="en-US"/>
        </w:rPr>
      </w:pPr>
    </w:p>
    <w:p w14:paraId="14D13147" w14:textId="2496704C" w:rsidR="003711D5" w:rsidRPr="009326D3" w:rsidRDefault="003711D5" w:rsidP="003711D5">
      <w:pPr>
        <w:spacing w:after="0" w:line="240" w:lineRule="auto"/>
        <w:rPr>
          <w:rFonts w:ascii="Times New Roman" w:hAnsi="Times New Roman" w:cs="Times New Roman"/>
          <w:i/>
          <w:noProof/>
          <w:color w:val="4F81BD" w:themeColor="accent1"/>
          <w:sz w:val="24"/>
          <w:szCs w:val="24"/>
          <w:lang w:val="en-US"/>
        </w:rPr>
      </w:pPr>
      <w:r w:rsidRPr="009326D3">
        <w:rPr>
          <w:rFonts w:ascii="Times New Roman" w:hAnsi="Times New Roman" w:cs="Times New Roman"/>
          <w:i/>
          <w:noProof/>
          <w:color w:val="4F81BD" w:themeColor="accent1"/>
          <w:sz w:val="24"/>
          <w:szCs w:val="24"/>
          <w:lang w:val="en-US"/>
        </w:rPr>
        <w:t xml:space="preserve">Figure </w:t>
      </w:r>
      <w:r w:rsidR="00DD47C2" w:rsidRPr="009326D3">
        <w:rPr>
          <w:rFonts w:ascii="Times New Roman" w:hAnsi="Times New Roman" w:cs="Times New Roman"/>
          <w:i/>
          <w:noProof/>
          <w:color w:val="4F81BD" w:themeColor="accent1"/>
          <w:sz w:val="24"/>
          <w:szCs w:val="24"/>
          <w:lang w:val="en-US"/>
        </w:rPr>
        <w:t>11</w:t>
      </w:r>
      <w:r w:rsidRPr="009326D3">
        <w:rPr>
          <w:rFonts w:ascii="Times New Roman" w:hAnsi="Times New Roman" w:cs="Times New Roman"/>
          <w:i/>
          <w:noProof/>
          <w:color w:val="4F81BD" w:themeColor="accent1"/>
          <w:sz w:val="24"/>
          <w:szCs w:val="24"/>
          <w:lang w:val="en-US"/>
        </w:rPr>
        <w:t xml:space="preserve"> – Due Date</w:t>
      </w:r>
    </w:p>
    <w:p w14:paraId="184C0390" w14:textId="77777777" w:rsidR="00F0085C" w:rsidRPr="009326D3" w:rsidRDefault="00F0085C" w:rsidP="003711D5">
      <w:pPr>
        <w:spacing w:after="0" w:line="240" w:lineRule="auto"/>
        <w:rPr>
          <w:rFonts w:ascii="Times New Roman" w:hAnsi="Times New Roman" w:cs="Times New Roman"/>
          <w:i/>
          <w:noProof/>
          <w:sz w:val="24"/>
          <w:szCs w:val="24"/>
          <w:lang w:val="en-US"/>
        </w:rPr>
      </w:pPr>
    </w:p>
    <w:p w14:paraId="3FFA505A" w14:textId="1E727749" w:rsidR="003711D5" w:rsidRPr="00AE6B1E" w:rsidRDefault="003711D5" w:rsidP="003E3C1A">
      <w:pPr>
        <w:rPr>
          <w:noProof/>
          <w:lang w:val="en-US"/>
        </w:rPr>
      </w:pPr>
      <w:r>
        <w:rPr>
          <w:noProof/>
          <w:lang w:val="en-US"/>
        </w:rPr>
        <w:drawing>
          <wp:inline distT="0" distB="0" distL="0" distR="0" wp14:anchorId="2856DE19" wp14:editId="33DFD995">
            <wp:extent cx="4224020" cy="2166620"/>
            <wp:effectExtent l="0" t="0" r="17780" b="1778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9B5A368" w14:textId="6421C4F8" w:rsidR="003E3C1A" w:rsidRPr="009326D3" w:rsidRDefault="003E3C1A" w:rsidP="003E3C1A">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Q</w:t>
      </w:r>
      <w:r w:rsidR="00DD47C2" w:rsidRPr="009326D3">
        <w:rPr>
          <w:rFonts w:ascii="Times New Roman" w:hAnsi="Times New Roman" w:cs="Times New Roman"/>
          <w:b/>
          <w:i/>
          <w:noProof/>
          <w:sz w:val="24"/>
          <w:szCs w:val="24"/>
          <w:lang w:val="en-US"/>
        </w:rPr>
        <w:t>28</w:t>
      </w:r>
      <w:r w:rsidRPr="009326D3">
        <w:rPr>
          <w:rFonts w:ascii="Times New Roman" w:hAnsi="Times New Roman" w:cs="Times New Roman"/>
          <w:b/>
          <w:i/>
          <w:noProof/>
          <w:sz w:val="24"/>
          <w:szCs w:val="24"/>
          <w:lang w:val="en-US"/>
        </w:rPr>
        <w:t xml:space="preserve">. What are your countries terms of trade or payment due date? </w:t>
      </w:r>
    </w:p>
    <w:p w14:paraId="084AA919" w14:textId="77777777" w:rsidR="003E3C1A" w:rsidRPr="009326D3" w:rsidRDefault="003E3C1A" w:rsidP="003E3C1A">
      <w:pPr>
        <w:rPr>
          <w:rFonts w:ascii="Times New Roman" w:hAnsi="Times New Roman" w:cs="Times New Roman"/>
          <w:noProof/>
          <w:sz w:val="24"/>
          <w:szCs w:val="24"/>
          <w:lang w:val="en-US"/>
        </w:rPr>
      </w:pPr>
    </w:p>
    <w:p w14:paraId="251294F8" w14:textId="1CE4094C" w:rsidR="00307D04" w:rsidRPr="009326D3" w:rsidRDefault="00307D04" w:rsidP="003E3C1A">
      <w:pPr>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 xml:space="preserve">The responses to question 30 from the eight countries that have due date reveal significant variations in practice and </w:t>
      </w:r>
      <w:r w:rsidR="00CE00A4" w:rsidRPr="009326D3">
        <w:rPr>
          <w:rFonts w:ascii="Times New Roman" w:hAnsi="Times New Roman" w:cs="Times New Roman"/>
          <w:noProof/>
          <w:sz w:val="24"/>
          <w:szCs w:val="24"/>
          <w:lang w:val="en-US"/>
        </w:rPr>
        <w:t>with</w:t>
      </w:r>
      <w:r w:rsidRPr="009326D3">
        <w:rPr>
          <w:rFonts w:ascii="Times New Roman" w:hAnsi="Times New Roman" w:cs="Times New Roman"/>
          <w:noProof/>
          <w:sz w:val="24"/>
          <w:szCs w:val="24"/>
          <w:lang w:val="en-US"/>
        </w:rPr>
        <w:t xml:space="preserve"> the concept of “terms of trade” proposed in the questionnaire. Two countries, Azerbajan and Kazakhstan pay almost immediate</w:t>
      </w:r>
      <w:r w:rsidR="00871B64" w:rsidRPr="009326D3">
        <w:rPr>
          <w:rFonts w:ascii="Times New Roman" w:hAnsi="Times New Roman" w:cs="Times New Roman"/>
          <w:noProof/>
          <w:sz w:val="24"/>
          <w:szCs w:val="24"/>
          <w:lang w:val="en-US"/>
        </w:rPr>
        <w:t>ly that an invoice is received, one and three days respectively. This eliminates the holding period by government which in turn will result in cash balances being reduced and investment interest foregone. Four countries have 30 or 60 day terms</w:t>
      </w:r>
      <w:r w:rsidR="00CE00A4" w:rsidRPr="009326D3">
        <w:rPr>
          <w:rFonts w:ascii="Times New Roman" w:hAnsi="Times New Roman" w:cs="Times New Roman"/>
          <w:noProof/>
          <w:sz w:val="24"/>
          <w:szCs w:val="24"/>
          <w:lang w:val="en-US"/>
        </w:rPr>
        <w:t xml:space="preserve"> which are consistent with the “terms of trade” concept defined in the questionnaire</w:t>
      </w:r>
      <w:r w:rsidR="00871B64" w:rsidRPr="009326D3">
        <w:rPr>
          <w:rFonts w:ascii="Times New Roman" w:hAnsi="Times New Roman" w:cs="Times New Roman"/>
          <w:noProof/>
          <w:sz w:val="24"/>
          <w:szCs w:val="24"/>
          <w:lang w:val="en-US"/>
        </w:rPr>
        <w:t>. Two countires Kyrgyz Republic and Russia</w:t>
      </w:r>
      <w:r w:rsidR="00CE00A4" w:rsidRPr="009326D3">
        <w:rPr>
          <w:rFonts w:ascii="Times New Roman" w:hAnsi="Times New Roman" w:cs="Times New Roman"/>
          <w:noProof/>
          <w:sz w:val="24"/>
          <w:szCs w:val="24"/>
          <w:lang w:val="en-US"/>
        </w:rPr>
        <w:t>,</w:t>
      </w:r>
      <w:r w:rsidR="00871B64" w:rsidRPr="009326D3">
        <w:rPr>
          <w:rFonts w:ascii="Times New Roman" w:hAnsi="Times New Roman" w:cs="Times New Roman"/>
          <w:noProof/>
          <w:sz w:val="24"/>
          <w:szCs w:val="24"/>
          <w:lang w:val="en-US"/>
        </w:rPr>
        <w:t xml:space="preserve"> define the “terms of trade” in each contract. These responses therefore indicate that only four countries have “terms of trade” similar to that proposed in the questionnaire</w:t>
      </w:r>
      <w:r w:rsidR="00C50A4C">
        <w:rPr>
          <w:rStyle w:val="FootnoteReference"/>
          <w:rFonts w:ascii="Times New Roman" w:hAnsi="Times New Roman" w:cs="Times New Roman"/>
          <w:noProof/>
          <w:szCs w:val="24"/>
          <w:lang w:val="en-US"/>
        </w:rPr>
        <w:footnoteReference w:id="14"/>
      </w:r>
      <w:r w:rsidR="00871B64" w:rsidRPr="009326D3">
        <w:rPr>
          <w:rFonts w:ascii="Times New Roman" w:hAnsi="Times New Roman" w:cs="Times New Roman"/>
          <w:noProof/>
          <w:sz w:val="24"/>
          <w:szCs w:val="24"/>
          <w:lang w:val="en-US"/>
        </w:rPr>
        <w:t xml:space="preserve">.  </w:t>
      </w:r>
    </w:p>
    <w:p w14:paraId="14378280" w14:textId="32F8C6FF" w:rsidR="00307D04" w:rsidRPr="009326D3" w:rsidRDefault="00DD47C2" w:rsidP="003E3C1A">
      <w:pPr>
        <w:rPr>
          <w:rFonts w:ascii="Times New Roman" w:hAnsi="Times New Roman" w:cs="Times New Roman"/>
          <w:i/>
          <w:noProof/>
          <w:color w:val="4F81BD" w:themeColor="accent1"/>
          <w:sz w:val="24"/>
          <w:szCs w:val="24"/>
          <w:lang w:val="en-US"/>
        </w:rPr>
      </w:pPr>
      <w:r w:rsidRPr="009326D3">
        <w:rPr>
          <w:rFonts w:ascii="Times New Roman" w:hAnsi="Times New Roman" w:cs="Times New Roman"/>
          <w:i/>
          <w:noProof/>
          <w:color w:val="4F81BD" w:themeColor="accent1"/>
          <w:sz w:val="24"/>
          <w:szCs w:val="24"/>
          <w:lang w:val="en-US"/>
        </w:rPr>
        <w:t>Figure 12</w:t>
      </w:r>
      <w:r w:rsidR="00307D04" w:rsidRPr="009326D3">
        <w:rPr>
          <w:rFonts w:ascii="Times New Roman" w:hAnsi="Times New Roman" w:cs="Times New Roman"/>
          <w:i/>
          <w:noProof/>
          <w:color w:val="4F81BD" w:themeColor="accent1"/>
          <w:sz w:val="24"/>
          <w:szCs w:val="24"/>
          <w:lang w:val="en-US"/>
        </w:rPr>
        <w:t>- Government Terms of Trade</w:t>
      </w:r>
    </w:p>
    <w:p w14:paraId="546C12AF" w14:textId="0AC08FE0" w:rsidR="003E3C1A" w:rsidRDefault="00307D04" w:rsidP="00307D04">
      <w:pPr>
        <w:pStyle w:val="ListParagraph"/>
        <w:ind w:left="0"/>
        <w:rPr>
          <w:noProof/>
          <w:lang w:val="en-US"/>
        </w:rPr>
      </w:pPr>
      <w:r>
        <w:rPr>
          <w:noProof/>
          <w:lang w:val="en-US"/>
        </w:rPr>
        <w:drawing>
          <wp:inline distT="0" distB="0" distL="0" distR="0" wp14:anchorId="185C4078" wp14:editId="2DAAE91E">
            <wp:extent cx="3660140" cy="2270760"/>
            <wp:effectExtent l="0" t="0" r="22860" b="1524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9366DB" w14:textId="77777777" w:rsidR="00307D04" w:rsidRDefault="00307D04" w:rsidP="003E3C1A">
      <w:pPr>
        <w:pStyle w:val="ListParagraph"/>
        <w:ind w:left="1440"/>
        <w:rPr>
          <w:noProof/>
          <w:lang w:val="en-US"/>
        </w:rPr>
      </w:pPr>
    </w:p>
    <w:p w14:paraId="7CDDBF8A" w14:textId="77777777" w:rsidR="00307D04" w:rsidRDefault="00307D04" w:rsidP="003E3C1A">
      <w:pPr>
        <w:pStyle w:val="ListParagraph"/>
        <w:ind w:left="1440"/>
        <w:rPr>
          <w:rFonts w:ascii="Times New Roman" w:hAnsi="Times New Roman" w:cs="Times New Roman"/>
          <w:noProof/>
          <w:sz w:val="24"/>
          <w:szCs w:val="24"/>
          <w:lang w:val="en-US"/>
        </w:rPr>
      </w:pPr>
    </w:p>
    <w:p w14:paraId="3A025F06" w14:textId="77777777" w:rsidR="00C50A4C" w:rsidRDefault="00C50A4C" w:rsidP="003E3C1A">
      <w:pPr>
        <w:pStyle w:val="ListParagraph"/>
        <w:ind w:left="1440"/>
        <w:rPr>
          <w:rFonts w:ascii="Times New Roman" w:hAnsi="Times New Roman" w:cs="Times New Roman"/>
          <w:noProof/>
          <w:sz w:val="24"/>
          <w:szCs w:val="24"/>
          <w:lang w:val="en-US"/>
        </w:rPr>
      </w:pPr>
    </w:p>
    <w:p w14:paraId="0804438C" w14:textId="77777777" w:rsidR="00C50A4C" w:rsidRDefault="00C50A4C" w:rsidP="003E3C1A">
      <w:pPr>
        <w:pStyle w:val="ListParagraph"/>
        <w:ind w:left="1440"/>
        <w:rPr>
          <w:rFonts w:ascii="Times New Roman" w:hAnsi="Times New Roman" w:cs="Times New Roman"/>
          <w:noProof/>
          <w:sz w:val="24"/>
          <w:szCs w:val="24"/>
          <w:lang w:val="en-US"/>
        </w:rPr>
      </w:pPr>
    </w:p>
    <w:p w14:paraId="26A00796" w14:textId="77777777" w:rsidR="00C50A4C" w:rsidRPr="009326D3" w:rsidRDefault="00C50A4C" w:rsidP="003E3C1A">
      <w:pPr>
        <w:pStyle w:val="ListParagraph"/>
        <w:ind w:left="1440"/>
        <w:rPr>
          <w:rFonts w:ascii="Times New Roman" w:hAnsi="Times New Roman" w:cs="Times New Roman"/>
          <w:noProof/>
          <w:sz w:val="24"/>
          <w:szCs w:val="24"/>
          <w:lang w:val="en-US"/>
        </w:rPr>
      </w:pPr>
    </w:p>
    <w:p w14:paraId="51159A1E" w14:textId="76828E8C" w:rsidR="003E3C1A" w:rsidRPr="009326D3" w:rsidRDefault="003E3C1A" w:rsidP="003E3C1A">
      <w:pPr>
        <w:pStyle w:val="ListParagraph"/>
        <w:spacing w:after="0" w:line="240" w:lineRule="auto"/>
        <w:ind w:left="0"/>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lastRenderedPageBreak/>
        <w:t>Q</w:t>
      </w:r>
      <w:r w:rsidR="00DD47C2" w:rsidRPr="009326D3">
        <w:rPr>
          <w:rFonts w:ascii="Times New Roman" w:hAnsi="Times New Roman" w:cs="Times New Roman"/>
          <w:b/>
          <w:i/>
          <w:noProof/>
          <w:sz w:val="24"/>
          <w:szCs w:val="24"/>
          <w:lang w:val="en-US"/>
        </w:rPr>
        <w:t>29</w:t>
      </w:r>
      <w:r w:rsidRPr="009326D3">
        <w:rPr>
          <w:rFonts w:ascii="Times New Roman" w:hAnsi="Times New Roman" w:cs="Times New Roman"/>
          <w:b/>
          <w:i/>
          <w:noProof/>
          <w:sz w:val="24"/>
          <w:szCs w:val="24"/>
          <w:lang w:val="en-US"/>
        </w:rPr>
        <w:t xml:space="preserve">. Can the payment due date be varied? </w:t>
      </w:r>
    </w:p>
    <w:p w14:paraId="050033EA" w14:textId="610CBB0F" w:rsidR="003E3C1A" w:rsidRPr="009326D3" w:rsidRDefault="00DD47C2" w:rsidP="003E3C1A">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Q30</w:t>
      </w:r>
      <w:r w:rsidR="003E3C1A" w:rsidRPr="009326D3">
        <w:rPr>
          <w:rFonts w:ascii="Times New Roman" w:hAnsi="Times New Roman" w:cs="Times New Roman"/>
          <w:b/>
          <w:i/>
          <w:noProof/>
          <w:sz w:val="24"/>
          <w:szCs w:val="24"/>
          <w:lang w:val="en-US"/>
        </w:rPr>
        <w:t>. If ye</w:t>
      </w:r>
      <w:r w:rsidR="00EA44EE" w:rsidRPr="009326D3">
        <w:rPr>
          <w:rFonts w:ascii="Times New Roman" w:hAnsi="Times New Roman" w:cs="Times New Roman"/>
          <w:b/>
          <w:i/>
          <w:noProof/>
          <w:sz w:val="24"/>
          <w:szCs w:val="24"/>
          <w:lang w:val="en-US"/>
        </w:rPr>
        <w:t xml:space="preserve">s </w:t>
      </w:r>
      <w:r w:rsidR="00871B64" w:rsidRPr="009326D3">
        <w:rPr>
          <w:rFonts w:ascii="Times New Roman" w:hAnsi="Times New Roman" w:cs="Times New Roman"/>
          <w:b/>
          <w:i/>
          <w:noProof/>
          <w:sz w:val="24"/>
          <w:szCs w:val="24"/>
          <w:lang w:val="en-US"/>
        </w:rPr>
        <w:t xml:space="preserve">indicate </w:t>
      </w:r>
      <w:r w:rsidR="00EA44EE" w:rsidRPr="009326D3">
        <w:rPr>
          <w:rFonts w:ascii="Times New Roman" w:hAnsi="Times New Roman" w:cs="Times New Roman"/>
          <w:b/>
          <w:i/>
          <w:noProof/>
          <w:sz w:val="24"/>
          <w:szCs w:val="24"/>
          <w:lang w:val="en-US"/>
        </w:rPr>
        <w:t xml:space="preserve">the reasons for </w:t>
      </w:r>
      <w:r w:rsidR="00871B64" w:rsidRPr="009326D3">
        <w:rPr>
          <w:rFonts w:ascii="Times New Roman" w:hAnsi="Times New Roman" w:cs="Times New Roman"/>
          <w:b/>
          <w:i/>
          <w:noProof/>
          <w:sz w:val="24"/>
          <w:szCs w:val="24"/>
          <w:lang w:val="en-US"/>
        </w:rPr>
        <w:t xml:space="preserve">the </w:t>
      </w:r>
      <w:r w:rsidR="00EA44EE" w:rsidRPr="009326D3">
        <w:rPr>
          <w:rFonts w:ascii="Times New Roman" w:hAnsi="Times New Roman" w:cs="Times New Roman"/>
          <w:b/>
          <w:i/>
          <w:noProof/>
          <w:sz w:val="24"/>
          <w:szCs w:val="24"/>
          <w:lang w:val="en-US"/>
        </w:rPr>
        <w:t>variation</w:t>
      </w:r>
      <w:r w:rsidR="00871B64" w:rsidRPr="009326D3">
        <w:rPr>
          <w:rFonts w:ascii="Times New Roman" w:hAnsi="Times New Roman" w:cs="Times New Roman"/>
          <w:b/>
          <w:i/>
          <w:noProof/>
          <w:sz w:val="24"/>
          <w:szCs w:val="24"/>
          <w:lang w:val="en-US"/>
        </w:rPr>
        <w:t xml:space="preserve">s </w:t>
      </w:r>
      <w:r w:rsidR="00EA44EE" w:rsidRPr="009326D3">
        <w:rPr>
          <w:rFonts w:ascii="Times New Roman" w:hAnsi="Times New Roman" w:cs="Times New Roman"/>
          <w:b/>
          <w:i/>
          <w:noProof/>
          <w:sz w:val="24"/>
          <w:szCs w:val="24"/>
          <w:lang w:val="en-US"/>
        </w:rPr>
        <w:t>?</w:t>
      </w:r>
    </w:p>
    <w:p w14:paraId="73D455BF" w14:textId="77777777" w:rsidR="003E3C1A" w:rsidRPr="009326D3" w:rsidRDefault="003E3C1A" w:rsidP="003E3C1A">
      <w:pPr>
        <w:rPr>
          <w:rFonts w:ascii="Times New Roman" w:hAnsi="Times New Roman" w:cs="Times New Roman"/>
          <w:noProof/>
          <w:sz w:val="24"/>
          <w:szCs w:val="24"/>
          <w:lang w:val="en-US"/>
        </w:rPr>
      </w:pPr>
    </w:p>
    <w:p w14:paraId="03D2465D" w14:textId="77777777" w:rsidR="004E62D2" w:rsidRDefault="00871B64" w:rsidP="003E3C1A">
      <w:pPr>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Figure 1</w:t>
      </w:r>
      <w:r w:rsidR="00DD47C2" w:rsidRPr="009326D3">
        <w:rPr>
          <w:rFonts w:ascii="Times New Roman" w:hAnsi="Times New Roman" w:cs="Times New Roman"/>
          <w:noProof/>
          <w:sz w:val="24"/>
          <w:szCs w:val="24"/>
          <w:lang w:val="en-US"/>
        </w:rPr>
        <w:t>3</w:t>
      </w:r>
      <w:r w:rsidRPr="009326D3">
        <w:rPr>
          <w:rFonts w:ascii="Times New Roman" w:hAnsi="Times New Roman" w:cs="Times New Roman"/>
          <w:noProof/>
          <w:sz w:val="24"/>
          <w:szCs w:val="24"/>
          <w:lang w:val="en-US"/>
        </w:rPr>
        <w:t xml:space="preserve"> summar</w:t>
      </w:r>
      <w:r w:rsidR="00B331F9" w:rsidRPr="009326D3">
        <w:rPr>
          <w:rFonts w:ascii="Times New Roman" w:hAnsi="Times New Roman" w:cs="Times New Roman"/>
          <w:noProof/>
          <w:sz w:val="24"/>
          <w:szCs w:val="24"/>
          <w:lang w:val="en-US"/>
        </w:rPr>
        <w:t>izes whether the government standard “terms of trade”  can be varied and the reasons for accepting such variations.  Eight countries responded</w:t>
      </w:r>
      <w:r w:rsidR="004E62D2">
        <w:rPr>
          <w:rFonts w:ascii="Times New Roman" w:hAnsi="Times New Roman" w:cs="Times New Roman"/>
          <w:noProof/>
          <w:sz w:val="24"/>
          <w:szCs w:val="24"/>
          <w:lang w:val="en-US"/>
        </w:rPr>
        <w:t>,</w:t>
      </w:r>
      <w:r w:rsidR="00B331F9" w:rsidRPr="009326D3">
        <w:rPr>
          <w:rFonts w:ascii="Times New Roman" w:hAnsi="Times New Roman" w:cs="Times New Roman"/>
          <w:noProof/>
          <w:sz w:val="24"/>
          <w:szCs w:val="24"/>
          <w:lang w:val="en-US"/>
        </w:rPr>
        <w:t xml:space="preserve"> with six indicating that the terms of trade can be varied. Two indicated the terms may not be varied. The questionnaire suggested a number of reasons why the terms maybe varied. No countries varied the terms based on a discount from the supplier. </w:t>
      </w:r>
      <w:r w:rsidR="004E62D2">
        <w:rPr>
          <w:rFonts w:ascii="Times New Roman" w:hAnsi="Times New Roman" w:cs="Times New Roman"/>
          <w:noProof/>
          <w:sz w:val="24"/>
          <w:szCs w:val="24"/>
          <w:lang w:val="en-US"/>
        </w:rPr>
        <w:t>However, t</w:t>
      </w:r>
      <w:r w:rsidR="00B331F9" w:rsidRPr="009326D3">
        <w:rPr>
          <w:rFonts w:ascii="Times New Roman" w:hAnsi="Times New Roman" w:cs="Times New Roman"/>
          <w:noProof/>
          <w:sz w:val="24"/>
          <w:szCs w:val="24"/>
          <w:lang w:val="en-US"/>
        </w:rPr>
        <w:t>his is a core principle of why a country might choose to reduce its terms of trade</w:t>
      </w:r>
      <w:r w:rsidR="004E62D2">
        <w:rPr>
          <w:rFonts w:ascii="Times New Roman" w:hAnsi="Times New Roman" w:cs="Times New Roman"/>
          <w:noProof/>
          <w:sz w:val="24"/>
          <w:szCs w:val="24"/>
          <w:lang w:val="en-US"/>
        </w:rPr>
        <w:t xml:space="preserve"> </w:t>
      </w:r>
      <w:r w:rsidR="00B331F9" w:rsidRPr="009326D3">
        <w:rPr>
          <w:rFonts w:ascii="Times New Roman" w:hAnsi="Times New Roman" w:cs="Times New Roman"/>
          <w:noProof/>
          <w:sz w:val="24"/>
          <w:szCs w:val="24"/>
          <w:lang w:val="en-US"/>
        </w:rPr>
        <w:t xml:space="preserve">- because a discount is offered for early payment, and therefore </w:t>
      </w:r>
      <w:r w:rsidR="004E62D2">
        <w:rPr>
          <w:rFonts w:ascii="Times New Roman" w:hAnsi="Times New Roman" w:cs="Times New Roman"/>
          <w:noProof/>
          <w:sz w:val="24"/>
          <w:szCs w:val="24"/>
          <w:lang w:val="en-US"/>
        </w:rPr>
        <w:t xml:space="preserve">represents </w:t>
      </w:r>
      <w:r w:rsidR="00B331F9" w:rsidRPr="009326D3">
        <w:rPr>
          <w:rFonts w:ascii="Times New Roman" w:hAnsi="Times New Roman" w:cs="Times New Roman"/>
          <w:noProof/>
          <w:sz w:val="24"/>
          <w:szCs w:val="24"/>
          <w:lang w:val="en-US"/>
        </w:rPr>
        <w:t>an eff</w:t>
      </w:r>
      <w:r w:rsidR="004E62D2">
        <w:rPr>
          <w:rFonts w:ascii="Times New Roman" w:hAnsi="Times New Roman" w:cs="Times New Roman"/>
          <w:noProof/>
          <w:sz w:val="24"/>
          <w:szCs w:val="24"/>
          <w:lang w:val="en-US"/>
        </w:rPr>
        <w:t>ective cash management decision</w:t>
      </w:r>
      <w:r w:rsidR="00B331F9" w:rsidRPr="009326D3">
        <w:rPr>
          <w:rFonts w:ascii="Times New Roman" w:hAnsi="Times New Roman" w:cs="Times New Roman"/>
          <w:noProof/>
          <w:sz w:val="24"/>
          <w:szCs w:val="24"/>
          <w:lang w:val="en-US"/>
        </w:rPr>
        <w:t xml:space="preserve">.   </w:t>
      </w:r>
    </w:p>
    <w:p w14:paraId="62076EA1" w14:textId="7448272A" w:rsidR="004E62D2" w:rsidRDefault="00B331F9" w:rsidP="003E3C1A">
      <w:pPr>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 xml:space="preserve">All six countries that allowed variations indicated that the standard terms could be varied if the contract defined this. This has the potential to undermine the rationale </w:t>
      </w:r>
      <w:r w:rsidR="004E62D2">
        <w:rPr>
          <w:rFonts w:ascii="Times New Roman" w:hAnsi="Times New Roman" w:cs="Times New Roman"/>
          <w:noProof/>
          <w:sz w:val="24"/>
          <w:szCs w:val="24"/>
          <w:lang w:val="en-US"/>
        </w:rPr>
        <w:t>behind the concept</w:t>
      </w:r>
      <w:r w:rsidRPr="009326D3">
        <w:rPr>
          <w:rFonts w:ascii="Times New Roman" w:hAnsi="Times New Roman" w:cs="Times New Roman"/>
          <w:noProof/>
          <w:sz w:val="24"/>
          <w:szCs w:val="24"/>
          <w:lang w:val="en-US"/>
        </w:rPr>
        <w:t xml:space="preserve"> </w:t>
      </w:r>
      <w:r w:rsidR="004E62D2">
        <w:rPr>
          <w:rFonts w:ascii="Times New Roman" w:hAnsi="Times New Roman" w:cs="Times New Roman"/>
          <w:noProof/>
          <w:sz w:val="24"/>
          <w:szCs w:val="24"/>
          <w:lang w:val="en-US"/>
        </w:rPr>
        <w:t>of the</w:t>
      </w:r>
      <w:r w:rsidRPr="009326D3">
        <w:rPr>
          <w:rFonts w:ascii="Times New Roman" w:hAnsi="Times New Roman" w:cs="Times New Roman"/>
          <w:noProof/>
          <w:sz w:val="24"/>
          <w:szCs w:val="24"/>
          <w:lang w:val="en-US"/>
        </w:rPr>
        <w:t xml:space="preserve"> “terms of trade” particu</w:t>
      </w:r>
      <w:r w:rsidR="004E62D2">
        <w:rPr>
          <w:rFonts w:ascii="Times New Roman" w:hAnsi="Times New Roman" w:cs="Times New Roman"/>
          <w:noProof/>
          <w:sz w:val="24"/>
          <w:szCs w:val="24"/>
          <w:lang w:val="en-US"/>
        </w:rPr>
        <w:t>l</w:t>
      </w:r>
      <w:r w:rsidRPr="009326D3">
        <w:rPr>
          <w:rFonts w:ascii="Times New Roman" w:hAnsi="Times New Roman" w:cs="Times New Roman"/>
          <w:noProof/>
          <w:sz w:val="24"/>
          <w:szCs w:val="24"/>
          <w:lang w:val="en-US"/>
        </w:rPr>
        <w:t>arly</w:t>
      </w:r>
      <w:r w:rsidR="004E62D2">
        <w:rPr>
          <w:rFonts w:ascii="Times New Roman" w:hAnsi="Times New Roman" w:cs="Times New Roman"/>
          <w:noProof/>
          <w:sz w:val="24"/>
          <w:szCs w:val="24"/>
          <w:lang w:val="en-US"/>
        </w:rPr>
        <w:t>,</w:t>
      </w:r>
      <w:r w:rsidRPr="009326D3">
        <w:rPr>
          <w:rFonts w:ascii="Times New Roman" w:hAnsi="Times New Roman" w:cs="Times New Roman"/>
          <w:noProof/>
          <w:sz w:val="24"/>
          <w:szCs w:val="24"/>
          <w:lang w:val="en-US"/>
        </w:rPr>
        <w:t xml:space="preserve"> if the variation is not linked to a discount for early payment. It is also not clear how payment terms could be improved for either Azerbaijan or Kazakhstan given the already very favourable terms of one and three days. </w:t>
      </w:r>
    </w:p>
    <w:p w14:paraId="1BC87CC8" w14:textId="79669698" w:rsidR="00871B64" w:rsidRPr="009326D3" w:rsidRDefault="00B331F9" w:rsidP="003E3C1A">
      <w:pPr>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 xml:space="preserve">Insufficient funds was given as a reason for varying the terms for two countries. This would be the normal reason for delays in most countries that have liquidity issues and are cash rationing. Both Azerbaijan and Kazakhstan also indicated that MDAs have discretion </w:t>
      </w:r>
      <w:r w:rsidR="004E62D2">
        <w:rPr>
          <w:rFonts w:ascii="Times New Roman" w:hAnsi="Times New Roman" w:cs="Times New Roman"/>
          <w:noProof/>
          <w:sz w:val="24"/>
          <w:szCs w:val="24"/>
          <w:lang w:val="en-US"/>
        </w:rPr>
        <w:t>to vary the Terms of Trade.</w:t>
      </w:r>
      <w:r w:rsidRPr="009326D3">
        <w:rPr>
          <w:rFonts w:ascii="Times New Roman" w:hAnsi="Times New Roman" w:cs="Times New Roman"/>
          <w:noProof/>
          <w:sz w:val="24"/>
          <w:szCs w:val="24"/>
          <w:lang w:val="en-US"/>
        </w:rPr>
        <w:t xml:space="preserve"> Azerbaijan also indicated that the Treasury has further discretion to vary the terms.   </w:t>
      </w:r>
    </w:p>
    <w:p w14:paraId="06790253" w14:textId="77777777" w:rsidR="00871B64" w:rsidRPr="009326D3" w:rsidRDefault="00871B64" w:rsidP="003E3C1A">
      <w:pPr>
        <w:rPr>
          <w:rFonts w:ascii="Times New Roman" w:hAnsi="Times New Roman" w:cs="Times New Roman"/>
          <w:noProof/>
          <w:sz w:val="24"/>
          <w:szCs w:val="24"/>
          <w:lang w:val="en-US"/>
        </w:rPr>
      </w:pPr>
    </w:p>
    <w:p w14:paraId="1AAB5705" w14:textId="62505E77" w:rsidR="00871B64" w:rsidRPr="009326D3" w:rsidRDefault="00DD47C2" w:rsidP="003E3C1A">
      <w:pPr>
        <w:rPr>
          <w:rFonts w:ascii="Times New Roman" w:hAnsi="Times New Roman" w:cs="Times New Roman"/>
          <w:i/>
          <w:noProof/>
          <w:color w:val="4F81BD" w:themeColor="accent1"/>
          <w:sz w:val="24"/>
          <w:szCs w:val="24"/>
          <w:lang w:val="en-US"/>
        </w:rPr>
      </w:pPr>
      <w:r w:rsidRPr="009326D3">
        <w:rPr>
          <w:rFonts w:ascii="Times New Roman" w:hAnsi="Times New Roman" w:cs="Times New Roman"/>
          <w:i/>
          <w:noProof/>
          <w:color w:val="4F81BD" w:themeColor="accent1"/>
          <w:sz w:val="24"/>
          <w:szCs w:val="24"/>
          <w:lang w:val="en-US"/>
        </w:rPr>
        <w:t>Figure 13</w:t>
      </w:r>
      <w:r w:rsidR="00871B64" w:rsidRPr="009326D3">
        <w:rPr>
          <w:rFonts w:ascii="Times New Roman" w:hAnsi="Times New Roman" w:cs="Times New Roman"/>
          <w:i/>
          <w:noProof/>
          <w:color w:val="4F81BD" w:themeColor="accent1"/>
          <w:sz w:val="24"/>
          <w:szCs w:val="24"/>
          <w:lang w:val="en-US"/>
        </w:rPr>
        <w:t>- Variation of Terms of Trade</w:t>
      </w:r>
    </w:p>
    <w:p w14:paraId="3A360EE4" w14:textId="4FC5E604" w:rsidR="00871B64" w:rsidRDefault="00871B64" w:rsidP="003E3C1A">
      <w:pPr>
        <w:rPr>
          <w:noProof/>
          <w:lang w:val="en-US"/>
        </w:rPr>
      </w:pPr>
      <w:r>
        <w:rPr>
          <w:noProof/>
          <w:lang w:val="en-US"/>
        </w:rPr>
        <w:drawing>
          <wp:inline distT="0" distB="0" distL="0" distR="0" wp14:anchorId="761617D8" wp14:editId="10BE0263">
            <wp:extent cx="3774440" cy="2656840"/>
            <wp:effectExtent l="0" t="0" r="35560" b="3556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C82078" w14:textId="77777777" w:rsidR="00B331F9" w:rsidRDefault="00B331F9" w:rsidP="003E3C1A">
      <w:pPr>
        <w:rPr>
          <w:noProof/>
          <w:lang w:val="en-US"/>
        </w:rPr>
      </w:pPr>
    </w:p>
    <w:p w14:paraId="6A9291E7" w14:textId="0F8FABBD" w:rsidR="00B331F9" w:rsidRPr="009326D3" w:rsidRDefault="00B331F9" w:rsidP="003E3C1A">
      <w:pPr>
        <w:rPr>
          <w:rFonts w:ascii="Times New Roman" w:hAnsi="Times New Roman" w:cs="Times New Roman"/>
          <w:b/>
          <w:noProof/>
          <w:color w:val="4F81BD" w:themeColor="accent1"/>
          <w:sz w:val="24"/>
          <w:szCs w:val="24"/>
          <w:lang w:val="en-US"/>
        </w:rPr>
      </w:pPr>
      <w:r w:rsidRPr="009326D3">
        <w:rPr>
          <w:rFonts w:ascii="Times New Roman" w:hAnsi="Times New Roman" w:cs="Times New Roman"/>
          <w:b/>
          <w:noProof/>
          <w:color w:val="4F81BD" w:themeColor="accent1"/>
          <w:sz w:val="24"/>
          <w:szCs w:val="24"/>
          <w:lang w:val="en-US"/>
        </w:rPr>
        <w:t>Conclusion</w:t>
      </w:r>
      <w:r w:rsidR="00017DBE" w:rsidRPr="009326D3">
        <w:rPr>
          <w:rFonts w:ascii="Times New Roman" w:hAnsi="Times New Roman" w:cs="Times New Roman"/>
          <w:b/>
          <w:noProof/>
          <w:color w:val="4F81BD" w:themeColor="accent1"/>
          <w:sz w:val="24"/>
          <w:szCs w:val="24"/>
          <w:lang w:val="en-US"/>
        </w:rPr>
        <w:t>s</w:t>
      </w:r>
    </w:p>
    <w:p w14:paraId="140E5896" w14:textId="2E501C44" w:rsidR="00B331F9" w:rsidRPr="009326D3" w:rsidRDefault="00B331F9" w:rsidP="003E3C1A">
      <w:pPr>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 xml:space="preserve">The concepts of due date and standard terms of trade appear to be consistently applied with the defintions provided in the questionnaire in just four of the </w:t>
      </w:r>
      <w:r w:rsidR="004E62D2">
        <w:rPr>
          <w:rFonts w:ascii="Times New Roman" w:hAnsi="Times New Roman" w:cs="Times New Roman"/>
          <w:noProof/>
          <w:sz w:val="24"/>
          <w:szCs w:val="24"/>
          <w:lang w:val="en-US"/>
        </w:rPr>
        <w:t>respondent</w:t>
      </w:r>
      <w:r w:rsidRPr="009326D3">
        <w:rPr>
          <w:rFonts w:ascii="Times New Roman" w:hAnsi="Times New Roman" w:cs="Times New Roman"/>
          <w:noProof/>
          <w:sz w:val="24"/>
          <w:szCs w:val="24"/>
          <w:lang w:val="en-US"/>
        </w:rPr>
        <w:t xml:space="preserve"> countries. This is despite seven countries indicating </w:t>
      </w:r>
      <w:r w:rsidR="00F42A8A" w:rsidRPr="009326D3">
        <w:rPr>
          <w:rFonts w:ascii="Times New Roman" w:hAnsi="Times New Roman" w:cs="Times New Roman"/>
          <w:noProof/>
          <w:sz w:val="24"/>
          <w:szCs w:val="24"/>
          <w:lang w:val="en-US"/>
        </w:rPr>
        <w:t xml:space="preserve">that the country defintions closely aligned with the questionnaire. The rationale behind these concepts, which include providing </w:t>
      </w:r>
      <w:r w:rsidR="00CE00A4" w:rsidRPr="009326D3">
        <w:rPr>
          <w:rFonts w:ascii="Times New Roman" w:hAnsi="Times New Roman" w:cs="Times New Roman"/>
          <w:noProof/>
          <w:sz w:val="24"/>
          <w:szCs w:val="24"/>
          <w:lang w:val="en-US"/>
        </w:rPr>
        <w:t>certainty regarding cashflows f</w:t>
      </w:r>
      <w:r w:rsidR="00F42A8A" w:rsidRPr="009326D3">
        <w:rPr>
          <w:rFonts w:ascii="Times New Roman" w:hAnsi="Times New Roman" w:cs="Times New Roman"/>
          <w:noProof/>
          <w:sz w:val="24"/>
          <w:szCs w:val="24"/>
          <w:lang w:val="en-US"/>
        </w:rPr>
        <w:t>o</w:t>
      </w:r>
      <w:r w:rsidR="00CE00A4" w:rsidRPr="009326D3">
        <w:rPr>
          <w:rFonts w:ascii="Times New Roman" w:hAnsi="Times New Roman" w:cs="Times New Roman"/>
          <w:noProof/>
          <w:sz w:val="24"/>
          <w:szCs w:val="24"/>
          <w:lang w:val="en-US"/>
        </w:rPr>
        <w:t>r</w:t>
      </w:r>
      <w:r w:rsidR="00F42A8A" w:rsidRPr="009326D3">
        <w:rPr>
          <w:rFonts w:ascii="Times New Roman" w:hAnsi="Times New Roman" w:cs="Times New Roman"/>
          <w:noProof/>
          <w:sz w:val="24"/>
          <w:szCs w:val="24"/>
          <w:lang w:val="en-US"/>
        </w:rPr>
        <w:t xml:space="preserve"> both </w:t>
      </w:r>
      <w:r w:rsidR="00F42A8A" w:rsidRPr="009326D3">
        <w:rPr>
          <w:rFonts w:ascii="Times New Roman" w:hAnsi="Times New Roman" w:cs="Times New Roman"/>
          <w:noProof/>
          <w:sz w:val="24"/>
          <w:szCs w:val="24"/>
          <w:lang w:val="en-US"/>
        </w:rPr>
        <w:lastRenderedPageBreak/>
        <w:t xml:space="preserve">government and suppliers and </w:t>
      </w:r>
      <w:r w:rsidR="00CE00A4" w:rsidRPr="009326D3">
        <w:rPr>
          <w:rFonts w:ascii="Times New Roman" w:hAnsi="Times New Roman" w:cs="Times New Roman"/>
          <w:noProof/>
          <w:sz w:val="24"/>
          <w:szCs w:val="24"/>
          <w:lang w:val="en-US"/>
        </w:rPr>
        <w:t xml:space="preserve">to </w:t>
      </w:r>
      <w:r w:rsidR="00F42A8A" w:rsidRPr="009326D3">
        <w:rPr>
          <w:rFonts w:ascii="Times New Roman" w:hAnsi="Times New Roman" w:cs="Times New Roman"/>
          <w:noProof/>
          <w:sz w:val="24"/>
          <w:szCs w:val="24"/>
          <w:lang w:val="en-US"/>
        </w:rPr>
        <w:t>maximi</w:t>
      </w:r>
      <w:r w:rsidR="00CE00A4" w:rsidRPr="009326D3">
        <w:rPr>
          <w:rFonts w:ascii="Times New Roman" w:hAnsi="Times New Roman" w:cs="Times New Roman"/>
          <w:noProof/>
          <w:sz w:val="24"/>
          <w:szCs w:val="24"/>
          <w:lang w:val="en-US"/>
        </w:rPr>
        <w:t>ze</w:t>
      </w:r>
      <w:r w:rsidR="00F42A8A" w:rsidRPr="009326D3">
        <w:rPr>
          <w:rFonts w:ascii="Times New Roman" w:hAnsi="Times New Roman" w:cs="Times New Roman"/>
          <w:noProof/>
          <w:sz w:val="24"/>
          <w:szCs w:val="24"/>
          <w:lang w:val="en-US"/>
        </w:rPr>
        <w:t xml:space="preserve"> the cash balances of government by ensuring </w:t>
      </w:r>
      <w:r w:rsidR="004E62D2">
        <w:rPr>
          <w:rFonts w:ascii="Times New Roman" w:hAnsi="Times New Roman" w:cs="Times New Roman"/>
          <w:noProof/>
          <w:sz w:val="24"/>
          <w:szCs w:val="24"/>
          <w:lang w:val="en-US"/>
        </w:rPr>
        <w:t>invo</w:t>
      </w:r>
      <w:r w:rsidR="00CE00A4" w:rsidRPr="009326D3">
        <w:rPr>
          <w:rFonts w:ascii="Times New Roman" w:hAnsi="Times New Roman" w:cs="Times New Roman"/>
          <w:noProof/>
          <w:sz w:val="24"/>
          <w:szCs w:val="24"/>
          <w:lang w:val="en-US"/>
        </w:rPr>
        <w:t>i</w:t>
      </w:r>
      <w:r w:rsidR="004E62D2">
        <w:rPr>
          <w:rFonts w:ascii="Times New Roman" w:hAnsi="Times New Roman" w:cs="Times New Roman"/>
          <w:noProof/>
          <w:sz w:val="24"/>
          <w:szCs w:val="24"/>
          <w:lang w:val="en-US"/>
        </w:rPr>
        <w:t>c</w:t>
      </w:r>
      <w:r w:rsidR="00CE00A4" w:rsidRPr="009326D3">
        <w:rPr>
          <w:rFonts w:ascii="Times New Roman" w:hAnsi="Times New Roman" w:cs="Times New Roman"/>
          <w:noProof/>
          <w:sz w:val="24"/>
          <w:szCs w:val="24"/>
          <w:lang w:val="en-US"/>
        </w:rPr>
        <w:t xml:space="preserve">es </w:t>
      </w:r>
      <w:r w:rsidR="004E62D2">
        <w:rPr>
          <w:rFonts w:ascii="Times New Roman" w:hAnsi="Times New Roman" w:cs="Times New Roman"/>
          <w:noProof/>
          <w:sz w:val="24"/>
          <w:szCs w:val="24"/>
          <w:lang w:val="en-US"/>
        </w:rPr>
        <w:t xml:space="preserve"> are </w:t>
      </w:r>
      <w:r w:rsidR="00CE00A4" w:rsidRPr="009326D3">
        <w:rPr>
          <w:rFonts w:ascii="Times New Roman" w:hAnsi="Times New Roman" w:cs="Times New Roman"/>
          <w:noProof/>
          <w:sz w:val="24"/>
          <w:szCs w:val="24"/>
          <w:lang w:val="en-US"/>
        </w:rPr>
        <w:t>paid “just in time”</w:t>
      </w:r>
      <w:r w:rsidR="00F42A8A" w:rsidRPr="009326D3">
        <w:rPr>
          <w:rFonts w:ascii="Times New Roman" w:hAnsi="Times New Roman" w:cs="Times New Roman"/>
          <w:noProof/>
          <w:sz w:val="24"/>
          <w:szCs w:val="24"/>
          <w:lang w:val="en-US"/>
        </w:rPr>
        <w:t xml:space="preserve"> </w:t>
      </w:r>
      <w:r w:rsidR="004E62D2">
        <w:rPr>
          <w:rFonts w:ascii="Times New Roman" w:hAnsi="Times New Roman" w:cs="Times New Roman"/>
          <w:noProof/>
          <w:sz w:val="24"/>
          <w:szCs w:val="24"/>
          <w:lang w:val="en-US"/>
        </w:rPr>
        <w:t>neither</w:t>
      </w:r>
      <w:r w:rsidR="00F42A8A" w:rsidRPr="009326D3">
        <w:rPr>
          <w:rFonts w:ascii="Times New Roman" w:hAnsi="Times New Roman" w:cs="Times New Roman"/>
          <w:noProof/>
          <w:sz w:val="24"/>
          <w:szCs w:val="24"/>
          <w:lang w:val="en-US"/>
        </w:rPr>
        <w:t xml:space="preserve"> early</w:t>
      </w:r>
      <w:r w:rsidR="004E62D2">
        <w:rPr>
          <w:rFonts w:ascii="Times New Roman" w:hAnsi="Times New Roman" w:cs="Times New Roman"/>
          <w:noProof/>
          <w:sz w:val="24"/>
          <w:szCs w:val="24"/>
          <w:lang w:val="en-US"/>
        </w:rPr>
        <w:t xml:space="preserve"> or late</w:t>
      </w:r>
      <w:r w:rsidR="00F42A8A" w:rsidRPr="009326D3">
        <w:rPr>
          <w:rFonts w:ascii="Times New Roman" w:hAnsi="Times New Roman" w:cs="Times New Roman"/>
          <w:noProof/>
          <w:sz w:val="24"/>
          <w:szCs w:val="24"/>
          <w:lang w:val="en-US"/>
        </w:rPr>
        <w:t xml:space="preserve">, do not appear to be priorities for </w:t>
      </w:r>
      <w:r w:rsidR="00CE00A4" w:rsidRPr="009326D3">
        <w:rPr>
          <w:rFonts w:ascii="Times New Roman" w:hAnsi="Times New Roman" w:cs="Times New Roman"/>
          <w:noProof/>
          <w:sz w:val="24"/>
          <w:szCs w:val="24"/>
          <w:lang w:val="en-US"/>
        </w:rPr>
        <w:t xml:space="preserve">a number of </w:t>
      </w:r>
      <w:r w:rsidR="00F42A8A" w:rsidRPr="009326D3">
        <w:rPr>
          <w:rFonts w:ascii="Times New Roman" w:hAnsi="Times New Roman" w:cs="Times New Roman"/>
          <w:noProof/>
          <w:sz w:val="24"/>
          <w:szCs w:val="24"/>
          <w:lang w:val="en-US"/>
        </w:rPr>
        <w:t xml:space="preserve">TCOP countries. This area </w:t>
      </w:r>
      <w:r w:rsidR="004E62D2">
        <w:rPr>
          <w:rFonts w:ascii="Times New Roman" w:hAnsi="Times New Roman" w:cs="Times New Roman"/>
          <w:noProof/>
          <w:sz w:val="24"/>
          <w:szCs w:val="24"/>
          <w:lang w:val="en-US"/>
        </w:rPr>
        <w:t>c</w:t>
      </w:r>
      <w:r w:rsidR="00F42A8A" w:rsidRPr="009326D3">
        <w:rPr>
          <w:rFonts w:ascii="Times New Roman" w:hAnsi="Times New Roman" w:cs="Times New Roman"/>
          <w:noProof/>
          <w:sz w:val="24"/>
          <w:szCs w:val="24"/>
          <w:lang w:val="en-US"/>
        </w:rPr>
        <w:t>ould be</w:t>
      </w:r>
      <w:r w:rsidR="004E62D2">
        <w:rPr>
          <w:rFonts w:ascii="Times New Roman" w:hAnsi="Times New Roman" w:cs="Times New Roman"/>
          <w:noProof/>
          <w:sz w:val="24"/>
          <w:szCs w:val="24"/>
          <w:lang w:val="en-US"/>
        </w:rPr>
        <w:t xml:space="preserve"> a useful focus f</w:t>
      </w:r>
      <w:r w:rsidR="00F42A8A" w:rsidRPr="009326D3">
        <w:rPr>
          <w:rFonts w:ascii="Times New Roman" w:hAnsi="Times New Roman" w:cs="Times New Roman"/>
          <w:noProof/>
          <w:sz w:val="24"/>
          <w:szCs w:val="24"/>
          <w:lang w:val="en-US"/>
        </w:rPr>
        <w:t>o</w:t>
      </w:r>
      <w:r w:rsidR="004E62D2">
        <w:rPr>
          <w:rFonts w:ascii="Times New Roman" w:hAnsi="Times New Roman" w:cs="Times New Roman"/>
          <w:noProof/>
          <w:sz w:val="24"/>
          <w:szCs w:val="24"/>
          <w:lang w:val="en-US"/>
        </w:rPr>
        <w:t xml:space="preserve">r </w:t>
      </w:r>
      <w:r w:rsidR="00F42A8A" w:rsidRPr="009326D3">
        <w:rPr>
          <w:rFonts w:ascii="Times New Roman" w:hAnsi="Times New Roman" w:cs="Times New Roman"/>
          <w:noProof/>
          <w:sz w:val="24"/>
          <w:szCs w:val="24"/>
          <w:lang w:val="en-US"/>
        </w:rPr>
        <w:t>further discussio</w:t>
      </w:r>
      <w:r w:rsidR="00F06D3A" w:rsidRPr="009326D3">
        <w:rPr>
          <w:rFonts w:ascii="Times New Roman" w:hAnsi="Times New Roman" w:cs="Times New Roman"/>
          <w:noProof/>
          <w:sz w:val="24"/>
          <w:szCs w:val="24"/>
          <w:lang w:val="en-US"/>
        </w:rPr>
        <w:t>n</w:t>
      </w:r>
      <w:r w:rsidR="00F42A8A" w:rsidRPr="009326D3">
        <w:rPr>
          <w:rFonts w:ascii="Times New Roman" w:hAnsi="Times New Roman" w:cs="Times New Roman"/>
          <w:noProof/>
          <w:sz w:val="24"/>
          <w:szCs w:val="24"/>
          <w:lang w:val="en-US"/>
        </w:rPr>
        <w:t xml:space="preserve"> </w:t>
      </w:r>
      <w:r w:rsidR="004E62D2">
        <w:rPr>
          <w:rFonts w:ascii="Times New Roman" w:hAnsi="Times New Roman" w:cs="Times New Roman"/>
          <w:noProof/>
          <w:sz w:val="24"/>
          <w:szCs w:val="24"/>
          <w:lang w:val="en-US"/>
        </w:rPr>
        <w:t>and debate</w:t>
      </w:r>
      <w:r w:rsidR="00F42A8A" w:rsidRPr="009326D3">
        <w:rPr>
          <w:rFonts w:ascii="Times New Roman" w:hAnsi="Times New Roman" w:cs="Times New Roman"/>
          <w:noProof/>
          <w:sz w:val="24"/>
          <w:szCs w:val="24"/>
          <w:lang w:val="en-US"/>
        </w:rPr>
        <w:t xml:space="preserve">. </w:t>
      </w:r>
    </w:p>
    <w:p w14:paraId="1837027D" w14:textId="2D3EF27E" w:rsidR="00996EF7" w:rsidRPr="009326D3" w:rsidRDefault="00996EF7" w:rsidP="003E3C1A">
      <w:pPr>
        <w:rPr>
          <w:rFonts w:ascii="Times New Roman" w:hAnsi="Times New Roman" w:cs="Times New Roman"/>
          <w:b/>
          <w:noProof/>
          <w:color w:val="4F81BD" w:themeColor="accent1"/>
          <w:sz w:val="28"/>
          <w:szCs w:val="28"/>
          <w:lang w:val="en-US"/>
        </w:rPr>
      </w:pPr>
      <w:r w:rsidRPr="009326D3">
        <w:rPr>
          <w:rFonts w:ascii="Times New Roman" w:hAnsi="Times New Roman" w:cs="Times New Roman"/>
          <w:b/>
          <w:noProof/>
          <w:color w:val="4F81BD" w:themeColor="accent1"/>
          <w:sz w:val="28"/>
          <w:szCs w:val="28"/>
          <w:lang w:val="en-US"/>
        </w:rPr>
        <w:t>Stage 7- Arrears</w:t>
      </w:r>
    </w:p>
    <w:p w14:paraId="10C560D9" w14:textId="32EDC909" w:rsidR="00E8372F" w:rsidRPr="009326D3" w:rsidRDefault="00E8372F" w:rsidP="00E8372F">
      <w:pPr>
        <w:spacing w:after="0" w:line="240" w:lineRule="auto"/>
        <w:rPr>
          <w:rFonts w:ascii="Times New Roman" w:hAnsi="Times New Roman" w:cs="Times New Roman"/>
          <w:sz w:val="24"/>
          <w:szCs w:val="24"/>
        </w:rPr>
      </w:pPr>
      <w:r w:rsidRPr="009326D3">
        <w:rPr>
          <w:rFonts w:ascii="Times New Roman" w:hAnsi="Times New Roman" w:cs="Times New Roman"/>
          <w:sz w:val="24"/>
          <w:szCs w:val="24"/>
        </w:rPr>
        <w:t xml:space="preserve">This stage comprises nine questions. </w:t>
      </w:r>
    </w:p>
    <w:p w14:paraId="650AD3E2" w14:textId="59BBD910" w:rsidR="003E3C1A" w:rsidRPr="009326D3" w:rsidRDefault="003E3C1A" w:rsidP="00EA44EE">
      <w:pPr>
        <w:pStyle w:val="ListParagraph"/>
        <w:spacing w:after="0" w:line="240" w:lineRule="auto"/>
        <w:ind w:left="1440"/>
        <w:rPr>
          <w:rFonts w:ascii="Times New Roman" w:hAnsi="Times New Roman" w:cs="Times New Roman"/>
          <w:noProof/>
          <w:sz w:val="24"/>
          <w:szCs w:val="24"/>
          <w:lang w:val="en-US"/>
        </w:rPr>
      </w:pPr>
    </w:p>
    <w:p w14:paraId="35E7982A" w14:textId="77777777" w:rsidR="00E8372F" w:rsidRPr="009326D3" w:rsidRDefault="00E8372F" w:rsidP="00EA44EE">
      <w:pPr>
        <w:pStyle w:val="ListParagraph"/>
        <w:spacing w:after="0" w:line="240" w:lineRule="auto"/>
        <w:ind w:left="1440"/>
        <w:rPr>
          <w:rFonts w:ascii="Times New Roman" w:hAnsi="Times New Roman" w:cs="Times New Roman"/>
          <w:noProof/>
          <w:sz w:val="24"/>
          <w:szCs w:val="24"/>
          <w:lang w:val="en-US"/>
        </w:rPr>
      </w:pPr>
    </w:p>
    <w:p w14:paraId="4204C06F" w14:textId="2C8F1B20" w:rsidR="00E8372F" w:rsidRPr="009326D3" w:rsidRDefault="00DD47C2" w:rsidP="00F06D3A">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Q31</w:t>
      </w:r>
      <w:r w:rsidR="00E8372F" w:rsidRPr="009326D3">
        <w:rPr>
          <w:rFonts w:ascii="Times New Roman" w:hAnsi="Times New Roman" w:cs="Times New Roman"/>
          <w:b/>
          <w:i/>
          <w:noProof/>
          <w:sz w:val="24"/>
          <w:szCs w:val="24"/>
          <w:lang w:val="en-US"/>
        </w:rPr>
        <w:t>. Does your country define budgetary expenditure arre</w:t>
      </w:r>
      <w:r w:rsidR="00F06D3A" w:rsidRPr="009326D3">
        <w:rPr>
          <w:rFonts w:ascii="Times New Roman" w:hAnsi="Times New Roman" w:cs="Times New Roman"/>
          <w:b/>
          <w:i/>
          <w:noProof/>
          <w:sz w:val="24"/>
          <w:szCs w:val="24"/>
          <w:lang w:val="en-US"/>
        </w:rPr>
        <w:t>ars?</w:t>
      </w:r>
    </w:p>
    <w:p w14:paraId="3EF56FF5" w14:textId="5F6599B2" w:rsidR="00E8372F" w:rsidRPr="009326D3" w:rsidRDefault="00DD47C2" w:rsidP="00F06D3A">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Q32</w:t>
      </w:r>
      <w:r w:rsidR="00E8372F" w:rsidRPr="009326D3">
        <w:rPr>
          <w:rFonts w:ascii="Times New Roman" w:hAnsi="Times New Roman" w:cs="Times New Roman"/>
          <w:b/>
          <w:i/>
          <w:noProof/>
          <w:sz w:val="24"/>
          <w:szCs w:val="24"/>
          <w:lang w:val="en-US"/>
        </w:rPr>
        <w:t xml:space="preserve">. Where </w:t>
      </w:r>
      <w:r w:rsidR="004E62D2">
        <w:rPr>
          <w:rFonts w:ascii="Times New Roman" w:hAnsi="Times New Roman" w:cs="Times New Roman"/>
          <w:b/>
          <w:i/>
          <w:noProof/>
          <w:sz w:val="24"/>
          <w:szCs w:val="24"/>
          <w:lang w:val="en-US"/>
        </w:rPr>
        <w:t>is the concept of</w:t>
      </w:r>
      <w:r w:rsidR="00E8372F" w:rsidRPr="009326D3">
        <w:rPr>
          <w:rFonts w:ascii="Times New Roman" w:hAnsi="Times New Roman" w:cs="Times New Roman"/>
          <w:b/>
          <w:i/>
          <w:noProof/>
          <w:sz w:val="24"/>
          <w:szCs w:val="24"/>
          <w:lang w:val="en-US"/>
        </w:rPr>
        <w:t xml:space="preserve"> arrears defined in your Public Financial Management Process? </w:t>
      </w:r>
    </w:p>
    <w:p w14:paraId="4ADC5FA4" w14:textId="57C62B63" w:rsidR="00E8372F" w:rsidRPr="009326D3" w:rsidRDefault="00DD47C2" w:rsidP="00F06D3A">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Q33</w:t>
      </w:r>
      <w:r w:rsidR="00E8372F" w:rsidRPr="009326D3">
        <w:rPr>
          <w:rFonts w:ascii="Times New Roman" w:hAnsi="Times New Roman" w:cs="Times New Roman"/>
          <w:b/>
          <w:i/>
          <w:noProof/>
          <w:sz w:val="24"/>
          <w:szCs w:val="24"/>
          <w:lang w:val="en-US"/>
        </w:rPr>
        <w:t>. Does this definition closely align with the defin</w:t>
      </w:r>
      <w:r w:rsidR="004E62D2">
        <w:rPr>
          <w:rFonts w:ascii="Times New Roman" w:hAnsi="Times New Roman" w:cs="Times New Roman"/>
          <w:b/>
          <w:i/>
          <w:noProof/>
          <w:sz w:val="24"/>
          <w:szCs w:val="24"/>
          <w:lang w:val="en-US"/>
        </w:rPr>
        <w:t>i</w:t>
      </w:r>
      <w:r w:rsidR="00E8372F" w:rsidRPr="009326D3">
        <w:rPr>
          <w:rFonts w:ascii="Times New Roman" w:hAnsi="Times New Roman" w:cs="Times New Roman"/>
          <w:b/>
          <w:i/>
          <w:noProof/>
          <w:sz w:val="24"/>
          <w:szCs w:val="24"/>
          <w:lang w:val="en-US"/>
        </w:rPr>
        <w:t>tion reflected in stage 7 above? Y/N</w:t>
      </w:r>
    </w:p>
    <w:p w14:paraId="053F0573" w14:textId="1AABF8FA" w:rsidR="00E8372F" w:rsidRPr="009326D3" w:rsidRDefault="00DD47C2" w:rsidP="00F06D3A">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Q34</w:t>
      </w:r>
      <w:r w:rsidR="00E8372F" w:rsidRPr="009326D3">
        <w:rPr>
          <w:rFonts w:ascii="Times New Roman" w:hAnsi="Times New Roman" w:cs="Times New Roman"/>
          <w:b/>
          <w:i/>
          <w:noProof/>
          <w:sz w:val="24"/>
          <w:szCs w:val="24"/>
          <w:lang w:val="en-US"/>
        </w:rPr>
        <w:t>. If no, what are the key differences</w:t>
      </w:r>
      <w:r w:rsidR="00F06D3A" w:rsidRPr="009326D3">
        <w:rPr>
          <w:rFonts w:ascii="Times New Roman" w:hAnsi="Times New Roman" w:cs="Times New Roman"/>
          <w:b/>
          <w:i/>
          <w:noProof/>
          <w:sz w:val="24"/>
          <w:szCs w:val="24"/>
          <w:lang w:val="en-US"/>
        </w:rPr>
        <w:t xml:space="preserve"> in your country’s definition?</w:t>
      </w:r>
    </w:p>
    <w:p w14:paraId="5DC0C38C" w14:textId="6173E3B2" w:rsidR="00E8372F" w:rsidRPr="009326D3" w:rsidRDefault="00DD47C2" w:rsidP="00E8372F">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Q35</w:t>
      </w:r>
      <w:r w:rsidR="00E8372F" w:rsidRPr="009326D3">
        <w:rPr>
          <w:rFonts w:ascii="Times New Roman" w:hAnsi="Times New Roman" w:cs="Times New Roman"/>
          <w:b/>
          <w:i/>
          <w:noProof/>
          <w:sz w:val="24"/>
          <w:szCs w:val="24"/>
          <w:lang w:val="en-US"/>
        </w:rPr>
        <w:t>. Does your country report arrears (please indicate all of the options that apply in your country):</w:t>
      </w:r>
    </w:p>
    <w:p w14:paraId="7645BA5A" w14:textId="77777777" w:rsidR="00E8372F" w:rsidRPr="009326D3" w:rsidRDefault="00E8372F" w:rsidP="00E8372F">
      <w:pPr>
        <w:pStyle w:val="ListParagraph"/>
        <w:ind w:left="1440"/>
        <w:rPr>
          <w:rFonts w:ascii="Times New Roman" w:hAnsi="Times New Roman" w:cs="Times New Roman"/>
          <w:noProof/>
          <w:sz w:val="24"/>
          <w:szCs w:val="24"/>
          <w:lang w:val="en-US"/>
        </w:rPr>
      </w:pPr>
    </w:p>
    <w:p w14:paraId="3140BB47" w14:textId="4A7A7B6B" w:rsidR="000811AC" w:rsidRPr="009326D3" w:rsidRDefault="00DD47C2" w:rsidP="00F06D3A">
      <w:pPr>
        <w:pStyle w:val="ListParagraph"/>
        <w:ind w:left="0"/>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Figure 14</w:t>
      </w:r>
      <w:r w:rsidR="00F06D3A" w:rsidRPr="009326D3">
        <w:rPr>
          <w:rFonts w:ascii="Times New Roman" w:hAnsi="Times New Roman" w:cs="Times New Roman"/>
          <w:noProof/>
          <w:sz w:val="24"/>
          <w:szCs w:val="24"/>
          <w:lang w:val="en-US"/>
        </w:rPr>
        <w:t xml:space="preserve"> summarizes key responses regarding the definition of arrears and reporting from twelve respondent countries. Nine countries indicate that they have a definition of budget arrears, with three not defining arrears. Of the nine</w:t>
      </w:r>
      <w:r w:rsidR="007779D2" w:rsidRPr="009326D3">
        <w:rPr>
          <w:rFonts w:ascii="Times New Roman" w:hAnsi="Times New Roman" w:cs="Times New Roman"/>
          <w:noProof/>
          <w:sz w:val="24"/>
          <w:szCs w:val="24"/>
          <w:lang w:val="en-US"/>
        </w:rPr>
        <w:t>,</w:t>
      </w:r>
      <w:r w:rsidR="00F06D3A" w:rsidRPr="009326D3">
        <w:rPr>
          <w:rFonts w:ascii="Times New Roman" w:hAnsi="Times New Roman" w:cs="Times New Roman"/>
          <w:noProof/>
          <w:sz w:val="24"/>
          <w:szCs w:val="24"/>
          <w:lang w:val="en-US"/>
        </w:rPr>
        <w:t xml:space="preserve"> four define this in the General PFM Law, with three of the four also defining it in subordinate legislative instruments. A further five countries also indicated that arrears are defined in other legsislative instrumen</w:t>
      </w:r>
      <w:r w:rsidR="007779D2" w:rsidRPr="009326D3">
        <w:rPr>
          <w:rFonts w:ascii="Times New Roman" w:hAnsi="Times New Roman" w:cs="Times New Roman"/>
          <w:noProof/>
          <w:sz w:val="24"/>
          <w:szCs w:val="24"/>
          <w:lang w:val="en-US"/>
        </w:rPr>
        <w:t>t</w:t>
      </w:r>
      <w:r w:rsidR="00F06D3A" w:rsidRPr="009326D3">
        <w:rPr>
          <w:rFonts w:ascii="Times New Roman" w:hAnsi="Times New Roman" w:cs="Times New Roman"/>
          <w:noProof/>
          <w:sz w:val="24"/>
          <w:szCs w:val="24"/>
          <w:lang w:val="en-US"/>
        </w:rPr>
        <w:t>s such as rules and instructions.</w:t>
      </w:r>
      <w:r w:rsidR="000811AC" w:rsidRPr="009326D3">
        <w:rPr>
          <w:rFonts w:ascii="Times New Roman" w:hAnsi="Times New Roman" w:cs="Times New Roman"/>
          <w:noProof/>
          <w:sz w:val="24"/>
          <w:szCs w:val="24"/>
          <w:lang w:val="en-US"/>
        </w:rPr>
        <w:t xml:space="preserve"> </w:t>
      </w:r>
    </w:p>
    <w:p w14:paraId="6A53F210" w14:textId="77777777" w:rsidR="000811AC" w:rsidRPr="009326D3" w:rsidRDefault="000811AC" w:rsidP="00F06D3A">
      <w:pPr>
        <w:pStyle w:val="ListParagraph"/>
        <w:ind w:left="0"/>
        <w:rPr>
          <w:rFonts w:ascii="Times New Roman" w:hAnsi="Times New Roman" w:cs="Times New Roman"/>
          <w:noProof/>
          <w:sz w:val="24"/>
          <w:szCs w:val="24"/>
          <w:lang w:val="en-US"/>
        </w:rPr>
      </w:pPr>
    </w:p>
    <w:p w14:paraId="0856CCB5" w14:textId="53E912C6" w:rsidR="00F06D3A" w:rsidRPr="009326D3" w:rsidRDefault="00DD47C2" w:rsidP="00F06D3A">
      <w:pPr>
        <w:pStyle w:val="ListParagraph"/>
        <w:ind w:left="0"/>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 xml:space="preserve">Seven </w:t>
      </w:r>
      <w:r w:rsidR="000811AC" w:rsidRPr="009326D3">
        <w:rPr>
          <w:rFonts w:ascii="Times New Roman" w:hAnsi="Times New Roman" w:cs="Times New Roman"/>
          <w:noProof/>
          <w:sz w:val="24"/>
          <w:szCs w:val="24"/>
          <w:lang w:val="en-US"/>
        </w:rPr>
        <w:t>of the nine countries indicate that the definiton of arrears closely aligns with that used in the questionnaire</w:t>
      </w:r>
      <w:r w:rsidR="007779D2" w:rsidRPr="009326D3">
        <w:rPr>
          <w:rFonts w:ascii="Times New Roman" w:hAnsi="Times New Roman" w:cs="Times New Roman"/>
          <w:noProof/>
          <w:sz w:val="24"/>
          <w:szCs w:val="24"/>
          <w:lang w:val="en-US"/>
        </w:rPr>
        <w:t>.</w:t>
      </w:r>
      <w:r w:rsidR="000811AC" w:rsidRPr="009326D3">
        <w:rPr>
          <w:rFonts w:ascii="Times New Roman" w:hAnsi="Times New Roman" w:cs="Times New Roman"/>
          <w:noProof/>
          <w:sz w:val="24"/>
          <w:szCs w:val="24"/>
          <w:lang w:val="en-US"/>
        </w:rPr>
        <w:t xml:space="preserve"> Russia </w:t>
      </w:r>
      <w:r w:rsidR="007779D2" w:rsidRPr="009326D3">
        <w:rPr>
          <w:rFonts w:ascii="Times New Roman" w:hAnsi="Times New Roman" w:cs="Times New Roman"/>
          <w:noProof/>
          <w:sz w:val="24"/>
          <w:szCs w:val="24"/>
          <w:lang w:val="en-US"/>
        </w:rPr>
        <w:t>indicated it diverged from the defin</w:t>
      </w:r>
      <w:r w:rsidR="009B51FD">
        <w:rPr>
          <w:rFonts w:ascii="Times New Roman" w:hAnsi="Times New Roman" w:cs="Times New Roman"/>
          <w:noProof/>
          <w:sz w:val="24"/>
          <w:szCs w:val="24"/>
          <w:lang w:val="en-US"/>
        </w:rPr>
        <w:t>i</w:t>
      </w:r>
      <w:r w:rsidR="007779D2" w:rsidRPr="009326D3">
        <w:rPr>
          <w:rFonts w:ascii="Times New Roman" w:hAnsi="Times New Roman" w:cs="Times New Roman"/>
          <w:noProof/>
          <w:sz w:val="24"/>
          <w:szCs w:val="24"/>
          <w:lang w:val="en-US"/>
        </w:rPr>
        <w:t>tion but explained this was in relation to terminology rather</w:t>
      </w:r>
      <w:r w:rsidR="000811AC" w:rsidRPr="009326D3">
        <w:rPr>
          <w:rFonts w:ascii="Times New Roman" w:hAnsi="Times New Roman" w:cs="Times New Roman"/>
          <w:noProof/>
          <w:sz w:val="24"/>
          <w:szCs w:val="24"/>
          <w:lang w:val="en-US"/>
        </w:rPr>
        <w:t xml:space="preserve"> </w:t>
      </w:r>
      <w:r w:rsidR="007779D2" w:rsidRPr="009326D3">
        <w:rPr>
          <w:rFonts w:ascii="Times New Roman" w:hAnsi="Times New Roman" w:cs="Times New Roman"/>
          <w:noProof/>
          <w:sz w:val="24"/>
          <w:szCs w:val="24"/>
          <w:lang w:val="en-US"/>
        </w:rPr>
        <w:t xml:space="preserve">than the </w:t>
      </w:r>
      <w:r w:rsidR="000811AC" w:rsidRPr="009326D3">
        <w:rPr>
          <w:rFonts w:ascii="Times New Roman" w:hAnsi="Times New Roman" w:cs="Times New Roman"/>
          <w:noProof/>
          <w:sz w:val="24"/>
          <w:szCs w:val="24"/>
          <w:lang w:val="en-US"/>
        </w:rPr>
        <w:t xml:space="preserve">concepts </w:t>
      </w:r>
      <w:r w:rsidR="007779D2" w:rsidRPr="009326D3">
        <w:rPr>
          <w:rFonts w:ascii="Times New Roman" w:hAnsi="Times New Roman" w:cs="Times New Roman"/>
          <w:noProof/>
          <w:sz w:val="24"/>
          <w:szCs w:val="24"/>
          <w:lang w:val="en-US"/>
        </w:rPr>
        <w:t>which are the same</w:t>
      </w:r>
      <w:r w:rsidR="000811AC" w:rsidRPr="009326D3">
        <w:rPr>
          <w:rFonts w:ascii="Times New Roman" w:hAnsi="Times New Roman" w:cs="Times New Roman"/>
          <w:noProof/>
          <w:sz w:val="24"/>
          <w:szCs w:val="24"/>
          <w:lang w:val="en-US"/>
        </w:rPr>
        <w:t>. Figure 13 has therefore been adjust</w:t>
      </w:r>
      <w:r w:rsidR="009B51FD">
        <w:rPr>
          <w:rFonts w:ascii="Times New Roman" w:hAnsi="Times New Roman" w:cs="Times New Roman"/>
          <w:noProof/>
          <w:sz w:val="24"/>
          <w:szCs w:val="24"/>
          <w:lang w:val="en-US"/>
        </w:rPr>
        <w:t>ed</w:t>
      </w:r>
      <w:r w:rsidR="000811AC" w:rsidRPr="009326D3">
        <w:rPr>
          <w:rFonts w:ascii="Times New Roman" w:hAnsi="Times New Roman" w:cs="Times New Roman"/>
          <w:noProof/>
          <w:sz w:val="24"/>
          <w:szCs w:val="24"/>
          <w:lang w:val="en-US"/>
        </w:rPr>
        <w:t xml:space="preserve"> to reflect that eight countries have similar definitions. Georgia defines arrears as payments which are delayed until the following fiscal year. This departs from the </w:t>
      </w:r>
      <w:r w:rsidR="007779D2" w:rsidRPr="009326D3">
        <w:rPr>
          <w:rFonts w:ascii="Times New Roman" w:hAnsi="Times New Roman" w:cs="Times New Roman"/>
          <w:noProof/>
          <w:sz w:val="24"/>
          <w:szCs w:val="24"/>
          <w:lang w:val="en-US"/>
        </w:rPr>
        <w:t>questionnaire definition</w:t>
      </w:r>
      <w:r w:rsidR="000811AC" w:rsidRPr="009326D3">
        <w:rPr>
          <w:rFonts w:ascii="Times New Roman" w:hAnsi="Times New Roman" w:cs="Times New Roman"/>
          <w:noProof/>
          <w:sz w:val="24"/>
          <w:szCs w:val="24"/>
          <w:lang w:val="en-US"/>
        </w:rPr>
        <w:t xml:space="preserve"> which focuses on the fact that a payment is overdue in relation to its due date </w:t>
      </w:r>
      <w:r w:rsidR="007779D2" w:rsidRPr="009326D3">
        <w:rPr>
          <w:rFonts w:ascii="Times New Roman" w:hAnsi="Times New Roman" w:cs="Times New Roman"/>
          <w:noProof/>
          <w:sz w:val="24"/>
          <w:szCs w:val="24"/>
          <w:lang w:val="en-US"/>
        </w:rPr>
        <w:t xml:space="preserve">which is </w:t>
      </w:r>
      <w:r w:rsidR="000811AC" w:rsidRPr="009326D3">
        <w:rPr>
          <w:rFonts w:ascii="Times New Roman" w:hAnsi="Times New Roman" w:cs="Times New Roman"/>
          <w:noProof/>
          <w:sz w:val="24"/>
          <w:szCs w:val="24"/>
          <w:lang w:val="en-US"/>
        </w:rPr>
        <w:t xml:space="preserve">generally defined </w:t>
      </w:r>
      <w:r w:rsidR="007779D2" w:rsidRPr="009326D3">
        <w:rPr>
          <w:rFonts w:ascii="Times New Roman" w:hAnsi="Times New Roman" w:cs="Times New Roman"/>
          <w:noProof/>
          <w:sz w:val="24"/>
          <w:szCs w:val="24"/>
          <w:lang w:val="en-US"/>
        </w:rPr>
        <w:t>using</w:t>
      </w:r>
      <w:r w:rsidR="000811AC" w:rsidRPr="009326D3">
        <w:rPr>
          <w:rFonts w:ascii="Times New Roman" w:hAnsi="Times New Roman" w:cs="Times New Roman"/>
          <w:noProof/>
          <w:sz w:val="24"/>
          <w:szCs w:val="24"/>
          <w:lang w:val="en-US"/>
        </w:rPr>
        <w:t xml:space="preserve"> the standard “terms of trade”.  The Georgian definition would </w:t>
      </w:r>
      <w:r w:rsidR="007779D2" w:rsidRPr="009326D3">
        <w:rPr>
          <w:rFonts w:ascii="Times New Roman" w:hAnsi="Times New Roman" w:cs="Times New Roman"/>
          <w:noProof/>
          <w:sz w:val="24"/>
          <w:szCs w:val="24"/>
          <w:lang w:val="en-US"/>
        </w:rPr>
        <w:t>result in a</w:t>
      </w:r>
      <w:r w:rsidR="000811AC" w:rsidRPr="009326D3">
        <w:rPr>
          <w:rFonts w:ascii="Times New Roman" w:hAnsi="Times New Roman" w:cs="Times New Roman"/>
          <w:noProof/>
          <w:sz w:val="24"/>
          <w:szCs w:val="24"/>
          <w:lang w:val="en-US"/>
        </w:rPr>
        <w:t xml:space="preserve"> payment due early in the year and not paid </w:t>
      </w:r>
      <w:r w:rsidR="007779D2" w:rsidRPr="009326D3">
        <w:rPr>
          <w:rFonts w:ascii="Times New Roman" w:hAnsi="Times New Roman" w:cs="Times New Roman"/>
          <w:noProof/>
          <w:sz w:val="24"/>
          <w:szCs w:val="24"/>
          <w:lang w:val="en-US"/>
        </w:rPr>
        <w:t>until late</w:t>
      </w:r>
      <w:r w:rsidR="000811AC" w:rsidRPr="009326D3">
        <w:rPr>
          <w:rFonts w:ascii="Times New Roman" w:hAnsi="Times New Roman" w:cs="Times New Roman"/>
          <w:noProof/>
          <w:sz w:val="24"/>
          <w:szCs w:val="24"/>
          <w:lang w:val="en-US"/>
        </w:rPr>
        <w:t xml:space="preserve"> in the year as not an arrear, while a</w:t>
      </w:r>
      <w:r w:rsidR="007779D2" w:rsidRPr="009326D3">
        <w:rPr>
          <w:rFonts w:ascii="Times New Roman" w:hAnsi="Times New Roman" w:cs="Times New Roman"/>
          <w:noProof/>
          <w:sz w:val="24"/>
          <w:szCs w:val="24"/>
          <w:lang w:val="en-US"/>
        </w:rPr>
        <w:t>t the same time</w:t>
      </w:r>
      <w:r w:rsidR="000811AC" w:rsidRPr="009326D3">
        <w:rPr>
          <w:rFonts w:ascii="Times New Roman" w:hAnsi="Times New Roman" w:cs="Times New Roman"/>
          <w:noProof/>
          <w:sz w:val="24"/>
          <w:szCs w:val="24"/>
          <w:lang w:val="en-US"/>
        </w:rPr>
        <w:t xml:space="preserve"> </w:t>
      </w:r>
      <w:r w:rsidR="007779D2" w:rsidRPr="009326D3">
        <w:rPr>
          <w:rFonts w:ascii="Times New Roman" w:hAnsi="Times New Roman" w:cs="Times New Roman"/>
          <w:noProof/>
          <w:sz w:val="24"/>
          <w:szCs w:val="24"/>
          <w:lang w:val="en-US"/>
        </w:rPr>
        <w:t xml:space="preserve">any </w:t>
      </w:r>
      <w:r w:rsidR="000811AC" w:rsidRPr="009326D3">
        <w:rPr>
          <w:rFonts w:ascii="Times New Roman" w:hAnsi="Times New Roman" w:cs="Times New Roman"/>
          <w:noProof/>
          <w:sz w:val="24"/>
          <w:szCs w:val="24"/>
          <w:lang w:val="en-US"/>
        </w:rPr>
        <w:t xml:space="preserve">payment due </w:t>
      </w:r>
      <w:r w:rsidR="007779D2" w:rsidRPr="009326D3">
        <w:rPr>
          <w:rFonts w:ascii="Times New Roman" w:hAnsi="Times New Roman" w:cs="Times New Roman"/>
          <w:noProof/>
          <w:sz w:val="24"/>
          <w:szCs w:val="24"/>
          <w:lang w:val="en-US"/>
        </w:rPr>
        <w:t xml:space="preserve">to be paid </w:t>
      </w:r>
      <w:r w:rsidR="000811AC" w:rsidRPr="009326D3">
        <w:rPr>
          <w:rFonts w:ascii="Times New Roman" w:hAnsi="Times New Roman" w:cs="Times New Roman"/>
          <w:noProof/>
          <w:sz w:val="24"/>
          <w:szCs w:val="24"/>
          <w:lang w:val="en-US"/>
        </w:rPr>
        <w:t>in January but recognised in Dec</w:t>
      </w:r>
      <w:r w:rsidR="008438D4" w:rsidRPr="009326D3">
        <w:rPr>
          <w:rFonts w:ascii="Times New Roman" w:hAnsi="Times New Roman" w:cs="Times New Roman"/>
          <w:noProof/>
          <w:sz w:val="24"/>
          <w:szCs w:val="24"/>
          <w:lang w:val="en-US"/>
        </w:rPr>
        <w:t>em</w:t>
      </w:r>
      <w:r w:rsidR="000811AC" w:rsidRPr="009326D3">
        <w:rPr>
          <w:rFonts w:ascii="Times New Roman" w:hAnsi="Times New Roman" w:cs="Times New Roman"/>
          <w:noProof/>
          <w:sz w:val="24"/>
          <w:szCs w:val="24"/>
          <w:lang w:val="en-US"/>
        </w:rPr>
        <w:t xml:space="preserve">ber </w:t>
      </w:r>
      <w:r w:rsidR="004E62D2">
        <w:rPr>
          <w:rFonts w:ascii="Times New Roman" w:hAnsi="Times New Roman" w:cs="Times New Roman"/>
          <w:noProof/>
          <w:sz w:val="24"/>
          <w:szCs w:val="24"/>
          <w:lang w:val="en-US"/>
        </w:rPr>
        <w:t xml:space="preserve">could </w:t>
      </w:r>
      <w:r w:rsidR="000811AC" w:rsidRPr="009326D3">
        <w:rPr>
          <w:rFonts w:ascii="Times New Roman" w:hAnsi="Times New Roman" w:cs="Times New Roman"/>
          <w:noProof/>
          <w:sz w:val="24"/>
          <w:szCs w:val="24"/>
          <w:lang w:val="en-US"/>
        </w:rPr>
        <w:t xml:space="preserve">be classified as an arrear. </w:t>
      </w:r>
      <w:r w:rsidR="004E62D2">
        <w:rPr>
          <w:rFonts w:ascii="Times New Roman" w:hAnsi="Times New Roman" w:cs="Times New Roman"/>
          <w:noProof/>
          <w:sz w:val="24"/>
          <w:szCs w:val="24"/>
          <w:lang w:val="en-US"/>
        </w:rPr>
        <w:t>This would provide a very different basis fo</w:t>
      </w:r>
      <w:r w:rsidR="004910B4">
        <w:rPr>
          <w:rFonts w:ascii="Times New Roman" w:hAnsi="Times New Roman" w:cs="Times New Roman"/>
          <w:noProof/>
          <w:sz w:val="24"/>
          <w:szCs w:val="24"/>
          <w:lang w:val="en-US"/>
        </w:rPr>
        <w:t>r</w:t>
      </w:r>
      <w:r w:rsidR="004E62D2">
        <w:rPr>
          <w:rFonts w:ascii="Times New Roman" w:hAnsi="Times New Roman" w:cs="Times New Roman"/>
          <w:noProof/>
          <w:sz w:val="24"/>
          <w:szCs w:val="24"/>
          <w:lang w:val="en-US"/>
        </w:rPr>
        <w:t xml:space="preserve"> reporting than proposed in the questionnaire example.</w:t>
      </w:r>
    </w:p>
    <w:p w14:paraId="51A030FE" w14:textId="77777777" w:rsidR="000811AC" w:rsidRPr="009326D3" w:rsidRDefault="000811AC" w:rsidP="00F06D3A">
      <w:pPr>
        <w:pStyle w:val="ListParagraph"/>
        <w:ind w:left="0"/>
        <w:rPr>
          <w:rFonts w:ascii="Times New Roman" w:hAnsi="Times New Roman" w:cs="Times New Roman"/>
          <w:noProof/>
          <w:sz w:val="24"/>
          <w:szCs w:val="24"/>
          <w:lang w:val="en-US"/>
        </w:rPr>
      </w:pPr>
    </w:p>
    <w:p w14:paraId="32040A29" w14:textId="79AE44D7" w:rsidR="008438D4" w:rsidRPr="009326D3" w:rsidRDefault="003918CE" w:rsidP="00F06D3A">
      <w:pPr>
        <w:pStyle w:val="ListParagraph"/>
        <w:ind w:left="0"/>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 xml:space="preserve">Seven </w:t>
      </w:r>
      <w:r w:rsidR="008438D4" w:rsidRPr="009326D3">
        <w:rPr>
          <w:rFonts w:ascii="Times New Roman" w:hAnsi="Times New Roman" w:cs="Times New Roman"/>
          <w:noProof/>
          <w:sz w:val="24"/>
          <w:szCs w:val="24"/>
          <w:lang w:val="en-US"/>
        </w:rPr>
        <w:t>of the nine countries that recognize arrears a</w:t>
      </w:r>
      <w:r w:rsidR="007779D2" w:rsidRPr="009326D3">
        <w:rPr>
          <w:rFonts w:ascii="Times New Roman" w:hAnsi="Times New Roman" w:cs="Times New Roman"/>
          <w:noProof/>
          <w:sz w:val="24"/>
          <w:szCs w:val="24"/>
          <w:lang w:val="en-US"/>
        </w:rPr>
        <w:t>l</w:t>
      </w:r>
      <w:r w:rsidR="008438D4" w:rsidRPr="009326D3">
        <w:rPr>
          <w:rFonts w:ascii="Times New Roman" w:hAnsi="Times New Roman" w:cs="Times New Roman"/>
          <w:noProof/>
          <w:sz w:val="24"/>
          <w:szCs w:val="24"/>
          <w:lang w:val="en-US"/>
        </w:rPr>
        <w:t xml:space="preserve">so report arrears. </w:t>
      </w:r>
      <w:r w:rsidRPr="009326D3">
        <w:rPr>
          <w:rFonts w:ascii="Times New Roman" w:hAnsi="Times New Roman" w:cs="Times New Roman"/>
          <w:noProof/>
          <w:sz w:val="24"/>
          <w:szCs w:val="24"/>
          <w:lang w:val="en-US"/>
        </w:rPr>
        <w:t>Turkey also reports arrears but indicated that it has no formal definition of an arrear. Both Georgia and Macedonia define arrears but indicated that they do not report arrears.</w:t>
      </w:r>
      <w:r w:rsidRPr="009326D3">
        <w:rPr>
          <w:rStyle w:val="FootnoteReference"/>
          <w:rFonts w:ascii="Times New Roman" w:hAnsi="Times New Roman" w:cs="Times New Roman"/>
          <w:noProof/>
          <w:sz w:val="24"/>
          <w:szCs w:val="24"/>
          <w:lang w:val="en-US"/>
        </w:rPr>
        <w:footnoteReference w:id="15"/>
      </w:r>
      <w:r w:rsidR="008438D4" w:rsidRPr="009326D3">
        <w:rPr>
          <w:rFonts w:ascii="Times New Roman" w:hAnsi="Times New Roman" w:cs="Times New Roman"/>
          <w:noProof/>
          <w:sz w:val="24"/>
          <w:szCs w:val="24"/>
          <w:lang w:val="en-US"/>
        </w:rPr>
        <w:t xml:space="preserve"> </w:t>
      </w:r>
      <w:r w:rsidRPr="009326D3">
        <w:rPr>
          <w:rFonts w:ascii="Times New Roman" w:hAnsi="Times New Roman" w:cs="Times New Roman"/>
          <w:noProof/>
          <w:sz w:val="24"/>
          <w:szCs w:val="24"/>
          <w:lang w:val="en-US"/>
        </w:rPr>
        <w:t>Five countries report arrears in the financial statements as accounts payable, with just Kazakhstan also reporting these in the notes to the financial statements</w:t>
      </w:r>
      <w:r w:rsidR="004E62D2">
        <w:rPr>
          <w:rFonts w:ascii="Times New Roman" w:hAnsi="Times New Roman" w:cs="Times New Roman"/>
          <w:noProof/>
          <w:sz w:val="24"/>
          <w:szCs w:val="24"/>
          <w:lang w:val="en-US"/>
        </w:rPr>
        <w:t xml:space="preserve"> (typically arrears would be recorded under liabilities, with a table aging the arrears included in the notes)</w:t>
      </w:r>
      <w:r w:rsidRPr="009326D3">
        <w:rPr>
          <w:rFonts w:ascii="Times New Roman" w:hAnsi="Times New Roman" w:cs="Times New Roman"/>
          <w:noProof/>
          <w:sz w:val="24"/>
          <w:szCs w:val="24"/>
          <w:lang w:val="en-US"/>
        </w:rPr>
        <w:t>. Indeed Kazakhstan also reports</w:t>
      </w:r>
      <w:r w:rsidR="007779D2" w:rsidRPr="009326D3">
        <w:rPr>
          <w:rFonts w:ascii="Times New Roman" w:hAnsi="Times New Roman" w:cs="Times New Roman"/>
          <w:noProof/>
          <w:sz w:val="24"/>
          <w:szCs w:val="24"/>
          <w:lang w:val="en-US"/>
        </w:rPr>
        <w:t xml:space="preserve"> arrears monthly and quarterly and therefore has the most comprehensive approach to arrears reporting of any country. </w:t>
      </w:r>
      <w:r w:rsidRPr="009326D3">
        <w:rPr>
          <w:rFonts w:ascii="Times New Roman" w:hAnsi="Times New Roman" w:cs="Times New Roman"/>
          <w:noProof/>
          <w:sz w:val="24"/>
          <w:szCs w:val="24"/>
          <w:lang w:val="en-US"/>
        </w:rPr>
        <w:t xml:space="preserve">Turkey also provides monthly and quarterly reports but does not report arrears in its financial statements. Four </w:t>
      </w:r>
      <w:r w:rsidR="007779D2" w:rsidRPr="009326D3">
        <w:rPr>
          <w:rFonts w:ascii="Times New Roman" w:hAnsi="Times New Roman" w:cs="Times New Roman"/>
          <w:noProof/>
          <w:sz w:val="24"/>
          <w:szCs w:val="24"/>
          <w:lang w:val="en-US"/>
        </w:rPr>
        <w:t>other countries also submit in-y</w:t>
      </w:r>
      <w:r w:rsidRPr="009326D3">
        <w:rPr>
          <w:rFonts w:ascii="Times New Roman" w:hAnsi="Times New Roman" w:cs="Times New Roman"/>
          <w:noProof/>
          <w:sz w:val="24"/>
          <w:szCs w:val="24"/>
          <w:lang w:val="en-US"/>
        </w:rPr>
        <w:t xml:space="preserve">ear reports, two reporting monthly and two quarterly. </w:t>
      </w:r>
    </w:p>
    <w:p w14:paraId="60B7DAEE" w14:textId="77777777" w:rsidR="00F06D3A" w:rsidRPr="009326D3" w:rsidRDefault="00F06D3A" w:rsidP="00E8372F">
      <w:pPr>
        <w:pStyle w:val="ListParagraph"/>
        <w:ind w:left="1440"/>
        <w:rPr>
          <w:rFonts w:ascii="Times New Roman" w:hAnsi="Times New Roman" w:cs="Times New Roman"/>
          <w:noProof/>
          <w:sz w:val="24"/>
          <w:szCs w:val="24"/>
          <w:lang w:val="en-US"/>
        </w:rPr>
      </w:pPr>
    </w:p>
    <w:p w14:paraId="5E441287" w14:textId="4924B4BA" w:rsidR="00F06D3A" w:rsidRPr="009326D3" w:rsidRDefault="00DD47C2" w:rsidP="00F06D3A">
      <w:pPr>
        <w:pStyle w:val="ListParagraph"/>
        <w:ind w:left="0"/>
        <w:jc w:val="both"/>
        <w:rPr>
          <w:rFonts w:ascii="Times New Roman" w:hAnsi="Times New Roman" w:cs="Times New Roman"/>
          <w:i/>
          <w:noProof/>
          <w:color w:val="4F81BD" w:themeColor="accent1"/>
          <w:sz w:val="24"/>
          <w:szCs w:val="24"/>
          <w:lang w:val="en-US"/>
        </w:rPr>
      </w:pPr>
      <w:r w:rsidRPr="009326D3">
        <w:rPr>
          <w:rFonts w:ascii="Times New Roman" w:hAnsi="Times New Roman" w:cs="Times New Roman"/>
          <w:i/>
          <w:noProof/>
          <w:color w:val="4F81BD" w:themeColor="accent1"/>
          <w:sz w:val="24"/>
          <w:szCs w:val="24"/>
          <w:lang w:val="en-US"/>
        </w:rPr>
        <w:t>Figure 14</w:t>
      </w:r>
      <w:r w:rsidR="00F06D3A" w:rsidRPr="009326D3">
        <w:rPr>
          <w:rFonts w:ascii="Times New Roman" w:hAnsi="Times New Roman" w:cs="Times New Roman"/>
          <w:i/>
          <w:noProof/>
          <w:color w:val="4F81BD" w:themeColor="accent1"/>
          <w:sz w:val="24"/>
          <w:szCs w:val="24"/>
          <w:lang w:val="en-US"/>
        </w:rPr>
        <w:t xml:space="preserve"> – Arrears Management, Definition  and Reporting</w:t>
      </w:r>
    </w:p>
    <w:p w14:paraId="0FABFC26" w14:textId="77777777" w:rsidR="00F06D3A" w:rsidRPr="009326D3" w:rsidRDefault="00F06D3A" w:rsidP="00E8372F">
      <w:pPr>
        <w:pStyle w:val="ListParagraph"/>
        <w:ind w:left="1440"/>
        <w:rPr>
          <w:rFonts w:ascii="Times New Roman" w:hAnsi="Times New Roman" w:cs="Times New Roman"/>
          <w:noProof/>
          <w:sz w:val="24"/>
          <w:szCs w:val="24"/>
          <w:lang w:val="en-US"/>
        </w:rPr>
      </w:pPr>
    </w:p>
    <w:p w14:paraId="6C0B0468" w14:textId="2F35C843" w:rsidR="00E8372F" w:rsidRPr="00191197" w:rsidRDefault="00F06D3A" w:rsidP="007779D2">
      <w:pPr>
        <w:pStyle w:val="ListParagraph"/>
        <w:ind w:left="0"/>
        <w:rPr>
          <w:noProof/>
          <w:lang w:val="en-US"/>
        </w:rPr>
      </w:pPr>
      <w:r>
        <w:rPr>
          <w:noProof/>
          <w:lang w:val="en-US"/>
        </w:rPr>
        <w:lastRenderedPageBreak/>
        <w:drawing>
          <wp:inline distT="0" distB="0" distL="0" distR="0" wp14:anchorId="12C52B60" wp14:editId="3901EAD7">
            <wp:extent cx="4107180" cy="2392680"/>
            <wp:effectExtent l="0" t="0" r="33020" b="2032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DB4F167" w14:textId="5646FFFF" w:rsidR="00E8372F" w:rsidRPr="009326D3" w:rsidRDefault="00DD47C2" w:rsidP="00E8372F">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Q36</w:t>
      </w:r>
      <w:r w:rsidR="00E8372F" w:rsidRPr="009326D3">
        <w:rPr>
          <w:rFonts w:ascii="Times New Roman" w:hAnsi="Times New Roman" w:cs="Times New Roman"/>
          <w:b/>
          <w:i/>
          <w:noProof/>
          <w:sz w:val="24"/>
          <w:szCs w:val="24"/>
          <w:lang w:val="en-US"/>
        </w:rPr>
        <w:t>.  Are suppliers entitled to compensation where payments are delayed? Y/N</w:t>
      </w:r>
    </w:p>
    <w:p w14:paraId="219E04B7" w14:textId="7D969840" w:rsidR="00E8372F" w:rsidRPr="009326D3" w:rsidRDefault="00DD47C2" w:rsidP="00E8372F">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Q37</w:t>
      </w:r>
      <w:r w:rsidR="00E8372F" w:rsidRPr="009326D3">
        <w:rPr>
          <w:rFonts w:ascii="Times New Roman" w:hAnsi="Times New Roman" w:cs="Times New Roman"/>
          <w:b/>
          <w:i/>
          <w:noProof/>
          <w:sz w:val="24"/>
          <w:szCs w:val="24"/>
          <w:lang w:val="en-US"/>
        </w:rPr>
        <w:t>. If yes please specify the way the compensation is determined</w:t>
      </w:r>
    </w:p>
    <w:p w14:paraId="667CC28B" w14:textId="77777777" w:rsidR="008201A3" w:rsidRPr="009326D3" w:rsidRDefault="008201A3" w:rsidP="00E8372F">
      <w:pPr>
        <w:spacing w:after="0" w:line="240" w:lineRule="auto"/>
        <w:rPr>
          <w:rFonts w:ascii="Times New Roman" w:hAnsi="Times New Roman" w:cs="Times New Roman"/>
          <w:b/>
          <w:i/>
          <w:noProof/>
          <w:sz w:val="24"/>
          <w:szCs w:val="24"/>
          <w:lang w:val="en-US"/>
        </w:rPr>
      </w:pPr>
    </w:p>
    <w:p w14:paraId="3B90B4BC" w14:textId="3A27199B" w:rsidR="008201A3" w:rsidRPr="009326D3" w:rsidRDefault="008201A3" w:rsidP="00E8372F">
      <w:pPr>
        <w:spacing w:after="0" w:line="240" w:lineRule="auto"/>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 xml:space="preserve">The responses from the </w:t>
      </w:r>
      <w:r w:rsidR="00DD47C2" w:rsidRPr="009326D3">
        <w:rPr>
          <w:rFonts w:ascii="Times New Roman" w:hAnsi="Times New Roman" w:cs="Times New Roman"/>
          <w:noProof/>
          <w:sz w:val="24"/>
          <w:szCs w:val="24"/>
          <w:lang w:val="en-US"/>
        </w:rPr>
        <w:t>twelve</w:t>
      </w:r>
      <w:r w:rsidRPr="009326D3">
        <w:rPr>
          <w:rFonts w:ascii="Times New Roman" w:hAnsi="Times New Roman" w:cs="Times New Roman"/>
          <w:noProof/>
          <w:sz w:val="24"/>
          <w:szCs w:val="24"/>
          <w:lang w:val="en-US"/>
        </w:rPr>
        <w:t xml:space="preserve"> countries to Q3</w:t>
      </w:r>
      <w:r w:rsidR="00DD47C2" w:rsidRPr="009326D3">
        <w:rPr>
          <w:rFonts w:ascii="Times New Roman" w:hAnsi="Times New Roman" w:cs="Times New Roman"/>
          <w:noProof/>
          <w:sz w:val="24"/>
          <w:szCs w:val="24"/>
          <w:lang w:val="en-US"/>
        </w:rPr>
        <w:t>6 and 37 is summarized in Figure 15</w:t>
      </w:r>
      <w:r w:rsidRPr="009326D3">
        <w:rPr>
          <w:rFonts w:ascii="Times New Roman" w:hAnsi="Times New Roman" w:cs="Times New Roman"/>
          <w:noProof/>
          <w:sz w:val="24"/>
          <w:szCs w:val="24"/>
          <w:lang w:val="en-US"/>
        </w:rPr>
        <w:t>. Just a third of the countries, four, compensate contractors for delayed payments. In three of the countries this is defined</w:t>
      </w:r>
      <w:r w:rsidR="00931F19">
        <w:rPr>
          <w:rFonts w:ascii="Times New Roman" w:hAnsi="Times New Roman" w:cs="Times New Roman"/>
          <w:noProof/>
          <w:sz w:val="24"/>
          <w:szCs w:val="24"/>
          <w:lang w:val="en-US"/>
        </w:rPr>
        <w:t xml:space="preserve"> </w:t>
      </w:r>
      <w:r w:rsidRPr="009326D3">
        <w:rPr>
          <w:rFonts w:ascii="Times New Roman" w:hAnsi="Times New Roman" w:cs="Times New Roman"/>
          <w:noProof/>
          <w:sz w:val="24"/>
          <w:szCs w:val="24"/>
          <w:lang w:val="en-US"/>
        </w:rPr>
        <w:t xml:space="preserve">in the contract. In Albania it is defined in Law 48/2014 “On late payments in commerical and contractual obligations.” A summary of this law is provided in Box 2.  </w:t>
      </w:r>
    </w:p>
    <w:p w14:paraId="39726A83" w14:textId="77777777" w:rsidR="008201A3" w:rsidRPr="009326D3" w:rsidRDefault="008201A3" w:rsidP="00E8372F">
      <w:pPr>
        <w:spacing w:after="0" w:line="240" w:lineRule="auto"/>
        <w:rPr>
          <w:rFonts w:ascii="Times New Roman" w:hAnsi="Times New Roman" w:cs="Times New Roman"/>
          <w:b/>
          <w:i/>
          <w:noProof/>
          <w:sz w:val="24"/>
          <w:szCs w:val="24"/>
          <w:lang w:val="en-US"/>
        </w:rPr>
      </w:pPr>
    </w:p>
    <w:p w14:paraId="5B402A6F" w14:textId="17F29612" w:rsidR="008201A3" w:rsidRPr="009326D3" w:rsidRDefault="008201A3" w:rsidP="00E8372F">
      <w:pPr>
        <w:spacing w:after="0" w:line="240" w:lineRule="auto"/>
        <w:rPr>
          <w:rFonts w:ascii="Times New Roman" w:hAnsi="Times New Roman" w:cs="Times New Roman"/>
          <w:i/>
          <w:noProof/>
          <w:color w:val="4F81BD" w:themeColor="accent1"/>
          <w:sz w:val="24"/>
          <w:szCs w:val="24"/>
          <w:lang w:val="en-US"/>
        </w:rPr>
      </w:pPr>
      <w:r w:rsidRPr="009326D3">
        <w:rPr>
          <w:rFonts w:ascii="Times New Roman" w:hAnsi="Times New Roman" w:cs="Times New Roman"/>
          <w:i/>
          <w:noProof/>
          <w:color w:val="4F81BD" w:themeColor="accent1"/>
          <w:sz w:val="24"/>
          <w:szCs w:val="24"/>
          <w:lang w:val="en-US"/>
        </w:rPr>
        <w:t>Figu</w:t>
      </w:r>
      <w:r w:rsidR="00DD47C2" w:rsidRPr="009326D3">
        <w:rPr>
          <w:rFonts w:ascii="Times New Roman" w:hAnsi="Times New Roman" w:cs="Times New Roman"/>
          <w:i/>
          <w:noProof/>
          <w:color w:val="4F81BD" w:themeColor="accent1"/>
          <w:sz w:val="24"/>
          <w:szCs w:val="24"/>
          <w:lang w:val="en-US"/>
        </w:rPr>
        <w:t xml:space="preserve">re 15 </w:t>
      </w:r>
      <w:r w:rsidRPr="009326D3">
        <w:rPr>
          <w:rFonts w:ascii="Times New Roman" w:hAnsi="Times New Roman" w:cs="Times New Roman"/>
          <w:i/>
          <w:noProof/>
          <w:color w:val="4F81BD" w:themeColor="accent1"/>
          <w:sz w:val="24"/>
          <w:szCs w:val="24"/>
          <w:lang w:val="en-US"/>
        </w:rPr>
        <w:t xml:space="preserve">- Government Compensation for delayed payments </w:t>
      </w:r>
    </w:p>
    <w:p w14:paraId="199B0C01" w14:textId="77777777" w:rsidR="007779D2" w:rsidRPr="008201A3" w:rsidRDefault="007779D2" w:rsidP="00E8372F">
      <w:pPr>
        <w:spacing w:after="0" w:line="240" w:lineRule="auto"/>
        <w:rPr>
          <w:i/>
          <w:noProof/>
          <w:lang w:val="en-US"/>
        </w:rPr>
      </w:pPr>
    </w:p>
    <w:p w14:paraId="47A8C4C2" w14:textId="69DA2E28" w:rsidR="008201A3" w:rsidRPr="008201A3" w:rsidRDefault="008201A3" w:rsidP="00E8372F">
      <w:pPr>
        <w:spacing w:after="0" w:line="240" w:lineRule="auto"/>
        <w:rPr>
          <w:b/>
          <w:i/>
          <w:noProof/>
          <w:lang w:val="en-US"/>
        </w:rPr>
      </w:pPr>
      <w:r>
        <w:rPr>
          <w:noProof/>
          <w:lang w:val="en-US"/>
        </w:rPr>
        <w:drawing>
          <wp:inline distT="0" distB="0" distL="0" distR="0" wp14:anchorId="7229AAEA" wp14:editId="438ED2E9">
            <wp:extent cx="4572000" cy="2743200"/>
            <wp:effectExtent l="0" t="0" r="25400" b="2540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0D76E27" w14:textId="77777777" w:rsidR="008201A3" w:rsidRDefault="008201A3" w:rsidP="00E8372F">
      <w:pPr>
        <w:spacing w:after="0" w:line="240" w:lineRule="auto"/>
        <w:rPr>
          <w:b/>
          <w:i/>
          <w:noProof/>
          <w:lang w:val="en-US"/>
        </w:rPr>
      </w:pPr>
    </w:p>
    <w:p w14:paraId="03A98339" w14:textId="77777777" w:rsidR="008201A3" w:rsidRDefault="008201A3" w:rsidP="00E8372F">
      <w:pPr>
        <w:spacing w:after="0" w:line="240" w:lineRule="auto"/>
        <w:rPr>
          <w:b/>
          <w:i/>
          <w:noProof/>
          <w:lang w:val="en-US"/>
        </w:rPr>
      </w:pPr>
    </w:p>
    <w:tbl>
      <w:tblPr>
        <w:tblStyle w:val="TableGrid"/>
        <w:tblW w:w="0" w:type="auto"/>
        <w:tblLook w:val="04A0" w:firstRow="1" w:lastRow="0" w:firstColumn="1" w:lastColumn="0" w:noHBand="0" w:noVBand="1"/>
      </w:tblPr>
      <w:tblGrid>
        <w:gridCol w:w="9848"/>
      </w:tblGrid>
      <w:tr w:rsidR="008201A3" w:rsidRPr="008201A3" w14:paraId="3023849B" w14:textId="77777777" w:rsidTr="008201A3">
        <w:tc>
          <w:tcPr>
            <w:tcW w:w="9848" w:type="dxa"/>
          </w:tcPr>
          <w:p w14:paraId="5B76D57C" w14:textId="02297F41" w:rsidR="008201A3" w:rsidRPr="00F96B3D" w:rsidRDefault="008201A3" w:rsidP="008201A3">
            <w:pPr>
              <w:spacing w:after="0" w:line="240" w:lineRule="auto"/>
              <w:jc w:val="center"/>
              <w:rPr>
                <w:b/>
                <w:noProof/>
                <w:color w:val="4F81BD" w:themeColor="accent1"/>
                <w:lang w:val="en-US"/>
              </w:rPr>
            </w:pPr>
            <w:r w:rsidRPr="00A67361">
              <w:rPr>
                <w:b/>
                <w:noProof/>
                <w:color w:val="4F81BD" w:themeColor="accent1"/>
                <w:lang w:val="en-US"/>
              </w:rPr>
              <w:t xml:space="preserve">Box 2 – Summary of the </w:t>
            </w:r>
            <w:r w:rsidR="004910B4" w:rsidRPr="00A67361">
              <w:rPr>
                <w:b/>
                <w:noProof/>
                <w:color w:val="4F81BD" w:themeColor="accent1"/>
                <w:lang w:val="en-US"/>
              </w:rPr>
              <w:t xml:space="preserve">Albanian </w:t>
            </w:r>
            <w:r w:rsidRPr="00A67361">
              <w:rPr>
                <w:b/>
                <w:noProof/>
                <w:color w:val="4F81BD" w:themeColor="accent1"/>
                <w:lang w:val="en-US"/>
              </w:rPr>
              <w:t>Law 48/2014 On late payments in commerical and contractual obligations</w:t>
            </w:r>
          </w:p>
          <w:p w14:paraId="75D3CA46" w14:textId="77777777" w:rsidR="004824E1" w:rsidRPr="009326D3" w:rsidRDefault="004824E1" w:rsidP="008201A3">
            <w:pPr>
              <w:spacing w:after="0" w:line="240" w:lineRule="auto"/>
              <w:jc w:val="center"/>
              <w:rPr>
                <w:rFonts w:ascii="Microsoft Sans Serif" w:hAnsi="Microsoft Sans Serif" w:cs="Microsoft Sans Serif"/>
                <w:color w:val="4F81BD" w:themeColor="accent1"/>
                <w:sz w:val="20"/>
                <w:szCs w:val="20"/>
                <w:lang w:val="en-US"/>
              </w:rPr>
            </w:pPr>
          </w:p>
          <w:p w14:paraId="74BBCD9B" w14:textId="77777777" w:rsidR="004824E1" w:rsidRPr="007779D2" w:rsidRDefault="004824E1" w:rsidP="008201A3">
            <w:pPr>
              <w:spacing w:after="0" w:line="240" w:lineRule="auto"/>
              <w:jc w:val="center"/>
              <w:rPr>
                <w:rFonts w:ascii="Microsoft Sans Serif" w:hAnsi="Microsoft Sans Serif" w:cs="Microsoft Sans Serif"/>
                <w:sz w:val="20"/>
                <w:szCs w:val="20"/>
                <w:lang w:val="en-US"/>
              </w:rPr>
            </w:pPr>
            <w:r w:rsidRPr="007779D2">
              <w:rPr>
                <w:rFonts w:ascii="Microsoft Sans Serif" w:hAnsi="Microsoft Sans Serif" w:cs="Microsoft Sans Serif"/>
                <w:sz w:val="20"/>
                <w:szCs w:val="20"/>
                <w:lang w:val="en-US"/>
              </w:rPr>
              <w:t xml:space="preserve">Article 4 "Legal actions between commercial enterprises and public authorities" </w:t>
            </w:r>
          </w:p>
          <w:p w14:paraId="19E32CA1" w14:textId="77777777" w:rsidR="004824E1" w:rsidRPr="007779D2" w:rsidRDefault="004824E1" w:rsidP="008201A3">
            <w:pPr>
              <w:spacing w:after="0" w:line="240" w:lineRule="auto"/>
              <w:jc w:val="center"/>
              <w:rPr>
                <w:rFonts w:ascii="Microsoft Sans Serif" w:hAnsi="Microsoft Sans Serif" w:cs="Microsoft Sans Serif"/>
                <w:sz w:val="20"/>
                <w:szCs w:val="20"/>
                <w:lang w:val="en-US"/>
              </w:rPr>
            </w:pPr>
          </w:p>
          <w:p w14:paraId="3B33EE03" w14:textId="77777777" w:rsidR="004824E1" w:rsidRPr="007779D2" w:rsidRDefault="004824E1" w:rsidP="004824E1">
            <w:pPr>
              <w:spacing w:after="0" w:line="240" w:lineRule="auto"/>
              <w:rPr>
                <w:rFonts w:ascii="Microsoft Sans Serif" w:hAnsi="Microsoft Sans Serif" w:cs="Microsoft Sans Serif"/>
                <w:sz w:val="20"/>
                <w:szCs w:val="20"/>
                <w:lang w:val="en-US"/>
              </w:rPr>
            </w:pPr>
            <w:r w:rsidRPr="007779D2">
              <w:rPr>
                <w:rFonts w:ascii="Microsoft Sans Serif" w:hAnsi="Microsoft Sans Serif" w:cs="Microsoft Sans Serif"/>
                <w:sz w:val="20"/>
                <w:szCs w:val="20"/>
                <w:lang w:val="en-US"/>
              </w:rPr>
              <w:t xml:space="preserve">In commercial legal actions where the debtor is a commercial enterprise or a public authority, the creditor is entitled to from the day after the deadline for payment, overdue benefit without the need to send information about a the debtor's delay in cases where: </w:t>
            </w:r>
          </w:p>
          <w:p w14:paraId="4AA10EF7" w14:textId="77777777" w:rsidR="004824E1" w:rsidRPr="007779D2" w:rsidRDefault="004824E1" w:rsidP="004824E1">
            <w:pPr>
              <w:spacing w:after="0" w:line="240" w:lineRule="auto"/>
              <w:rPr>
                <w:rFonts w:ascii="Microsoft Sans Serif" w:hAnsi="Microsoft Sans Serif" w:cs="Microsoft Sans Serif"/>
                <w:sz w:val="20"/>
                <w:szCs w:val="20"/>
                <w:lang w:val="en-US"/>
              </w:rPr>
            </w:pPr>
            <w:r w:rsidRPr="007779D2">
              <w:rPr>
                <w:rFonts w:ascii="Microsoft Sans Serif" w:hAnsi="Microsoft Sans Serif" w:cs="Microsoft Sans Serif"/>
                <w:sz w:val="20"/>
                <w:szCs w:val="20"/>
                <w:lang w:val="en-US"/>
              </w:rPr>
              <w:t xml:space="preserve">a) The creditor has fulfilled its obligations under the contract and the law and the debtor has not objected to the obligation; </w:t>
            </w:r>
          </w:p>
          <w:p w14:paraId="529ED351" w14:textId="77777777" w:rsidR="004824E1" w:rsidRPr="007779D2" w:rsidRDefault="004824E1" w:rsidP="004824E1">
            <w:pPr>
              <w:spacing w:after="0" w:line="240" w:lineRule="auto"/>
              <w:rPr>
                <w:rFonts w:ascii="Microsoft Sans Serif" w:hAnsi="Microsoft Sans Serif" w:cs="Microsoft Sans Serif"/>
                <w:sz w:val="20"/>
                <w:szCs w:val="20"/>
                <w:lang w:val="en-US"/>
              </w:rPr>
            </w:pPr>
            <w:r w:rsidRPr="007779D2">
              <w:rPr>
                <w:rFonts w:ascii="Microsoft Sans Serif" w:hAnsi="Microsoft Sans Serif" w:cs="Microsoft Sans Serif"/>
                <w:sz w:val="20"/>
                <w:szCs w:val="20"/>
                <w:lang w:val="en-US"/>
              </w:rPr>
              <w:t xml:space="preserve">b) The creditor has not received the amount to be paid within the time, except when the delay is not responsible for the debtor. </w:t>
            </w:r>
          </w:p>
          <w:p w14:paraId="37AF054E" w14:textId="29F9F90A" w:rsidR="004824E1" w:rsidRPr="007779D2" w:rsidRDefault="004824E1" w:rsidP="004824E1">
            <w:pPr>
              <w:spacing w:after="0" w:line="240" w:lineRule="auto"/>
              <w:jc w:val="center"/>
              <w:rPr>
                <w:rFonts w:ascii="Microsoft Sans Serif" w:hAnsi="Microsoft Sans Serif" w:cs="Microsoft Sans Serif"/>
                <w:sz w:val="20"/>
                <w:szCs w:val="20"/>
                <w:lang w:val="en-US"/>
              </w:rPr>
            </w:pPr>
            <w:r w:rsidRPr="007779D2">
              <w:rPr>
                <w:rFonts w:ascii="Microsoft Sans Serif" w:hAnsi="Microsoft Sans Serif" w:cs="Microsoft Sans Serif"/>
                <w:sz w:val="20"/>
                <w:szCs w:val="20"/>
                <w:lang w:val="en-US"/>
              </w:rPr>
              <w:lastRenderedPageBreak/>
              <w:t xml:space="preserve">Article 5 Calculation of interest-delay </w:t>
            </w:r>
          </w:p>
          <w:p w14:paraId="562A8C93" w14:textId="77777777" w:rsidR="004824E1" w:rsidRPr="007779D2" w:rsidRDefault="004824E1" w:rsidP="004824E1">
            <w:pPr>
              <w:spacing w:after="0" w:line="240" w:lineRule="auto"/>
              <w:jc w:val="center"/>
              <w:rPr>
                <w:rFonts w:ascii="Microsoft Sans Serif" w:hAnsi="Microsoft Sans Serif" w:cs="Microsoft Sans Serif"/>
                <w:sz w:val="20"/>
                <w:szCs w:val="20"/>
                <w:lang w:val="en-US"/>
              </w:rPr>
            </w:pPr>
          </w:p>
          <w:p w14:paraId="407BEBB2" w14:textId="77777777" w:rsidR="004824E1" w:rsidRPr="007779D2" w:rsidRDefault="004824E1" w:rsidP="004824E1">
            <w:pPr>
              <w:spacing w:after="0" w:line="240" w:lineRule="auto"/>
              <w:rPr>
                <w:rFonts w:ascii="Microsoft Sans Serif" w:hAnsi="Microsoft Sans Serif" w:cs="Microsoft Sans Serif"/>
                <w:sz w:val="20"/>
                <w:szCs w:val="20"/>
                <w:lang w:val="en-US"/>
              </w:rPr>
            </w:pPr>
            <w:r w:rsidRPr="007779D2">
              <w:rPr>
                <w:rFonts w:ascii="Microsoft Sans Serif" w:hAnsi="Microsoft Sans Serif" w:cs="Microsoft Sans Serif"/>
                <w:sz w:val="20"/>
                <w:szCs w:val="20"/>
                <w:lang w:val="en-US"/>
              </w:rPr>
              <w:t xml:space="preserve">1. The base interest rate </w:t>
            </w:r>
            <w:proofErr w:type="spellStart"/>
            <w:r w:rsidRPr="007779D2">
              <w:rPr>
                <w:rFonts w:ascii="Microsoft Sans Serif" w:hAnsi="Microsoft Sans Serif" w:cs="Microsoft Sans Serif"/>
                <w:sz w:val="20"/>
                <w:szCs w:val="20"/>
                <w:lang w:val="en-US"/>
              </w:rPr>
              <w:t>lek</w:t>
            </w:r>
            <w:proofErr w:type="spellEnd"/>
            <w:r w:rsidRPr="007779D2">
              <w:rPr>
                <w:rFonts w:ascii="Microsoft Sans Serif" w:hAnsi="Microsoft Sans Serif" w:cs="Microsoft Sans Serif"/>
                <w:sz w:val="20"/>
                <w:szCs w:val="20"/>
                <w:lang w:val="en-US"/>
              </w:rPr>
              <w:t xml:space="preserve"> applicable to the calculation of interest-delay is: For the first half of the year, the interest rate on repurchase agreements and reverse repurchase (repo and reverse repo), approved by the decision of the Supervisory Council of the Bank of Albania at the last meeting of the previous year, adding eight percentage points, and for the second half, the rate adopted by the decision of the Supervisory Council of the Bank of Albania at the last meeting before 1 July of the current year, adding eight points. </w:t>
            </w:r>
          </w:p>
          <w:p w14:paraId="4661779C" w14:textId="77777777" w:rsidR="004824E1" w:rsidRPr="007779D2" w:rsidRDefault="004824E1" w:rsidP="004824E1">
            <w:pPr>
              <w:spacing w:after="0" w:line="240" w:lineRule="auto"/>
              <w:rPr>
                <w:rFonts w:ascii="Microsoft Sans Serif" w:hAnsi="Microsoft Sans Serif" w:cs="Microsoft Sans Serif"/>
                <w:sz w:val="20"/>
                <w:szCs w:val="20"/>
                <w:lang w:val="en-US"/>
              </w:rPr>
            </w:pPr>
            <w:r w:rsidRPr="007779D2">
              <w:rPr>
                <w:rFonts w:ascii="Microsoft Sans Serif" w:hAnsi="Microsoft Sans Serif" w:cs="Microsoft Sans Serif"/>
                <w:sz w:val="20"/>
                <w:szCs w:val="20"/>
                <w:lang w:val="en-US"/>
              </w:rPr>
              <w:t xml:space="preserve">2. The base interest rate for the euro applicable for the calculation of interest-delay, is: For the first half of the year, the interest rate main refinancing operations, approved by the decision of the Governing Council of the ECB at the last meeting of the previous year, plus eight percentage points, and for the second half, according to rate approved by a Council </w:t>
            </w:r>
            <w:proofErr w:type="gramStart"/>
            <w:r w:rsidRPr="007779D2">
              <w:rPr>
                <w:rFonts w:ascii="Microsoft Sans Serif" w:hAnsi="Microsoft Sans Serif" w:cs="Microsoft Sans Serif"/>
                <w:sz w:val="20"/>
                <w:szCs w:val="20"/>
                <w:lang w:val="en-US"/>
              </w:rPr>
              <w:t>decision  European</w:t>
            </w:r>
            <w:proofErr w:type="gramEnd"/>
            <w:r w:rsidRPr="007779D2">
              <w:rPr>
                <w:rFonts w:ascii="Microsoft Sans Serif" w:hAnsi="Microsoft Sans Serif" w:cs="Microsoft Sans Serif"/>
                <w:sz w:val="20"/>
                <w:szCs w:val="20"/>
                <w:lang w:val="en-US"/>
              </w:rPr>
              <w:t xml:space="preserve"> Central Bank Governing last meeting before 1 July of the current year adding eight points. </w:t>
            </w:r>
          </w:p>
          <w:p w14:paraId="78E8DF18" w14:textId="2436676D" w:rsidR="008201A3" w:rsidRDefault="004824E1" w:rsidP="004824E1">
            <w:pPr>
              <w:spacing w:after="0" w:line="240" w:lineRule="auto"/>
              <w:rPr>
                <w:b/>
                <w:noProof/>
                <w:lang w:val="en-US"/>
              </w:rPr>
            </w:pPr>
            <w:r w:rsidRPr="007779D2">
              <w:rPr>
                <w:rFonts w:ascii="Microsoft Sans Serif" w:hAnsi="Microsoft Sans Serif" w:cs="Microsoft Sans Serif"/>
                <w:sz w:val="20"/>
                <w:szCs w:val="20"/>
                <w:lang w:val="en-US"/>
              </w:rPr>
              <w:t>3. The base interest rate for other currencies, applicable to the calculation of interest-delay is ALL reckoning interest rate, taking as course ALL of liability calculation, the course of the day that required the payment of legal delay interests.</w:t>
            </w:r>
          </w:p>
          <w:p w14:paraId="3007A3CC" w14:textId="29CDE92B" w:rsidR="008201A3" w:rsidRPr="008201A3" w:rsidRDefault="008201A3" w:rsidP="008201A3">
            <w:pPr>
              <w:spacing w:after="0" w:line="240" w:lineRule="auto"/>
              <w:jc w:val="center"/>
              <w:rPr>
                <w:b/>
                <w:noProof/>
                <w:lang w:val="en-US"/>
              </w:rPr>
            </w:pPr>
          </w:p>
        </w:tc>
      </w:tr>
    </w:tbl>
    <w:p w14:paraId="191BC5E6" w14:textId="77777777" w:rsidR="008201A3" w:rsidRDefault="008201A3" w:rsidP="00E8372F">
      <w:pPr>
        <w:spacing w:after="0" w:line="240" w:lineRule="auto"/>
        <w:rPr>
          <w:b/>
          <w:i/>
          <w:noProof/>
          <w:lang w:val="en-US"/>
        </w:rPr>
      </w:pPr>
    </w:p>
    <w:p w14:paraId="5983D821" w14:textId="77777777" w:rsidR="008201A3" w:rsidRDefault="008201A3" w:rsidP="00E8372F">
      <w:pPr>
        <w:spacing w:after="0" w:line="240" w:lineRule="auto"/>
        <w:rPr>
          <w:b/>
          <w:i/>
          <w:noProof/>
          <w:lang w:val="en-US"/>
        </w:rPr>
      </w:pPr>
    </w:p>
    <w:p w14:paraId="4627A38B" w14:textId="0991D888" w:rsidR="00E8372F" w:rsidRPr="009326D3" w:rsidRDefault="00DD47C2" w:rsidP="00E8372F">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Q38</w:t>
      </w:r>
      <w:r w:rsidR="00E8372F" w:rsidRPr="009326D3">
        <w:rPr>
          <w:rFonts w:ascii="Times New Roman" w:hAnsi="Times New Roman" w:cs="Times New Roman"/>
          <w:b/>
          <w:i/>
          <w:noProof/>
          <w:sz w:val="24"/>
          <w:szCs w:val="24"/>
          <w:lang w:val="en-US"/>
        </w:rPr>
        <w:t xml:space="preserve">. Does your country currently, or in the past, have a strategy for systematically reducing budget arrears Y/N  </w:t>
      </w:r>
    </w:p>
    <w:p w14:paraId="79B9D4C6" w14:textId="3A13CA05" w:rsidR="00E8372F" w:rsidRPr="009326D3" w:rsidRDefault="00DD47C2" w:rsidP="00E8372F">
      <w:pPr>
        <w:spacing w:after="0" w:line="240" w:lineRule="auto"/>
        <w:rPr>
          <w:rFonts w:ascii="Times New Roman" w:hAnsi="Times New Roman" w:cs="Times New Roman"/>
          <w:b/>
          <w:i/>
          <w:noProof/>
          <w:sz w:val="24"/>
          <w:szCs w:val="24"/>
          <w:lang w:val="en-US"/>
        </w:rPr>
      </w:pPr>
      <w:r w:rsidRPr="009326D3">
        <w:rPr>
          <w:rFonts w:ascii="Times New Roman" w:hAnsi="Times New Roman" w:cs="Times New Roman"/>
          <w:b/>
          <w:i/>
          <w:noProof/>
          <w:sz w:val="24"/>
          <w:szCs w:val="24"/>
          <w:lang w:val="en-US"/>
        </w:rPr>
        <w:t>Q39</w:t>
      </w:r>
      <w:r w:rsidR="00E8372F" w:rsidRPr="009326D3">
        <w:rPr>
          <w:rFonts w:ascii="Times New Roman" w:hAnsi="Times New Roman" w:cs="Times New Roman"/>
          <w:b/>
          <w:i/>
          <w:noProof/>
          <w:sz w:val="24"/>
          <w:szCs w:val="24"/>
          <w:lang w:val="en-US"/>
        </w:rPr>
        <w:t xml:space="preserve">. If yes please provide a brief summary of this process   </w:t>
      </w:r>
    </w:p>
    <w:p w14:paraId="6B6F6FF2" w14:textId="77777777" w:rsidR="003E3C1A" w:rsidRPr="009326D3" w:rsidRDefault="003E3C1A" w:rsidP="003E3C1A">
      <w:pPr>
        <w:rPr>
          <w:rFonts w:ascii="Times New Roman" w:hAnsi="Times New Roman" w:cs="Times New Roman"/>
          <w:b/>
          <w:i/>
          <w:noProof/>
          <w:sz w:val="24"/>
          <w:szCs w:val="24"/>
          <w:lang w:val="en-US"/>
        </w:rPr>
      </w:pPr>
    </w:p>
    <w:p w14:paraId="2EC21C11" w14:textId="0DD14DC2" w:rsidR="00C3214D" w:rsidRPr="009326D3" w:rsidRDefault="00C3214D" w:rsidP="003E3C1A">
      <w:pPr>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 xml:space="preserve">Historically a number of countries, including TCOP members, had significant levels of accumulated budgetary arrears. Reducing the arrears to manageable levels and ensuring strengthened controls </w:t>
      </w:r>
      <w:r w:rsidR="00931F19">
        <w:rPr>
          <w:rFonts w:ascii="Times New Roman" w:hAnsi="Times New Roman" w:cs="Times New Roman"/>
          <w:noProof/>
          <w:sz w:val="24"/>
          <w:szCs w:val="24"/>
          <w:lang w:val="en-US"/>
        </w:rPr>
        <w:t>are institutionalized</w:t>
      </w:r>
      <w:r w:rsidRPr="009326D3">
        <w:rPr>
          <w:rFonts w:ascii="Times New Roman" w:hAnsi="Times New Roman" w:cs="Times New Roman"/>
          <w:noProof/>
          <w:sz w:val="24"/>
          <w:szCs w:val="24"/>
          <w:lang w:val="en-US"/>
        </w:rPr>
        <w:t xml:space="preserve"> were core strategies </w:t>
      </w:r>
      <w:r w:rsidR="00931F19">
        <w:rPr>
          <w:rFonts w:ascii="Times New Roman" w:hAnsi="Times New Roman" w:cs="Times New Roman"/>
          <w:noProof/>
          <w:sz w:val="24"/>
          <w:szCs w:val="24"/>
          <w:lang w:val="en-US"/>
        </w:rPr>
        <w:t>for many of these countries. Th</w:t>
      </w:r>
      <w:r w:rsidRPr="009326D3">
        <w:rPr>
          <w:rFonts w:ascii="Times New Roman" w:hAnsi="Times New Roman" w:cs="Times New Roman"/>
          <w:noProof/>
          <w:sz w:val="24"/>
          <w:szCs w:val="24"/>
          <w:lang w:val="en-US"/>
        </w:rPr>
        <w:t xml:space="preserve">us question sought to identify good practice examples </w:t>
      </w:r>
      <w:r w:rsidR="00931F19">
        <w:rPr>
          <w:rFonts w:ascii="Times New Roman" w:hAnsi="Times New Roman" w:cs="Times New Roman"/>
          <w:noProof/>
          <w:sz w:val="24"/>
          <w:szCs w:val="24"/>
          <w:lang w:val="en-US"/>
        </w:rPr>
        <w:t>from</w:t>
      </w:r>
      <w:r w:rsidRPr="009326D3">
        <w:rPr>
          <w:rFonts w:ascii="Times New Roman" w:hAnsi="Times New Roman" w:cs="Times New Roman"/>
          <w:noProof/>
          <w:sz w:val="24"/>
          <w:szCs w:val="24"/>
          <w:lang w:val="en-US"/>
        </w:rPr>
        <w:t xml:space="preserve"> countries which had managed and reduced its stock of arrears. </w:t>
      </w:r>
    </w:p>
    <w:p w14:paraId="239C4082" w14:textId="0B119B10" w:rsidR="00C3214D" w:rsidRPr="009326D3" w:rsidRDefault="00C3214D" w:rsidP="003E3C1A">
      <w:pPr>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Eleven countries responded to this question, with six indicating that they had a strategy for systematically reducing budgetary arrears</w:t>
      </w:r>
      <w:r w:rsidR="00931F19">
        <w:rPr>
          <w:rFonts w:ascii="Times New Roman" w:hAnsi="Times New Roman" w:cs="Times New Roman"/>
          <w:noProof/>
          <w:sz w:val="24"/>
          <w:szCs w:val="24"/>
          <w:lang w:val="en-US"/>
        </w:rPr>
        <w:t xml:space="preserve">, but only four providing additional information on the strategy </w:t>
      </w:r>
      <w:r w:rsidR="00B06F82" w:rsidRPr="009326D3">
        <w:rPr>
          <w:rStyle w:val="FootnoteReference"/>
          <w:rFonts w:ascii="Times New Roman" w:hAnsi="Times New Roman" w:cs="Times New Roman"/>
          <w:noProof/>
          <w:sz w:val="24"/>
          <w:szCs w:val="24"/>
          <w:lang w:val="en-US"/>
        </w:rPr>
        <w:footnoteReference w:id="16"/>
      </w:r>
      <w:r w:rsidRPr="009326D3">
        <w:rPr>
          <w:rFonts w:ascii="Times New Roman" w:hAnsi="Times New Roman" w:cs="Times New Roman"/>
          <w:noProof/>
          <w:sz w:val="24"/>
          <w:szCs w:val="24"/>
          <w:lang w:val="en-US"/>
        </w:rPr>
        <w:t>. The f</w:t>
      </w:r>
      <w:r w:rsidR="00B06F82" w:rsidRPr="009326D3">
        <w:rPr>
          <w:rFonts w:ascii="Times New Roman" w:hAnsi="Times New Roman" w:cs="Times New Roman"/>
          <w:noProof/>
          <w:sz w:val="24"/>
          <w:szCs w:val="24"/>
          <w:lang w:val="en-US"/>
        </w:rPr>
        <w:t xml:space="preserve">our </w:t>
      </w:r>
      <w:r w:rsidRPr="009326D3">
        <w:rPr>
          <w:rFonts w:ascii="Times New Roman" w:hAnsi="Times New Roman" w:cs="Times New Roman"/>
          <w:noProof/>
          <w:sz w:val="24"/>
          <w:szCs w:val="24"/>
          <w:lang w:val="en-US"/>
        </w:rPr>
        <w:t xml:space="preserve">country responses are summarised in Table </w:t>
      </w:r>
      <w:r w:rsidR="004824E1" w:rsidRPr="009326D3">
        <w:rPr>
          <w:rFonts w:ascii="Times New Roman" w:hAnsi="Times New Roman" w:cs="Times New Roman"/>
          <w:noProof/>
          <w:sz w:val="24"/>
          <w:szCs w:val="24"/>
          <w:lang w:val="en-US"/>
        </w:rPr>
        <w:t xml:space="preserve">3 </w:t>
      </w:r>
      <w:r w:rsidR="00B06F82" w:rsidRPr="009326D3">
        <w:rPr>
          <w:rFonts w:ascii="Times New Roman" w:hAnsi="Times New Roman" w:cs="Times New Roman"/>
          <w:noProof/>
          <w:sz w:val="24"/>
          <w:szCs w:val="24"/>
          <w:lang w:val="en-US"/>
        </w:rPr>
        <w:t xml:space="preserve">below with Albania and Croatia proposing strategies which would provide a useful basis for further discussion. </w:t>
      </w:r>
    </w:p>
    <w:p w14:paraId="5AF413EC" w14:textId="7C4E9AA0" w:rsidR="00C3214D" w:rsidRPr="009326D3" w:rsidRDefault="00C3214D" w:rsidP="003E3C1A">
      <w:pPr>
        <w:rPr>
          <w:rFonts w:ascii="Times New Roman" w:hAnsi="Times New Roman" w:cs="Times New Roman"/>
          <w:i/>
          <w:noProof/>
          <w:color w:val="4F81BD" w:themeColor="accent1"/>
          <w:sz w:val="24"/>
          <w:szCs w:val="24"/>
          <w:lang w:val="en-US"/>
        </w:rPr>
      </w:pPr>
      <w:r w:rsidRPr="009326D3">
        <w:rPr>
          <w:rFonts w:ascii="Times New Roman" w:hAnsi="Times New Roman" w:cs="Times New Roman"/>
          <w:i/>
          <w:noProof/>
          <w:color w:val="4F81BD" w:themeColor="accent1"/>
          <w:sz w:val="24"/>
          <w:szCs w:val="24"/>
          <w:lang w:val="en-US"/>
        </w:rPr>
        <w:t xml:space="preserve">Table </w:t>
      </w:r>
      <w:r w:rsidR="004824E1" w:rsidRPr="009326D3">
        <w:rPr>
          <w:rFonts w:ascii="Times New Roman" w:hAnsi="Times New Roman" w:cs="Times New Roman"/>
          <w:i/>
          <w:noProof/>
          <w:color w:val="4F81BD" w:themeColor="accent1"/>
          <w:sz w:val="24"/>
          <w:szCs w:val="24"/>
          <w:lang w:val="en-US"/>
        </w:rPr>
        <w:t>3</w:t>
      </w:r>
      <w:r w:rsidRPr="009326D3">
        <w:rPr>
          <w:rFonts w:ascii="Times New Roman" w:hAnsi="Times New Roman" w:cs="Times New Roman"/>
          <w:i/>
          <w:noProof/>
          <w:color w:val="4F81BD" w:themeColor="accent1"/>
          <w:sz w:val="24"/>
          <w:szCs w:val="24"/>
          <w:lang w:val="en-US"/>
        </w:rPr>
        <w:t xml:space="preserve"> – Country Processes for Reducing </w:t>
      </w:r>
      <w:r w:rsidR="00935283">
        <w:rPr>
          <w:rFonts w:ascii="Times New Roman" w:hAnsi="Times New Roman" w:cs="Times New Roman"/>
          <w:i/>
          <w:noProof/>
          <w:color w:val="4F81BD" w:themeColor="accent1"/>
          <w:sz w:val="24"/>
          <w:szCs w:val="24"/>
          <w:lang w:val="en-US"/>
        </w:rPr>
        <w:t>B</w:t>
      </w:r>
      <w:r w:rsidRPr="009326D3">
        <w:rPr>
          <w:rFonts w:ascii="Times New Roman" w:hAnsi="Times New Roman" w:cs="Times New Roman"/>
          <w:i/>
          <w:noProof/>
          <w:color w:val="4F81BD" w:themeColor="accent1"/>
          <w:sz w:val="24"/>
          <w:szCs w:val="24"/>
          <w:lang w:val="en-US"/>
        </w:rPr>
        <w:t xml:space="preserve">udgetary Arrears    </w:t>
      </w:r>
    </w:p>
    <w:tbl>
      <w:tblPr>
        <w:tblW w:w="83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910"/>
      </w:tblGrid>
      <w:tr w:rsidR="004824E1" w:rsidRPr="007F3049" w14:paraId="1F719E3F" w14:textId="77777777" w:rsidTr="004824E1">
        <w:trPr>
          <w:trHeight w:val="255"/>
        </w:trPr>
        <w:tc>
          <w:tcPr>
            <w:tcW w:w="1451" w:type="dxa"/>
            <w:shd w:val="clear" w:color="auto" w:fill="DAEEF3" w:themeFill="accent5" w:themeFillTint="33"/>
            <w:noWrap/>
            <w:vAlign w:val="bottom"/>
          </w:tcPr>
          <w:p w14:paraId="55DFDFA6" w14:textId="1827BE02" w:rsidR="004824E1" w:rsidRPr="004824E1" w:rsidRDefault="004824E1" w:rsidP="004824E1">
            <w:pPr>
              <w:spacing w:after="0" w:line="240" w:lineRule="auto"/>
              <w:rPr>
                <w:rFonts w:asciiTheme="majorHAnsi" w:eastAsia="Times New Roman" w:hAnsiTheme="majorHAnsi" w:cs="Microsoft Sans Serif"/>
                <w:b/>
                <w:sz w:val="20"/>
                <w:szCs w:val="20"/>
                <w:lang w:val="en-US" w:eastAsia="ru-RU"/>
              </w:rPr>
            </w:pPr>
            <w:r w:rsidRPr="004824E1">
              <w:rPr>
                <w:rFonts w:asciiTheme="majorHAnsi" w:eastAsia="Times New Roman" w:hAnsiTheme="majorHAnsi" w:cs="Microsoft Sans Serif"/>
                <w:b/>
                <w:sz w:val="20"/>
                <w:szCs w:val="20"/>
                <w:lang w:val="en-US" w:eastAsia="ru-RU"/>
              </w:rPr>
              <w:t>Country</w:t>
            </w:r>
          </w:p>
        </w:tc>
        <w:tc>
          <w:tcPr>
            <w:tcW w:w="6910" w:type="dxa"/>
            <w:shd w:val="clear" w:color="auto" w:fill="EAF1DD" w:themeFill="accent3" w:themeFillTint="33"/>
          </w:tcPr>
          <w:p w14:paraId="702D931C" w14:textId="77777777" w:rsidR="004824E1" w:rsidRPr="004824E1" w:rsidRDefault="004824E1" w:rsidP="004824E1">
            <w:pPr>
              <w:spacing w:after="0" w:line="240" w:lineRule="auto"/>
              <w:rPr>
                <w:rFonts w:asciiTheme="majorHAnsi" w:eastAsia="Times New Roman" w:hAnsiTheme="majorHAnsi" w:cs="Microsoft Sans Serif"/>
                <w:b/>
                <w:sz w:val="20"/>
                <w:szCs w:val="20"/>
                <w:lang w:val="en-US" w:eastAsia="ru-RU"/>
              </w:rPr>
            </w:pPr>
            <w:r w:rsidRPr="004824E1">
              <w:rPr>
                <w:rFonts w:asciiTheme="majorHAnsi" w:hAnsiTheme="majorHAnsi"/>
                <w:b/>
                <w:sz w:val="20"/>
                <w:szCs w:val="20"/>
                <w:lang w:val="en-US"/>
              </w:rPr>
              <w:t>Brief summary of this process</w:t>
            </w:r>
          </w:p>
        </w:tc>
      </w:tr>
      <w:tr w:rsidR="004824E1" w14:paraId="67606FCC" w14:textId="77777777" w:rsidTr="004824E1">
        <w:trPr>
          <w:trHeight w:val="255"/>
        </w:trPr>
        <w:tc>
          <w:tcPr>
            <w:tcW w:w="1451" w:type="dxa"/>
            <w:shd w:val="clear" w:color="auto" w:fill="auto"/>
            <w:noWrap/>
            <w:vAlign w:val="bottom"/>
            <w:hideMark/>
          </w:tcPr>
          <w:p w14:paraId="64D0A124" w14:textId="77777777" w:rsidR="004824E1" w:rsidRPr="0073375B" w:rsidRDefault="004824E1" w:rsidP="004824E1">
            <w:pPr>
              <w:spacing w:after="0" w:line="240" w:lineRule="auto"/>
              <w:rPr>
                <w:rFonts w:ascii="Microsoft Sans Serif" w:eastAsia="Times New Roman" w:hAnsi="Microsoft Sans Serif" w:cs="Microsoft Sans Serif"/>
                <w:b/>
                <w:sz w:val="20"/>
                <w:szCs w:val="20"/>
                <w:lang w:eastAsia="ru-RU"/>
              </w:rPr>
            </w:pPr>
            <w:r w:rsidRPr="0073375B">
              <w:rPr>
                <w:rFonts w:ascii="Microsoft Sans Serif" w:eastAsia="Times New Roman" w:hAnsi="Microsoft Sans Serif" w:cs="Microsoft Sans Serif"/>
                <w:b/>
                <w:sz w:val="20"/>
                <w:szCs w:val="20"/>
                <w:lang w:eastAsia="ru-RU"/>
              </w:rPr>
              <w:t>Albania</w:t>
            </w:r>
          </w:p>
        </w:tc>
        <w:tc>
          <w:tcPr>
            <w:tcW w:w="6910" w:type="dxa"/>
            <w:shd w:val="clear" w:color="auto" w:fill="auto"/>
            <w:vAlign w:val="bottom"/>
          </w:tcPr>
          <w:p w14:paraId="2F46E7C8" w14:textId="77777777" w:rsidR="00B06F82" w:rsidRDefault="004824E1" w:rsidP="004824E1">
            <w:pPr>
              <w:rPr>
                <w:rFonts w:ascii="Microsoft Sans Serif" w:hAnsi="Microsoft Sans Serif" w:cs="Microsoft Sans Serif"/>
                <w:sz w:val="20"/>
                <w:szCs w:val="20"/>
                <w:lang w:val="en-US"/>
              </w:rPr>
            </w:pPr>
            <w:r w:rsidRPr="00B07809">
              <w:rPr>
                <w:rFonts w:ascii="Microsoft Sans Serif" w:hAnsi="Microsoft Sans Serif" w:cs="Microsoft Sans Serif"/>
                <w:sz w:val="20"/>
                <w:szCs w:val="20"/>
                <w:lang w:val="en-US"/>
              </w:rPr>
              <w:t xml:space="preserve">1. Development of a database for the registration of procurement orders connected with the Public Procurement Agency (it's not allowed by law to begin the tendering process without treasury authorization of the available budget fund; it may only be a reservation against the budget, not a commitment)   </w:t>
            </w:r>
          </w:p>
          <w:p w14:paraId="0B9ED510" w14:textId="4E36BF4B" w:rsidR="004824E1" w:rsidRPr="00B06F82" w:rsidRDefault="004824E1" w:rsidP="004824E1">
            <w:pPr>
              <w:rPr>
                <w:rFonts w:ascii="Microsoft Sans Serif" w:hAnsi="Microsoft Sans Serif" w:cs="Microsoft Sans Serif"/>
                <w:sz w:val="20"/>
                <w:szCs w:val="20"/>
                <w:lang w:val="en-US"/>
              </w:rPr>
            </w:pPr>
            <w:r w:rsidRPr="00B07809">
              <w:rPr>
                <w:rFonts w:ascii="Microsoft Sans Serif" w:hAnsi="Microsoft Sans Serif" w:cs="Microsoft Sans Serif"/>
                <w:sz w:val="20"/>
                <w:szCs w:val="20"/>
                <w:lang w:val="en-US"/>
              </w:rPr>
              <w:t xml:space="preserve">2. Preparation of changes in the legal framework.  4. Reconfiguration of Albanian Government Financial Information System (AGFIS) for the control of invoices and multiyear contracts' date, to compare the scheduled contract amounts against monthly liquidity forecasting and to generate the proper reports.  Since January, 2014 treasury monitor the date of original invoice, date of payment order compiled by spending units, date of registration in AGFIS by Treasury district officer and due date of the payment. </w:t>
            </w:r>
            <w:r>
              <w:rPr>
                <w:rFonts w:ascii="Microsoft Sans Serif" w:hAnsi="Microsoft Sans Serif" w:cs="Microsoft Sans Serif"/>
                <w:sz w:val="20"/>
                <w:szCs w:val="20"/>
              </w:rPr>
              <w:t xml:space="preserve">VAT Reimbursements are paid by AGFIS under treasury control.    </w:t>
            </w:r>
          </w:p>
        </w:tc>
      </w:tr>
      <w:tr w:rsidR="004824E1" w:rsidRPr="00B07809" w14:paraId="2A215681" w14:textId="77777777" w:rsidTr="004824E1">
        <w:trPr>
          <w:trHeight w:val="255"/>
        </w:trPr>
        <w:tc>
          <w:tcPr>
            <w:tcW w:w="1451" w:type="dxa"/>
            <w:shd w:val="clear" w:color="auto" w:fill="auto"/>
            <w:noWrap/>
            <w:vAlign w:val="bottom"/>
            <w:hideMark/>
          </w:tcPr>
          <w:p w14:paraId="79ADCCA8" w14:textId="77777777" w:rsidR="004824E1" w:rsidRPr="0073375B" w:rsidRDefault="004824E1" w:rsidP="004824E1">
            <w:pPr>
              <w:spacing w:after="0" w:line="240" w:lineRule="auto"/>
              <w:rPr>
                <w:rFonts w:ascii="Microsoft Sans Serif" w:eastAsia="Times New Roman" w:hAnsi="Microsoft Sans Serif" w:cs="Microsoft Sans Serif"/>
                <w:b/>
                <w:sz w:val="20"/>
                <w:szCs w:val="20"/>
                <w:lang w:eastAsia="ru-RU"/>
              </w:rPr>
            </w:pPr>
            <w:r w:rsidRPr="0073375B">
              <w:rPr>
                <w:rFonts w:ascii="Microsoft Sans Serif" w:eastAsia="Times New Roman" w:hAnsi="Microsoft Sans Serif" w:cs="Microsoft Sans Serif"/>
                <w:b/>
                <w:sz w:val="20"/>
                <w:szCs w:val="20"/>
                <w:lang w:eastAsia="ru-RU"/>
              </w:rPr>
              <w:t>Azerbaijan</w:t>
            </w:r>
          </w:p>
        </w:tc>
        <w:tc>
          <w:tcPr>
            <w:tcW w:w="6910" w:type="dxa"/>
            <w:shd w:val="clear" w:color="auto" w:fill="auto"/>
            <w:vAlign w:val="bottom"/>
          </w:tcPr>
          <w:p w14:paraId="15990353" w14:textId="77777777" w:rsidR="004824E1" w:rsidRPr="00B07809" w:rsidRDefault="004824E1" w:rsidP="004824E1">
            <w:pPr>
              <w:rPr>
                <w:rFonts w:ascii="Microsoft Sans Serif" w:hAnsi="Microsoft Sans Serif" w:cs="Microsoft Sans Serif"/>
                <w:sz w:val="20"/>
                <w:szCs w:val="20"/>
                <w:lang w:val="en-US"/>
              </w:rPr>
            </w:pPr>
            <w:r>
              <w:rPr>
                <w:rFonts w:ascii="Microsoft Sans Serif" w:hAnsi="Microsoft Sans Serif" w:cs="Microsoft Sans Serif"/>
                <w:sz w:val="20"/>
                <w:szCs w:val="20"/>
                <w:lang w:val="en-US"/>
              </w:rPr>
              <w:t>Legal acts</w:t>
            </w:r>
          </w:p>
        </w:tc>
      </w:tr>
      <w:tr w:rsidR="004824E1" w:rsidRPr="00B07809" w14:paraId="0C208029" w14:textId="77777777" w:rsidTr="004824E1">
        <w:trPr>
          <w:trHeight w:val="3133"/>
        </w:trPr>
        <w:tc>
          <w:tcPr>
            <w:tcW w:w="1451" w:type="dxa"/>
            <w:shd w:val="clear" w:color="auto" w:fill="auto"/>
            <w:noWrap/>
            <w:vAlign w:val="bottom"/>
            <w:hideMark/>
          </w:tcPr>
          <w:p w14:paraId="6480CB6D" w14:textId="77777777" w:rsidR="004824E1" w:rsidRPr="0073375B" w:rsidRDefault="004824E1" w:rsidP="004824E1">
            <w:pPr>
              <w:spacing w:after="0" w:line="240" w:lineRule="auto"/>
              <w:rPr>
                <w:rFonts w:ascii="Microsoft Sans Serif" w:eastAsia="Times New Roman" w:hAnsi="Microsoft Sans Serif" w:cs="Microsoft Sans Serif"/>
                <w:b/>
                <w:sz w:val="20"/>
                <w:szCs w:val="20"/>
                <w:lang w:val="en-US" w:eastAsia="ru-RU"/>
              </w:rPr>
            </w:pPr>
            <w:r w:rsidRPr="0073375B">
              <w:rPr>
                <w:rFonts w:ascii="Microsoft Sans Serif" w:eastAsia="Times New Roman" w:hAnsi="Microsoft Sans Serif" w:cs="Microsoft Sans Serif"/>
                <w:b/>
                <w:sz w:val="20"/>
                <w:szCs w:val="20"/>
                <w:lang w:val="en-US" w:eastAsia="ru-RU"/>
              </w:rPr>
              <w:lastRenderedPageBreak/>
              <w:t>Croatia</w:t>
            </w:r>
          </w:p>
        </w:tc>
        <w:tc>
          <w:tcPr>
            <w:tcW w:w="6910" w:type="dxa"/>
            <w:shd w:val="clear" w:color="auto" w:fill="auto"/>
            <w:vAlign w:val="bottom"/>
          </w:tcPr>
          <w:p w14:paraId="6D37AE24" w14:textId="5C1105F7" w:rsidR="004824E1" w:rsidRPr="00B07809" w:rsidRDefault="004824E1" w:rsidP="004824E1">
            <w:pPr>
              <w:rPr>
                <w:rFonts w:ascii="Microsoft Sans Serif" w:hAnsi="Microsoft Sans Serif" w:cs="Microsoft Sans Serif"/>
                <w:sz w:val="20"/>
                <w:szCs w:val="20"/>
                <w:lang w:val="en-US"/>
              </w:rPr>
            </w:pPr>
            <w:r w:rsidRPr="00B07809">
              <w:rPr>
                <w:rFonts w:ascii="Microsoft Sans Serif" w:hAnsi="Microsoft Sans Serif" w:cs="Microsoft Sans Serif"/>
                <w:sz w:val="20"/>
                <w:szCs w:val="20"/>
                <w:lang w:val="en-US"/>
              </w:rPr>
              <w:t>Under the Law on Rehabilitation of Public Institutions, the rehabilitation procedure is applied when the founder of public institution is not able to cover losses or fulfill its financial commitments, within the statutory deadline. The implementation of the rehabilitation procedure reduces commitments and losses of operation, and minimizes negative impacts on liquidity. According to the procedure, rehabi</w:t>
            </w:r>
            <w:r w:rsidR="00B06F82">
              <w:rPr>
                <w:rFonts w:ascii="Microsoft Sans Serif" w:hAnsi="Microsoft Sans Serif" w:cs="Microsoft Sans Serif"/>
                <w:sz w:val="20"/>
                <w:szCs w:val="20"/>
                <w:lang w:val="en-US"/>
              </w:rPr>
              <w:t xml:space="preserve">litation is proposed by the </w:t>
            </w:r>
            <w:r w:rsidRPr="00B07809">
              <w:rPr>
                <w:rFonts w:ascii="Microsoft Sans Serif" w:hAnsi="Microsoft Sans Serif" w:cs="Microsoft Sans Serif"/>
                <w:sz w:val="20"/>
                <w:szCs w:val="20"/>
                <w:lang w:val="en-US"/>
              </w:rPr>
              <w:t>founder, through the ministry in charge of the public institution, based on which the government makes a formal decision on rehabilitation. After that, a rehabilitation manager and rehabilitation council is appointed. Rehabilitation council adopts a rehabilitation plan. The ministry in charge adopts the rehabilitation plan. The law sets deadlines for completing the rehabilitation procedure. Rehabilitation funding is provided from the state budget.</w:t>
            </w:r>
          </w:p>
        </w:tc>
      </w:tr>
      <w:tr w:rsidR="004824E1" w:rsidRPr="00B07809" w14:paraId="2E34FE3D" w14:textId="77777777" w:rsidTr="004824E1">
        <w:trPr>
          <w:trHeight w:val="757"/>
        </w:trPr>
        <w:tc>
          <w:tcPr>
            <w:tcW w:w="1451" w:type="dxa"/>
            <w:shd w:val="clear" w:color="auto" w:fill="auto"/>
            <w:noWrap/>
            <w:vAlign w:val="bottom"/>
            <w:hideMark/>
          </w:tcPr>
          <w:p w14:paraId="7598C75D" w14:textId="77777777" w:rsidR="004824E1" w:rsidRPr="0073375B" w:rsidRDefault="004824E1" w:rsidP="004824E1">
            <w:pPr>
              <w:spacing w:after="0" w:line="240" w:lineRule="auto"/>
              <w:rPr>
                <w:rFonts w:ascii="Microsoft Sans Serif" w:eastAsia="Times New Roman" w:hAnsi="Microsoft Sans Serif" w:cs="Microsoft Sans Serif"/>
                <w:b/>
                <w:sz w:val="20"/>
                <w:szCs w:val="20"/>
                <w:lang w:eastAsia="ru-RU"/>
              </w:rPr>
            </w:pPr>
            <w:r w:rsidRPr="0073375B">
              <w:rPr>
                <w:rFonts w:ascii="Microsoft Sans Serif" w:eastAsia="Times New Roman" w:hAnsi="Microsoft Sans Serif" w:cs="Microsoft Sans Serif"/>
                <w:b/>
                <w:sz w:val="20"/>
                <w:szCs w:val="20"/>
                <w:lang w:eastAsia="ru-RU"/>
              </w:rPr>
              <w:t>Moldova</w:t>
            </w:r>
          </w:p>
        </w:tc>
        <w:tc>
          <w:tcPr>
            <w:tcW w:w="6910" w:type="dxa"/>
            <w:shd w:val="clear" w:color="auto" w:fill="auto"/>
            <w:vAlign w:val="bottom"/>
          </w:tcPr>
          <w:p w14:paraId="1B4481D1" w14:textId="77777777" w:rsidR="004824E1" w:rsidRPr="00B07809" w:rsidRDefault="004824E1" w:rsidP="004824E1">
            <w:pPr>
              <w:rPr>
                <w:rFonts w:ascii="Microsoft Sans Serif" w:hAnsi="Microsoft Sans Serif" w:cs="Microsoft Sans Serif"/>
                <w:sz w:val="20"/>
                <w:szCs w:val="20"/>
                <w:lang w:val="en-US"/>
              </w:rPr>
            </w:pPr>
            <w:r w:rsidRPr="00B07809">
              <w:rPr>
                <w:rFonts w:ascii="Microsoft Sans Serif" w:hAnsi="Microsoft Sans Serif" w:cs="Microsoft Sans Serif"/>
                <w:sz w:val="20"/>
                <w:szCs w:val="20"/>
                <w:lang w:val="en-US"/>
              </w:rPr>
              <w:t>The Law on Public Finance provides repayment of debt within the limits of the annual appropriations</w:t>
            </w:r>
          </w:p>
        </w:tc>
      </w:tr>
      <w:tr w:rsidR="004824E1" w:rsidRPr="00012E05" w14:paraId="4908A64C" w14:textId="77777777" w:rsidTr="004824E1">
        <w:trPr>
          <w:trHeight w:val="255"/>
        </w:trPr>
        <w:tc>
          <w:tcPr>
            <w:tcW w:w="1451" w:type="dxa"/>
            <w:shd w:val="clear" w:color="auto" w:fill="auto"/>
            <w:noWrap/>
            <w:vAlign w:val="bottom"/>
            <w:hideMark/>
          </w:tcPr>
          <w:p w14:paraId="4633BF3D" w14:textId="27874B01" w:rsidR="004824E1" w:rsidRPr="0073375B" w:rsidRDefault="004824E1" w:rsidP="004824E1">
            <w:pPr>
              <w:spacing w:after="0" w:line="240" w:lineRule="auto"/>
              <w:rPr>
                <w:rFonts w:ascii="Microsoft Sans Serif" w:eastAsia="Times New Roman" w:hAnsi="Microsoft Sans Serif" w:cs="Microsoft Sans Serif"/>
                <w:b/>
                <w:sz w:val="20"/>
                <w:szCs w:val="20"/>
                <w:lang w:eastAsia="ru-RU"/>
              </w:rPr>
            </w:pPr>
          </w:p>
        </w:tc>
        <w:tc>
          <w:tcPr>
            <w:tcW w:w="6910" w:type="dxa"/>
            <w:shd w:val="clear" w:color="auto" w:fill="auto"/>
          </w:tcPr>
          <w:p w14:paraId="2947F82D" w14:textId="77777777" w:rsidR="004824E1" w:rsidRPr="00012E05" w:rsidRDefault="004824E1" w:rsidP="004824E1">
            <w:pPr>
              <w:spacing w:after="0" w:line="240" w:lineRule="auto"/>
              <w:rPr>
                <w:rFonts w:ascii="Microsoft Sans Serif" w:eastAsia="Times New Roman" w:hAnsi="Microsoft Sans Serif" w:cs="Microsoft Sans Serif"/>
                <w:sz w:val="20"/>
                <w:szCs w:val="20"/>
                <w:lang w:eastAsia="ru-RU"/>
              </w:rPr>
            </w:pPr>
          </w:p>
        </w:tc>
      </w:tr>
    </w:tbl>
    <w:p w14:paraId="60AD3AAB" w14:textId="77777777" w:rsidR="00C3214D" w:rsidRDefault="00C3214D" w:rsidP="003E3C1A">
      <w:pPr>
        <w:rPr>
          <w:noProof/>
          <w:lang w:val="en-US"/>
        </w:rPr>
      </w:pPr>
    </w:p>
    <w:p w14:paraId="35B1A8E1" w14:textId="1E0CC6E1" w:rsidR="003E3C1A" w:rsidRPr="009326D3" w:rsidRDefault="00B06F82" w:rsidP="00DD47C2">
      <w:pPr>
        <w:rPr>
          <w:rFonts w:ascii="Times New Roman" w:hAnsi="Times New Roman" w:cs="Times New Roman"/>
          <w:b/>
          <w:noProof/>
          <w:color w:val="4F81BD" w:themeColor="accent1"/>
          <w:sz w:val="24"/>
          <w:szCs w:val="24"/>
          <w:lang w:val="en-US"/>
        </w:rPr>
      </w:pPr>
      <w:r w:rsidRPr="009326D3">
        <w:rPr>
          <w:rFonts w:ascii="Times New Roman" w:hAnsi="Times New Roman" w:cs="Times New Roman"/>
          <w:b/>
          <w:noProof/>
          <w:color w:val="4F81BD" w:themeColor="accent1"/>
          <w:sz w:val="24"/>
          <w:szCs w:val="24"/>
          <w:lang w:val="en-US"/>
        </w:rPr>
        <w:t>Conclusions</w:t>
      </w:r>
    </w:p>
    <w:p w14:paraId="32D5794B" w14:textId="77777777" w:rsidR="00017DBE" w:rsidRPr="009326D3" w:rsidRDefault="00A5559E" w:rsidP="00A5559E">
      <w:pPr>
        <w:pStyle w:val="ListParagraph"/>
        <w:spacing w:after="0" w:line="240" w:lineRule="auto"/>
        <w:ind w:left="0"/>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Two thirds of countries reponding to this stage of the process define and report arrears. Based on survey responses</w:t>
      </w:r>
      <w:r w:rsidR="00017DBE" w:rsidRPr="009326D3">
        <w:rPr>
          <w:rFonts w:ascii="Times New Roman" w:hAnsi="Times New Roman" w:cs="Times New Roman"/>
          <w:noProof/>
          <w:sz w:val="24"/>
          <w:szCs w:val="24"/>
          <w:lang w:val="en-US"/>
        </w:rPr>
        <w:t>,</w:t>
      </w:r>
      <w:r w:rsidRPr="009326D3">
        <w:rPr>
          <w:rFonts w:ascii="Times New Roman" w:hAnsi="Times New Roman" w:cs="Times New Roman"/>
          <w:noProof/>
          <w:sz w:val="24"/>
          <w:szCs w:val="24"/>
          <w:lang w:val="en-US"/>
        </w:rPr>
        <w:t xml:space="preserve"> Kazakhstan has the most comprehensive approach to reporting arrears, which may merit further discussion. The absence of reporting in four countries is however concerning,  as is the lack of consistency regarding the definition of arrears across respondent</w:t>
      </w:r>
      <w:r w:rsidR="00017DBE" w:rsidRPr="009326D3">
        <w:rPr>
          <w:rFonts w:ascii="Times New Roman" w:hAnsi="Times New Roman" w:cs="Times New Roman"/>
          <w:noProof/>
          <w:sz w:val="24"/>
          <w:szCs w:val="24"/>
          <w:lang w:val="en-US"/>
        </w:rPr>
        <w:t xml:space="preserve"> countries. Only four countries</w:t>
      </w:r>
      <w:r w:rsidRPr="009326D3">
        <w:rPr>
          <w:rFonts w:ascii="Times New Roman" w:hAnsi="Times New Roman" w:cs="Times New Roman"/>
          <w:noProof/>
          <w:sz w:val="24"/>
          <w:szCs w:val="24"/>
          <w:lang w:val="en-US"/>
        </w:rPr>
        <w:t xml:space="preserve"> incur penalties for delayed payment, which may result in a lack of incentives and consequences for poor administration in countries. The government should also be modelling good practice in relation to timely payment, particularly if it imposes fines and penalties to taxpayers for similar delays. </w:t>
      </w:r>
    </w:p>
    <w:p w14:paraId="4DC480D9" w14:textId="77777777" w:rsidR="00017DBE" w:rsidRPr="009326D3" w:rsidRDefault="00017DBE" w:rsidP="00A5559E">
      <w:pPr>
        <w:pStyle w:val="ListParagraph"/>
        <w:spacing w:after="0" w:line="240" w:lineRule="auto"/>
        <w:ind w:left="0"/>
        <w:rPr>
          <w:rFonts w:ascii="Times New Roman" w:hAnsi="Times New Roman" w:cs="Times New Roman"/>
          <w:noProof/>
          <w:sz w:val="24"/>
          <w:szCs w:val="24"/>
          <w:lang w:val="en-US"/>
        </w:rPr>
      </w:pPr>
    </w:p>
    <w:p w14:paraId="60B70778" w14:textId="5A9D6753" w:rsidR="007779D2" w:rsidRPr="009326D3" w:rsidRDefault="00A5559E" w:rsidP="00A5559E">
      <w:pPr>
        <w:pStyle w:val="ListParagraph"/>
        <w:spacing w:after="0" w:line="240" w:lineRule="auto"/>
        <w:ind w:left="0"/>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 xml:space="preserve">Albania is the only country that reported a specific law to deal with arrears </w:t>
      </w:r>
      <w:r w:rsidR="00017DBE" w:rsidRPr="009326D3">
        <w:rPr>
          <w:rFonts w:ascii="Times New Roman" w:hAnsi="Times New Roman" w:cs="Times New Roman"/>
          <w:noProof/>
          <w:sz w:val="24"/>
          <w:szCs w:val="24"/>
          <w:lang w:val="en-US"/>
        </w:rPr>
        <w:t>(see Box 2) a</w:t>
      </w:r>
      <w:r w:rsidRPr="009326D3">
        <w:rPr>
          <w:rFonts w:ascii="Times New Roman" w:hAnsi="Times New Roman" w:cs="Times New Roman"/>
          <w:noProof/>
          <w:sz w:val="24"/>
          <w:szCs w:val="24"/>
          <w:lang w:val="en-US"/>
        </w:rPr>
        <w:t>nd to determine penalties in a clear and consistent manner. This may</w:t>
      </w:r>
      <w:r w:rsidR="004910B4">
        <w:rPr>
          <w:rFonts w:ascii="Times New Roman" w:hAnsi="Times New Roman" w:cs="Times New Roman"/>
          <w:noProof/>
          <w:sz w:val="24"/>
          <w:szCs w:val="24"/>
          <w:lang w:val="en-US"/>
        </w:rPr>
        <w:t xml:space="preserve"> </w:t>
      </w:r>
      <w:r w:rsidRPr="009326D3">
        <w:rPr>
          <w:rFonts w:ascii="Times New Roman" w:hAnsi="Times New Roman" w:cs="Times New Roman"/>
          <w:noProof/>
          <w:sz w:val="24"/>
          <w:szCs w:val="24"/>
          <w:lang w:val="en-US"/>
        </w:rPr>
        <w:t>be a useful case</w:t>
      </w:r>
      <w:r w:rsidR="004910B4">
        <w:rPr>
          <w:rFonts w:ascii="Times New Roman" w:hAnsi="Times New Roman" w:cs="Times New Roman"/>
          <w:noProof/>
          <w:sz w:val="24"/>
          <w:szCs w:val="24"/>
          <w:lang w:val="en-US"/>
        </w:rPr>
        <w:t xml:space="preserve"> </w:t>
      </w:r>
      <w:r w:rsidRPr="009326D3">
        <w:rPr>
          <w:rFonts w:ascii="Times New Roman" w:hAnsi="Times New Roman" w:cs="Times New Roman"/>
          <w:noProof/>
          <w:sz w:val="24"/>
          <w:szCs w:val="24"/>
          <w:lang w:val="en-US"/>
        </w:rPr>
        <w:t xml:space="preserve">study for TCOP going forward. Albania and </w:t>
      </w:r>
      <w:r w:rsidR="00017DBE" w:rsidRPr="009326D3">
        <w:rPr>
          <w:rFonts w:ascii="Times New Roman" w:hAnsi="Times New Roman" w:cs="Times New Roman"/>
          <w:noProof/>
          <w:sz w:val="24"/>
          <w:szCs w:val="24"/>
          <w:lang w:val="en-US"/>
        </w:rPr>
        <w:t xml:space="preserve">Croatia also had clear strategies for reducing arrears. Documenting successful practices from countires with experience in arrears reduction may have benefits both for other TCOP countries and also in the broader general government sector.  </w:t>
      </w:r>
      <w:r w:rsidRPr="009326D3">
        <w:rPr>
          <w:rFonts w:ascii="Times New Roman" w:hAnsi="Times New Roman" w:cs="Times New Roman"/>
          <w:noProof/>
          <w:sz w:val="24"/>
          <w:szCs w:val="24"/>
          <w:lang w:val="en-US"/>
        </w:rPr>
        <w:t xml:space="preserve">  </w:t>
      </w:r>
    </w:p>
    <w:p w14:paraId="68F9616C" w14:textId="2C309514" w:rsidR="00E955BD" w:rsidRPr="009326D3" w:rsidRDefault="00E955BD" w:rsidP="009326D3">
      <w:pPr>
        <w:spacing w:after="0" w:line="240" w:lineRule="auto"/>
        <w:rPr>
          <w:noProof/>
          <w:lang w:val="en-US"/>
        </w:rPr>
      </w:pPr>
      <w:r w:rsidRPr="009326D3">
        <w:rPr>
          <w:noProof/>
          <w:lang w:val="en-US"/>
        </w:rPr>
        <w:t xml:space="preserve"> </w:t>
      </w:r>
    </w:p>
    <w:p w14:paraId="09B47174" w14:textId="77777777" w:rsidR="00E955BD" w:rsidRDefault="00E955BD">
      <w:pPr>
        <w:spacing w:after="0" w:line="240" w:lineRule="auto"/>
        <w:rPr>
          <w:highlight w:val="green"/>
        </w:rPr>
      </w:pPr>
    </w:p>
    <w:p w14:paraId="2364353D" w14:textId="22ADE434" w:rsidR="00370EA8" w:rsidRPr="009326D3" w:rsidRDefault="00DD47C2">
      <w:pPr>
        <w:spacing w:after="0" w:line="240" w:lineRule="auto"/>
        <w:rPr>
          <w:rFonts w:ascii="Times New Roman" w:hAnsi="Times New Roman" w:cs="Times New Roman"/>
          <w:b/>
          <w:color w:val="4F81BD" w:themeColor="accent1"/>
          <w:sz w:val="28"/>
          <w:szCs w:val="28"/>
        </w:rPr>
      </w:pPr>
      <w:r w:rsidRPr="009326D3">
        <w:rPr>
          <w:rFonts w:ascii="Times New Roman" w:hAnsi="Times New Roman" w:cs="Times New Roman"/>
          <w:b/>
          <w:color w:val="4F81BD" w:themeColor="accent1"/>
          <w:sz w:val="28"/>
          <w:szCs w:val="28"/>
        </w:rPr>
        <w:t>Summary of Survey Findings, Conclusions and Next Steps</w:t>
      </w:r>
    </w:p>
    <w:p w14:paraId="1ED5A6FC" w14:textId="77777777" w:rsidR="00DD47C2" w:rsidRPr="00DD47C2" w:rsidRDefault="00DD47C2">
      <w:pPr>
        <w:spacing w:after="0" w:line="240" w:lineRule="auto"/>
      </w:pPr>
    </w:p>
    <w:p w14:paraId="44E74E06" w14:textId="37B1A891" w:rsidR="00DD47C2" w:rsidRPr="00111CFF" w:rsidRDefault="00DD47C2">
      <w:pPr>
        <w:spacing w:after="0" w:line="240" w:lineRule="auto"/>
        <w:rPr>
          <w:rFonts w:ascii="Times New Roman" w:hAnsi="Times New Roman" w:cs="Times New Roman"/>
          <w:b/>
          <w:color w:val="4F81BD" w:themeColor="accent1"/>
          <w:sz w:val="24"/>
          <w:szCs w:val="24"/>
        </w:rPr>
      </w:pPr>
      <w:r w:rsidRPr="00111CFF">
        <w:rPr>
          <w:rFonts w:ascii="Times New Roman" w:hAnsi="Times New Roman" w:cs="Times New Roman"/>
          <w:b/>
          <w:color w:val="4F81BD" w:themeColor="accent1"/>
          <w:sz w:val="24"/>
          <w:szCs w:val="24"/>
        </w:rPr>
        <w:t>Key Findings and Conclusions</w:t>
      </w:r>
    </w:p>
    <w:p w14:paraId="4E02E831" w14:textId="77777777" w:rsidR="00931F19" w:rsidRDefault="00931F19">
      <w:pPr>
        <w:spacing w:after="0" w:line="240" w:lineRule="auto"/>
        <w:rPr>
          <w:rFonts w:ascii="Times New Roman" w:hAnsi="Times New Roman" w:cs="Times New Roman"/>
          <w:b/>
          <w:color w:val="4F81BD" w:themeColor="accent1"/>
        </w:rPr>
      </w:pPr>
    </w:p>
    <w:p w14:paraId="4491420D" w14:textId="77777777" w:rsidR="0061534E" w:rsidRDefault="0061534E">
      <w:pPr>
        <w:spacing w:after="0" w:line="240" w:lineRule="auto"/>
        <w:rPr>
          <w:rFonts w:ascii="Times New Roman" w:hAnsi="Times New Roman" w:cs="Times New Roman"/>
          <w:b/>
          <w:color w:val="4F81BD" w:themeColor="accent1"/>
        </w:rPr>
      </w:pPr>
    </w:p>
    <w:p w14:paraId="609290B7" w14:textId="6D8599C5" w:rsidR="00931F19" w:rsidRDefault="00931F19">
      <w:pPr>
        <w:spacing w:after="0" w:line="240" w:lineRule="auto"/>
        <w:rPr>
          <w:rFonts w:ascii="Times New Roman" w:hAnsi="Times New Roman" w:cs="Times New Roman"/>
          <w:b/>
          <w:color w:val="4F81BD" w:themeColor="accent1"/>
        </w:rPr>
      </w:pPr>
      <w:r>
        <w:rPr>
          <w:rFonts w:ascii="Times New Roman" w:hAnsi="Times New Roman" w:cs="Times New Roman"/>
          <w:b/>
          <w:color w:val="4F81BD" w:themeColor="accent1"/>
        </w:rPr>
        <w:t>Stage One</w:t>
      </w:r>
      <w:r w:rsidR="00A67361">
        <w:rPr>
          <w:rFonts w:ascii="Times New Roman" w:hAnsi="Times New Roman" w:cs="Times New Roman"/>
          <w:b/>
          <w:color w:val="4F81BD" w:themeColor="accent1"/>
        </w:rPr>
        <w:t xml:space="preserve"> – Pre-Commitment</w:t>
      </w:r>
      <w:r>
        <w:rPr>
          <w:rFonts w:ascii="Times New Roman" w:hAnsi="Times New Roman" w:cs="Times New Roman"/>
          <w:b/>
          <w:color w:val="4F81BD" w:themeColor="accent1"/>
        </w:rPr>
        <w:t xml:space="preserve"> </w:t>
      </w:r>
    </w:p>
    <w:p w14:paraId="71C6B26A" w14:textId="77777777" w:rsidR="00931F19" w:rsidRDefault="00931F19">
      <w:pPr>
        <w:spacing w:after="0" w:line="240" w:lineRule="auto"/>
        <w:rPr>
          <w:rFonts w:ascii="Times New Roman" w:hAnsi="Times New Roman" w:cs="Times New Roman"/>
          <w:b/>
          <w:color w:val="4F81BD" w:themeColor="accent1"/>
        </w:rPr>
      </w:pPr>
    </w:p>
    <w:p w14:paraId="03DBAE72" w14:textId="69149A41" w:rsidR="001A3ABD" w:rsidRDefault="00931F19" w:rsidP="001A3ABD">
      <w:pPr>
        <w:pStyle w:val="ListParagraph"/>
        <w:numPr>
          <w:ilvl w:val="0"/>
          <w:numId w:val="26"/>
        </w:numPr>
        <w:spacing w:after="0" w:line="240" w:lineRule="auto"/>
        <w:rPr>
          <w:rFonts w:ascii="Times New Roman" w:hAnsi="Times New Roman" w:cs="Times New Roman"/>
          <w:sz w:val="24"/>
          <w:szCs w:val="24"/>
        </w:rPr>
      </w:pPr>
      <w:r w:rsidRPr="001A3ABD">
        <w:rPr>
          <w:rFonts w:ascii="Times New Roman" w:hAnsi="Times New Roman" w:cs="Times New Roman"/>
          <w:sz w:val="24"/>
          <w:szCs w:val="24"/>
        </w:rPr>
        <w:t>There appears to be some misunderstanding regarding what is meant by pre-commitment, given six of fourteen countries indicated they do not have any formal elements in th</w:t>
      </w:r>
      <w:r w:rsidR="00111CFF">
        <w:rPr>
          <w:rFonts w:ascii="Times New Roman" w:hAnsi="Times New Roman" w:cs="Times New Roman"/>
          <w:sz w:val="24"/>
          <w:szCs w:val="24"/>
        </w:rPr>
        <w:t>e</w:t>
      </w:r>
      <w:r w:rsidRPr="001A3ABD">
        <w:rPr>
          <w:rFonts w:ascii="Times New Roman" w:hAnsi="Times New Roman" w:cs="Times New Roman"/>
          <w:sz w:val="24"/>
          <w:szCs w:val="24"/>
        </w:rPr>
        <w:t>i</w:t>
      </w:r>
      <w:r w:rsidR="00111CFF">
        <w:rPr>
          <w:rFonts w:ascii="Times New Roman" w:hAnsi="Times New Roman" w:cs="Times New Roman"/>
          <w:sz w:val="24"/>
          <w:szCs w:val="24"/>
        </w:rPr>
        <w:t>r</w:t>
      </w:r>
      <w:r w:rsidRPr="001A3ABD">
        <w:rPr>
          <w:rFonts w:ascii="Times New Roman" w:hAnsi="Times New Roman" w:cs="Times New Roman"/>
          <w:sz w:val="24"/>
          <w:szCs w:val="24"/>
        </w:rPr>
        <w:t xml:space="preserve"> process. Most countries should have some element of pre-commitment, as this is </w:t>
      </w:r>
      <w:r w:rsidR="00111CFF">
        <w:rPr>
          <w:rFonts w:ascii="Times New Roman" w:hAnsi="Times New Roman" w:cs="Times New Roman"/>
          <w:sz w:val="24"/>
          <w:szCs w:val="24"/>
        </w:rPr>
        <w:t xml:space="preserve">also </w:t>
      </w:r>
      <w:r w:rsidRPr="001A3ABD">
        <w:rPr>
          <w:rFonts w:ascii="Times New Roman" w:hAnsi="Times New Roman" w:cs="Times New Roman"/>
          <w:sz w:val="24"/>
          <w:szCs w:val="24"/>
        </w:rPr>
        <w:t xml:space="preserve">part of </w:t>
      </w:r>
      <w:r w:rsidR="00171D0B">
        <w:rPr>
          <w:rFonts w:ascii="Times New Roman" w:hAnsi="Times New Roman" w:cs="Times New Roman"/>
          <w:sz w:val="24"/>
          <w:szCs w:val="24"/>
        </w:rPr>
        <w:t xml:space="preserve">government </w:t>
      </w:r>
      <w:r w:rsidRPr="001A3ABD">
        <w:rPr>
          <w:rFonts w:ascii="Times New Roman" w:hAnsi="Times New Roman" w:cs="Times New Roman"/>
          <w:sz w:val="24"/>
          <w:szCs w:val="24"/>
        </w:rPr>
        <w:t>procurement</w:t>
      </w:r>
      <w:r w:rsidR="00171D0B">
        <w:rPr>
          <w:rFonts w:ascii="Times New Roman" w:hAnsi="Times New Roman" w:cs="Times New Roman"/>
          <w:sz w:val="24"/>
          <w:szCs w:val="24"/>
        </w:rPr>
        <w:t xml:space="preserve"> processes</w:t>
      </w:r>
      <w:r w:rsidR="00111CFF">
        <w:rPr>
          <w:rFonts w:ascii="Times New Roman" w:hAnsi="Times New Roman" w:cs="Times New Roman"/>
          <w:sz w:val="24"/>
          <w:szCs w:val="24"/>
        </w:rPr>
        <w:t>;</w:t>
      </w:r>
      <w:r w:rsidRPr="001A3ABD">
        <w:rPr>
          <w:rFonts w:ascii="Times New Roman" w:hAnsi="Times New Roman" w:cs="Times New Roman"/>
          <w:sz w:val="24"/>
          <w:szCs w:val="24"/>
        </w:rPr>
        <w:t xml:space="preserve"> </w:t>
      </w:r>
    </w:p>
    <w:p w14:paraId="3114CAC7" w14:textId="7C911E18" w:rsidR="00931F19" w:rsidRPr="001A3ABD" w:rsidRDefault="00931F19" w:rsidP="00931F19">
      <w:pPr>
        <w:pStyle w:val="ListParagraph"/>
        <w:numPr>
          <w:ilvl w:val="0"/>
          <w:numId w:val="26"/>
        </w:numPr>
        <w:spacing w:after="0" w:line="240" w:lineRule="auto"/>
        <w:rPr>
          <w:rFonts w:ascii="Times New Roman" w:hAnsi="Times New Roman" w:cs="Times New Roman"/>
          <w:sz w:val="24"/>
          <w:szCs w:val="24"/>
        </w:rPr>
      </w:pPr>
      <w:r w:rsidRPr="001A3ABD">
        <w:rPr>
          <w:rFonts w:ascii="Times New Roman" w:hAnsi="Times New Roman" w:cs="Times New Roman"/>
          <w:sz w:val="24"/>
          <w:szCs w:val="24"/>
        </w:rPr>
        <w:t xml:space="preserve">Even those countries that </w:t>
      </w:r>
      <w:r w:rsidR="00111CFF">
        <w:rPr>
          <w:rFonts w:ascii="Times New Roman" w:hAnsi="Times New Roman" w:cs="Times New Roman"/>
          <w:sz w:val="24"/>
          <w:szCs w:val="24"/>
        </w:rPr>
        <w:t xml:space="preserve">indicated they had pre-commitments </w:t>
      </w:r>
      <w:r w:rsidRPr="001A3ABD">
        <w:rPr>
          <w:rFonts w:ascii="Times New Roman" w:hAnsi="Times New Roman" w:cs="Times New Roman"/>
          <w:sz w:val="24"/>
          <w:szCs w:val="24"/>
        </w:rPr>
        <w:t xml:space="preserve">generally interpreted </w:t>
      </w:r>
      <w:r w:rsidR="00111CFF">
        <w:rPr>
          <w:rFonts w:ascii="Times New Roman" w:hAnsi="Times New Roman" w:cs="Times New Roman"/>
          <w:sz w:val="24"/>
          <w:szCs w:val="24"/>
        </w:rPr>
        <w:t xml:space="preserve">this </w:t>
      </w:r>
      <w:r w:rsidRPr="001A3ABD">
        <w:rPr>
          <w:rFonts w:ascii="Times New Roman" w:hAnsi="Times New Roman" w:cs="Times New Roman"/>
          <w:sz w:val="24"/>
          <w:szCs w:val="24"/>
        </w:rPr>
        <w:t>to be part of budget planning rather than budget execution control</w:t>
      </w:r>
      <w:r w:rsidR="00111CFF">
        <w:rPr>
          <w:rFonts w:ascii="Times New Roman" w:hAnsi="Times New Roman" w:cs="Times New Roman"/>
          <w:sz w:val="24"/>
          <w:szCs w:val="24"/>
        </w:rPr>
        <w:t xml:space="preserve"> (there is of course a strong relationship);</w:t>
      </w:r>
      <w:r w:rsidRPr="001A3ABD">
        <w:rPr>
          <w:rFonts w:ascii="Times New Roman" w:hAnsi="Times New Roman" w:cs="Times New Roman"/>
          <w:sz w:val="24"/>
          <w:szCs w:val="24"/>
        </w:rPr>
        <w:t xml:space="preserve"> </w:t>
      </w:r>
    </w:p>
    <w:p w14:paraId="075BE198" w14:textId="6F365847" w:rsidR="001A3ABD" w:rsidRPr="00D06DDE" w:rsidRDefault="00931F19" w:rsidP="00D06DDE">
      <w:pPr>
        <w:pStyle w:val="ListParagraph"/>
        <w:numPr>
          <w:ilvl w:val="0"/>
          <w:numId w:val="26"/>
        </w:numPr>
        <w:spacing w:after="0" w:line="240" w:lineRule="auto"/>
        <w:rPr>
          <w:rFonts w:ascii="Times New Roman" w:hAnsi="Times New Roman" w:cs="Times New Roman"/>
          <w:sz w:val="24"/>
          <w:szCs w:val="24"/>
        </w:rPr>
      </w:pPr>
      <w:r w:rsidRPr="00D06DDE">
        <w:rPr>
          <w:rFonts w:ascii="Times New Roman" w:hAnsi="Times New Roman" w:cs="Times New Roman"/>
          <w:sz w:val="24"/>
          <w:szCs w:val="24"/>
        </w:rPr>
        <w:t>Th</w:t>
      </w:r>
      <w:r w:rsidR="00171D0B">
        <w:rPr>
          <w:rFonts w:ascii="Times New Roman" w:hAnsi="Times New Roman" w:cs="Times New Roman"/>
          <w:sz w:val="24"/>
          <w:szCs w:val="24"/>
        </w:rPr>
        <w:t xml:space="preserve">e recording of pre-commitments </w:t>
      </w:r>
      <w:r w:rsidRPr="00D06DDE">
        <w:rPr>
          <w:rFonts w:ascii="Times New Roman" w:hAnsi="Times New Roman" w:cs="Times New Roman"/>
          <w:sz w:val="24"/>
          <w:szCs w:val="24"/>
        </w:rPr>
        <w:t xml:space="preserve">also varies although seven of the eight responding countries record pre-commitments in either the central FMIS or MDA FMIS. This suggests that for these </w:t>
      </w:r>
      <w:r w:rsidRPr="00D06DDE">
        <w:rPr>
          <w:rFonts w:ascii="Times New Roman" w:hAnsi="Times New Roman" w:cs="Times New Roman"/>
          <w:sz w:val="24"/>
          <w:szCs w:val="24"/>
        </w:rPr>
        <w:lastRenderedPageBreak/>
        <w:t xml:space="preserve">countries at least, this information will be available to compare against budget allocations and </w:t>
      </w:r>
      <w:r w:rsidR="001A3ABD" w:rsidRPr="00D06DDE">
        <w:rPr>
          <w:rFonts w:ascii="Times New Roman" w:hAnsi="Times New Roman" w:cs="Times New Roman"/>
          <w:sz w:val="24"/>
          <w:szCs w:val="24"/>
        </w:rPr>
        <w:t xml:space="preserve">for budget control purposes. </w:t>
      </w:r>
    </w:p>
    <w:p w14:paraId="2ED61F3E" w14:textId="77777777" w:rsidR="00931F19" w:rsidRPr="008A7117" w:rsidRDefault="00931F19" w:rsidP="00931F19">
      <w:pPr>
        <w:pStyle w:val="ListParagraph"/>
        <w:spacing w:after="0" w:line="240" w:lineRule="auto"/>
        <w:ind w:left="360"/>
        <w:rPr>
          <w:rFonts w:ascii="Times New Roman" w:hAnsi="Times New Roman" w:cs="Times New Roman"/>
          <w:sz w:val="24"/>
          <w:szCs w:val="24"/>
        </w:rPr>
      </w:pPr>
      <w:r w:rsidRPr="008A7117">
        <w:rPr>
          <w:rFonts w:ascii="Times New Roman" w:hAnsi="Times New Roman" w:cs="Times New Roman"/>
          <w:sz w:val="24"/>
          <w:szCs w:val="24"/>
        </w:rPr>
        <w:t xml:space="preserve"> </w:t>
      </w:r>
    </w:p>
    <w:p w14:paraId="120E3A55" w14:textId="3969062A" w:rsidR="00931F19" w:rsidRPr="00D06DDE" w:rsidRDefault="001A3ABD">
      <w:pPr>
        <w:spacing w:after="0" w:line="240" w:lineRule="auto"/>
        <w:rPr>
          <w:rFonts w:ascii="Times New Roman" w:hAnsi="Times New Roman" w:cs="Times New Roman"/>
          <w:b/>
          <w:color w:val="4F81BD" w:themeColor="accent1"/>
          <w:sz w:val="24"/>
          <w:szCs w:val="24"/>
        </w:rPr>
      </w:pPr>
      <w:r w:rsidRPr="00D06DDE">
        <w:rPr>
          <w:rFonts w:ascii="Times New Roman" w:hAnsi="Times New Roman" w:cs="Times New Roman"/>
          <w:b/>
          <w:color w:val="4F81BD" w:themeColor="accent1"/>
          <w:sz w:val="24"/>
          <w:szCs w:val="24"/>
        </w:rPr>
        <w:t>Stage Two</w:t>
      </w:r>
      <w:r w:rsidR="00A67361">
        <w:rPr>
          <w:rFonts w:ascii="Times New Roman" w:hAnsi="Times New Roman" w:cs="Times New Roman"/>
          <w:b/>
          <w:color w:val="4F81BD" w:themeColor="accent1"/>
          <w:sz w:val="24"/>
          <w:szCs w:val="24"/>
        </w:rPr>
        <w:t xml:space="preserve"> - Commitments</w:t>
      </w:r>
    </w:p>
    <w:p w14:paraId="4526DAF5" w14:textId="77777777" w:rsidR="001A3ABD" w:rsidRPr="00D06DDE" w:rsidRDefault="001A3ABD">
      <w:pPr>
        <w:spacing w:after="0" w:line="240" w:lineRule="auto"/>
        <w:rPr>
          <w:rFonts w:ascii="Times New Roman" w:hAnsi="Times New Roman" w:cs="Times New Roman"/>
          <w:b/>
          <w:color w:val="4F81BD" w:themeColor="accent1"/>
          <w:sz w:val="24"/>
          <w:szCs w:val="24"/>
        </w:rPr>
      </w:pPr>
    </w:p>
    <w:p w14:paraId="095AF830" w14:textId="3C1FE38C" w:rsidR="001A3ABD" w:rsidRPr="00D06DDE" w:rsidRDefault="001A3ABD" w:rsidP="001A3ABD">
      <w:pPr>
        <w:pStyle w:val="ListParagraph"/>
        <w:numPr>
          <w:ilvl w:val="0"/>
          <w:numId w:val="27"/>
        </w:numPr>
        <w:spacing w:after="0" w:line="240" w:lineRule="auto"/>
        <w:rPr>
          <w:rFonts w:ascii="Times New Roman" w:hAnsi="Times New Roman" w:cs="Times New Roman"/>
          <w:sz w:val="24"/>
          <w:szCs w:val="24"/>
        </w:rPr>
      </w:pPr>
      <w:r w:rsidRPr="00D06DDE">
        <w:rPr>
          <w:rFonts w:ascii="Times New Roman" w:hAnsi="Times New Roman" w:cs="Times New Roman"/>
          <w:sz w:val="24"/>
          <w:szCs w:val="24"/>
        </w:rPr>
        <w:t xml:space="preserve">Most countries </w:t>
      </w:r>
      <w:r w:rsidR="00145DE3">
        <w:rPr>
          <w:rFonts w:ascii="Times New Roman" w:hAnsi="Times New Roman" w:cs="Times New Roman"/>
          <w:sz w:val="24"/>
          <w:szCs w:val="24"/>
        </w:rPr>
        <w:t xml:space="preserve">indicate that they </w:t>
      </w:r>
      <w:r w:rsidRPr="00D06DDE">
        <w:rPr>
          <w:rFonts w:ascii="Times New Roman" w:hAnsi="Times New Roman" w:cs="Times New Roman"/>
          <w:sz w:val="24"/>
          <w:szCs w:val="24"/>
        </w:rPr>
        <w:t xml:space="preserve">have </w:t>
      </w:r>
      <w:r w:rsidR="00145DE3">
        <w:rPr>
          <w:rFonts w:ascii="Times New Roman" w:hAnsi="Times New Roman" w:cs="Times New Roman"/>
          <w:sz w:val="24"/>
          <w:szCs w:val="24"/>
        </w:rPr>
        <w:t>a concept</w:t>
      </w:r>
      <w:r w:rsidRPr="00D06DDE">
        <w:rPr>
          <w:rFonts w:ascii="Times New Roman" w:hAnsi="Times New Roman" w:cs="Times New Roman"/>
          <w:sz w:val="24"/>
          <w:szCs w:val="24"/>
        </w:rPr>
        <w:t xml:space="preserve"> of commitments that accord</w:t>
      </w:r>
      <w:r w:rsidR="00145DE3">
        <w:rPr>
          <w:rFonts w:ascii="Times New Roman" w:hAnsi="Times New Roman" w:cs="Times New Roman"/>
          <w:sz w:val="24"/>
          <w:szCs w:val="24"/>
        </w:rPr>
        <w:t>s</w:t>
      </w:r>
      <w:r w:rsidRPr="00D06DDE">
        <w:rPr>
          <w:rFonts w:ascii="Times New Roman" w:hAnsi="Times New Roman" w:cs="Times New Roman"/>
          <w:sz w:val="24"/>
          <w:szCs w:val="24"/>
        </w:rPr>
        <w:t xml:space="preserve"> with the example</w:t>
      </w:r>
      <w:r w:rsidR="003B3B78">
        <w:rPr>
          <w:rFonts w:ascii="Times New Roman" w:hAnsi="Times New Roman" w:cs="Times New Roman"/>
          <w:sz w:val="24"/>
          <w:szCs w:val="24"/>
        </w:rPr>
        <w:t xml:space="preserve"> provided in the questionnaire;</w:t>
      </w:r>
      <w:r w:rsidRPr="00D06DDE">
        <w:rPr>
          <w:rFonts w:ascii="Times New Roman" w:hAnsi="Times New Roman" w:cs="Times New Roman"/>
          <w:sz w:val="24"/>
          <w:szCs w:val="24"/>
        </w:rPr>
        <w:t xml:space="preserve"> </w:t>
      </w:r>
    </w:p>
    <w:p w14:paraId="29182BA1" w14:textId="179B4E70" w:rsidR="003B3B78" w:rsidRDefault="00D06DDE" w:rsidP="001A3ABD">
      <w:pPr>
        <w:pStyle w:val="ListParagraph"/>
        <w:numPr>
          <w:ilvl w:val="0"/>
          <w:numId w:val="27"/>
        </w:numPr>
        <w:spacing w:after="0" w:line="240" w:lineRule="auto"/>
        <w:rPr>
          <w:rFonts w:ascii="Times New Roman" w:hAnsi="Times New Roman" w:cs="Times New Roman"/>
          <w:sz w:val="24"/>
          <w:szCs w:val="24"/>
        </w:rPr>
      </w:pPr>
      <w:r w:rsidRPr="00D06DDE">
        <w:rPr>
          <w:rFonts w:ascii="Times New Roman" w:hAnsi="Times New Roman" w:cs="Times New Roman"/>
          <w:sz w:val="24"/>
          <w:szCs w:val="24"/>
        </w:rPr>
        <w:t>T</w:t>
      </w:r>
      <w:r w:rsidR="001A3ABD" w:rsidRPr="00D06DDE">
        <w:rPr>
          <w:rFonts w:ascii="Times New Roman" w:hAnsi="Times New Roman" w:cs="Times New Roman"/>
          <w:sz w:val="24"/>
          <w:szCs w:val="24"/>
        </w:rPr>
        <w:t>here is significant divergence across PEMPAL respondent countries</w:t>
      </w:r>
      <w:r w:rsidRPr="00D06DDE">
        <w:rPr>
          <w:rFonts w:ascii="Times New Roman" w:hAnsi="Times New Roman" w:cs="Times New Roman"/>
          <w:sz w:val="24"/>
          <w:szCs w:val="24"/>
        </w:rPr>
        <w:t xml:space="preserve"> in relation to the recognition and recording of commitments. </w:t>
      </w:r>
    </w:p>
    <w:p w14:paraId="71F8CDFD" w14:textId="15F0CC7D" w:rsidR="003B3B78" w:rsidRDefault="003B3B78" w:rsidP="001A3ABD">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Only five countries are issuing POs from an FMIS where appropriations are also controlled in a timeframe close to when the contract is signed</w:t>
      </w:r>
      <w:r w:rsidR="00145DE3">
        <w:rPr>
          <w:rFonts w:ascii="Times New Roman" w:hAnsi="Times New Roman" w:cs="Times New Roman"/>
          <w:sz w:val="24"/>
          <w:szCs w:val="24"/>
        </w:rPr>
        <w:t xml:space="preserve"> - </w:t>
      </w:r>
      <w:r w:rsidR="00145DE3" w:rsidRPr="00D06DDE">
        <w:rPr>
          <w:rFonts w:ascii="Times New Roman" w:hAnsi="Times New Roman" w:cs="Times New Roman"/>
          <w:sz w:val="24"/>
          <w:szCs w:val="24"/>
        </w:rPr>
        <w:t>Issuing a system based PO to record the commitment from the FMIS close to the time the contractual obligation occurs provides strong budgetary control and can provide additional useful information for cash management</w:t>
      </w:r>
      <w:r w:rsidR="00145DE3">
        <w:rPr>
          <w:rFonts w:ascii="Times New Roman" w:hAnsi="Times New Roman" w:cs="Times New Roman"/>
          <w:sz w:val="24"/>
          <w:szCs w:val="24"/>
        </w:rPr>
        <w:t>;</w:t>
      </w:r>
      <w:r>
        <w:rPr>
          <w:rFonts w:ascii="Times New Roman" w:hAnsi="Times New Roman" w:cs="Times New Roman"/>
          <w:sz w:val="24"/>
          <w:szCs w:val="24"/>
        </w:rPr>
        <w:t xml:space="preserve"> </w:t>
      </w:r>
    </w:p>
    <w:p w14:paraId="228033DD" w14:textId="5758708C" w:rsidR="001A3ABD" w:rsidRPr="00D06DDE" w:rsidRDefault="00145DE3" w:rsidP="001A3ABD">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For other countries,</w:t>
      </w:r>
      <w:r w:rsidR="001A3ABD" w:rsidRPr="00D06DDE">
        <w:rPr>
          <w:rFonts w:ascii="Times New Roman" w:hAnsi="Times New Roman" w:cs="Times New Roman"/>
          <w:sz w:val="24"/>
          <w:szCs w:val="24"/>
        </w:rPr>
        <w:t xml:space="preserve"> POs are </w:t>
      </w:r>
      <w:r>
        <w:rPr>
          <w:rFonts w:ascii="Times New Roman" w:hAnsi="Times New Roman" w:cs="Times New Roman"/>
          <w:sz w:val="24"/>
          <w:szCs w:val="24"/>
        </w:rPr>
        <w:t xml:space="preserve">either not issued, </w:t>
      </w:r>
      <w:r w:rsidR="001A3ABD" w:rsidRPr="00D06DDE">
        <w:rPr>
          <w:rFonts w:ascii="Times New Roman" w:hAnsi="Times New Roman" w:cs="Times New Roman"/>
          <w:sz w:val="24"/>
          <w:szCs w:val="24"/>
        </w:rPr>
        <w:t>issued some time later</w:t>
      </w:r>
      <w:r>
        <w:rPr>
          <w:rFonts w:ascii="Times New Roman" w:hAnsi="Times New Roman" w:cs="Times New Roman"/>
          <w:sz w:val="24"/>
          <w:szCs w:val="24"/>
        </w:rPr>
        <w:t>,</w:t>
      </w:r>
      <w:r w:rsidR="001A3ABD" w:rsidRPr="00D06DDE">
        <w:rPr>
          <w:rFonts w:ascii="Times New Roman" w:hAnsi="Times New Roman" w:cs="Times New Roman"/>
          <w:sz w:val="24"/>
          <w:szCs w:val="24"/>
        </w:rPr>
        <w:t xml:space="preserve"> or only when quarterly funds are released</w:t>
      </w:r>
      <w:r>
        <w:rPr>
          <w:rFonts w:ascii="Times New Roman" w:hAnsi="Times New Roman" w:cs="Times New Roman"/>
          <w:sz w:val="24"/>
          <w:szCs w:val="24"/>
        </w:rPr>
        <w:t xml:space="preserve">. This will result in </w:t>
      </w:r>
      <w:r w:rsidR="001A3ABD" w:rsidRPr="00D06DDE">
        <w:rPr>
          <w:rFonts w:ascii="Times New Roman" w:hAnsi="Times New Roman" w:cs="Times New Roman"/>
          <w:sz w:val="24"/>
          <w:szCs w:val="24"/>
        </w:rPr>
        <w:t>suboptimal</w:t>
      </w:r>
      <w:r>
        <w:rPr>
          <w:rFonts w:ascii="Times New Roman" w:hAnsi="Times New Roman" w:cs="Times New Roman"/>
          <w:sz w:val="24"/>
          <w:szCs w:val="24"/>
        </w:rPr>
        <w:t xml:space="preserve"> information for budget control and cash management</w:t>
      </w:r>
      <w:r w:rsidR="001A3ABD" w:rsidRPr="00D06DDE">
        <w:rPr>
          <w:rFonts w:ascii="Times New Roman" w:hAnsi="Times New Roman" w:cs="Times New Roman"/>
          <w:sz w:val="24"/>
          <w:szCs w:val="24"/>
        </w:rPr>
        <w:t xml:space="preserve">.  </w:t>
      </w:r>
    </w:p>
    <w:p w14:paraId="2B5265F3" w14:textId="77777777" w:rsidR="001A3ABD" w:rsidRDefault="001A3ABD" w:rsidP="001A3ABD">
      <w:pPr>
        <w:spacing w:after="0" w:line="240" w:lineRule="auto"/>
        <w:rPr>
          <w:rFonts w:ascii="Times New Roman" w:hAnsi="Times New Roman" w:cs="Times New Roman"/>
          <w:sz w:val="24"/>
          <w:szCs w:val="24"/>
        </w:rPr>
      </w:pPr>
    </w:p>
    <w:p w14:paraId="5BD54CA0" w14:textId="5D41120E" w:rsidR="00D06DDE" w:rsidRPr="00D06DDE" w:rsidRDefault="00D06DDE" w:rsidP="001A3ABD">
      <w:pPr>
        <w:spacing w:after="0" w:line="240" w:lineRule="auto"/>
        <w:rPr>
          <w:rFonts w:ascii="Times New Roman" w:hAnsi="Times New Roman" w:cs="Times New Roman"/>
          <w:b/>
          <w:color w:val="4F81BD" w:themeColor="accent1"/>
          <w:sz w:val="24"/>
          <w:szCs w:val="24"/>
        </w:rPr>
      </w:pPr>
      <w:r w:rsidRPr="00D06DDE">
        <w:rPr>
          <w:rFonts w:ascii="Times New Roman" w:hAnsi="Times New Roman" w:cs="Times New Roman"/>
          <w:b/>
          <w:color w:val="4F81BD" w:themeColor="accent1"/>
          <w:sz w:val="24"/>
          <w:szCs w:val="24"/>
        </w:rPr>
        <w:t>Stage Three</w:t>
      </w:r>
      <w:r w:rsidR="00A67361">
        <w:rPr>
          <w:rFonts w:ascii="Times New Roman" w:hAnsi="Times New Roman" w:cs="Times New Roman"/>
          <w:b/>
          <w:color w:val="4F81BD" w:themeColor="accent1"/>
          <w:sz w:val="24"/>
          <w:szCs w:val="24"/>
        </w:rPr>
        <w:t xml:space="preserve"> – Receipt of Goods and Services</w:t>
      </w:r>
    </w:p>
    <w:p w14:paraId="2ADFD889" w14:textId="77777777" w:rsidR="00D06DDE" w:rsidRPr="009326D3" w:rsidRDefault="00D06DDE" w:rsidP="00D06DDE">
      <w:pPr>
        <w:spacing w:after="0" w:line="240" w:lineRule="auto"/>
        <w:rPr>
          <w:rFonts w:ascii="Times New Roman" w:hAnsi="Times New Roman" w:cs="Times New Roman"/>
          <w:sz w:val="24"/>
          <w:szCs w:val="24"/>
        </w:rPr>
      </w:pPr>
    </w:p>
    <w:p w14:paraId="6882D2A3" w14:textId="2E9F5958" w:rsidR="00D06DDE" w:rsidRPr="00D06DDE" w:rsidRDefault="00D06DDE" w:rsidP="00D06DDE">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Just five</w:t>
      </w:r>
      <w:r w:rsidRPr="00D06DDE">
        <w:rPr>
          <w:rFonts w:ascii="Times New Roman" w:hAnsi="Times New Roman" w:cs="Times New Roman"/>
          <w:sz w:val="24"/>
          <w:szCs w:val="24"/>
        </w:rPr>
        <w:t xml:space="preserve"> countries recogni</w:t>
      </w:r>
      <w:r>
        <w:rPr>
          <w:rFonts w:ascii="Times New Roman" w:hAnsi="Times New Roman" w:cs="Times New Roman"/>
          <w:sz w:val="24"/>
          <w:szCs w:val="24"/>
        </w:rPr>
        <w:t xml:space="preserve">ze </w:t>
      </w:r>
      <w:r w:rsidR="00145DE3">
        <w:rPr>
          <w:rFonts w:ascii="Times New Roman" w:hAnsi="Times New Roman" w:cs="Times New Roman"/>
          <w:sz w:val="24"/>
          <w:szCs w:val="24"/>
        </w:rPr>
        <w:t xml:space="preserve">the </w:t>
      </w:r>
      <w:r>
        <w:rPr>
          <w:rFonts w:ascii="Times New Roman" w:hAnsi="Times New Roman" w:cs="Times New Roman"/>
          <w:sz w:val="24"/>
          <w:szCs w:val="24"/>
        </w:rPr>
        <w:t>receipt of goods and services</w:t>
      </w:r>
      <w:r w:rsidRPr="00D06DDE">
        <w:rPr>
          <w:rFonts w:ascii="Times New Roman" w:hAnsi="Times New Roman" w:cs="Times New Roman"/>
          <w:sz w:val="24"/>
          <w:szCs w:val="24"/>
        </w:rPr>
        <w:t xml:space="preserve"> in a central</w:t>
      </w:r>
      <w:r>
        <w:rPr>
          <w:rFonts w:ascii="Times New Roman" w:hAnsi="Times New Roman" w:cs="Times New Roman"/>
          <w:sz w:val="24"/>
          <w:szCs w:val="24"/>
        </w:rPr>
        <w:t>/MDA</w:t>
      </w:r>
      <w:r w:rsidRPr="00D06DDE">
        <w:rPr>
          <w:rFonts w:ascii="Times New Roman" w:hAnsi="Times New Roman" w:cs="Times New Roman"/>
          <w:sz w:val="24"/>
          <w:szCs w:val="24"/>
        </w:rPr>
        <w:t xml:space="preserve"> FMIS</w:t>
      </w:r>
      <w:r>
        <w:rPr>
          <w:rFonts w:ascii="Times New Roman" w:hAnsi="Times New Roman" w:cs="Times New Roman"/>
          <w:sz w:val="24"/>
          <w:szCs w:val="24"/>
        </w:rPr>
        <w:t xml:space="preserve"> where budget controls can be maintained</w:t>
      </w:r>
      <w:r w:rsidRPr="00D06DDE">
        <w:rPr>
          <w:rFonts w:ascii="Times New Roman" w:hAnsi="Times New Roman" w:cs="Times New Roman"/>
          <w:sz w:val="24"/>
          <w:szCs w:val="24"/>
        </w:rPr>
        <w:t>. Two countries r</w:t>
      </w:r>
      <w:r w:rsidR="003B3B78">
        <w:rPr>
          <w:rFonts w:ascii="Times New Roman" w:hAnsi="Times New Roman" w:cs="Times New Roman"/>
          <w:sz w:val="24"/>
          <w:szCs w:val="24"/>
        </w:rPr>
        <w:t xml:space="preserve">emain largely </w:t>
      </w:r>
      <w:proofErr w:type="spellStart"/>
      <w:r w:rsidR="003B3B78">
        <w:rPr>
          <w:rFonts w:ascii="Times New Roman" w:hAnsi="Times New Roman" w:cs="Times New Roman"/>
          <w:sz w:val="24"/>
          <w:szCs w:val="24"/>
        </w:rPr>
        <w:t>dependant</w:t>
      </w:r>
      <w:proofErr w:type="spellEnd"/>
      <w:r w:rsidR="003B3B78">
        <w:rPr>
          <w:rFonts w:ascii="Times New Roman" w:hAnsi="Times New Roman" w:cs="Times New Roman"/>
          <w:sz w:val="24"/>
          <w:szCs w:val="24"/>
        </w:rPr>
        <w:t xml:space="preserve"> on non-</w:t>
      </w:r>
      <w:r w:rsidR="00145DE3">
        <w:rPr>
          <w:rFonts w:ascii="Times New Roman" w:hAnsi="Times New Roman" w:cs="Times New Roman"/>
          <w:sz w:val="24"/>
          <w:szCs w:val="24"/>
        </w:rPr>
        <w:t>FMIS based controls; and</w:t>
      </w:r>
      <w:r w:rsidRPr="00D06DDE">
        <w:rPr>
          <w:rFonts w:ascii="Times New Roman" w:hAnsi="Times New Roman" w:cs="Times New Roman"/>
          <w:sz w:val="24"/>
          <w:szCs w:val="24"/>
        </w:rPr>
        <w:t xml:space="preserve">       </w:t>
      </w:r>
    </w:p>
    <w:p w14:paraId="7DD7B35E" w14:textId="32335511" w:rsidR="00D06DDE" w:rsidRPr="00D06DDE" w:rsidRDefault="00D06DDE" w:rsidP="00D06DDE">
      <w:pPr>
        <w:pStyle w:val="ListParagraph"/>
        <w:numPr>
          <w:ilvl w:val="0"/>
          <w:numId w:val="28"/>
        </w:numPr>
        <w:spacing w:after="0" w:line="240" w:lineRule="auto"/>
        <w:rPr>
          <w:rFonts w:ascii="Times New Roman" w:hAnsi="Times New Roman" w:cs="Times New Roman"/>
          <w:sz w:val="24"/>
          <w:szCs w:val="24"/>
        </w:rPr>
      </w:pPr>
      <w:r w:rsidRPr="00D06DDE">
        <w:rPr>
          <w:rFonts w:ascii="Times New Roman" w:hAnsi="Times New Roman" w:cs="Times New Roman"/>
          <w:sz w:val="24"/>
          <w:szCs w:val="24"/>
        </w:rPr>
        <w:t>Five countries indicate that the</w:t>
      </w:r>
      <w:r w:rsidR="00145DE3">
        <w:rPr>
          <w:rFonts w:ascii="Times New Roman" w:hAnsi="Times New Roman" w:cs="Times New Roman"/>
          <w:sz w:val="24"/>
          <w:szCs w:val="24"/>
        </w:rPr>
        <w:t>y</w:t>
      </w:r>
      <w:r w:rsidRPr="00D06DDE">
        <w:rPr>
          <w:rFonts w:ascii="Times New Roman" w:hAnsi="Times New Roman" w:cs="Times New Roman"/>
          <w:sz w:val="24"/>
          <w:szCs w:val="24"/>
        </w:rPr>
        <w:t xml:space="preserve"> do not recognise delivery of goods and services at all, which must be a major challenge for </w:t>
      </w:r>
      <w:r>
        <w:rPr>
          <w:rFonts w:ascii="Times New Roman" w:hAnsi="Times New Roman" w:cs="Times New Roman"/>
          <w:sz w:val="24"/>
          <w:szCs w:val="24"/>
        </w:rPr>
        <w:t>budgetary and internal controls and for recognition of liabilities required under accrual accounting</w:t>
      </w:r>
      <w:r w:rsidR="00145DE3">
        <w:rPr>
          <w:rFonts w:ascii="Times New Roman" w:hAnsi="Times New Roman" w:cs="Times New Roman"/>
          <w:sz w:val="24"/>
          <w:szCs w:val="24"/>
        </w:rPr>
        <w:t>.</w:t>
      </w:r>
      <w:r w:rsidRPr="00D06DDE">
        <w:rPr>
          <w:rFonts w:ascii="Times New Roman" w:hAnsi="Times New Roman" w:cs="Times New Roman"/>
          <w:sz w:val="24"/>
          <w:szCs w:val="24"/>
        </w:rPr>
        <w:t xml:space="preserve"> </w:t>
      </w:r>
    </w:p>
    <w:p w14:paraId="57091C87" w14:textId="77777777" w:rsidR="00D06DDE" w:rsidRDefault="00D06DDE" w:rsidP="00D06DDE">
      <w:pPr>
        <w:spacing w:after="0" w:line="240" w:lineRule="auto"/>
        <w:rPr>
          <w:highlight w:val="green"/>
        </w:rPr>
      </w:pPr>
    </w:p>
    <w:p w14:paraId="7607C0E6" w14:textId="48F7A7F3" w:rsidR="001A3ABD" w:rsidRDefault="00D06DDE">
      <w:pPr>
        <w:spacing w:after="0" w:line="240" w:lineRule="auto"/>
        <w:rPr>
          <w:rFonts w:ascii="Times New Roman" w:hAnsi="Times New Roman" w:cs="Times New Roman"/>
          <w:b/>
          <w:color w:val="4F81BD" w:themeColor="accent1"/>
          <w:sz w:val="24"/>
          <w:szCs w:val="24"/>
        </w:rPr>
      </w:pPr>
      <w:r w:rsidRPr="00D06DDE">
        <w:rPr>
          <w:rFonts w:ascii="Times New Roman" w:hAnsi="Times New Roman" w:cs="Times New Roman"/>
          <w:b/>
          <w:color w:val="4F81BD" w:themeColor="accent1"/>
          <w:sz w:val="24"/>
          <w:szCs w:val="24"/>
        </w:rPr>
        <w:t>Stage Four</w:t>
      </w:r>
      <w:r w:rsidR="00A67361">
        <w:rPr>
          <w:rFonts w:ascii="Times New Roman" w:hAnsi="Times New Roman" w:cs="Times New Roman"/>
          <w:b/>
          <w:color w:val="4F81BD" w:themeColor="accent1"/>
          <w:sz w:val="24"/>
          <w:szCs w:val="24"/>
        </w:rPr>
        <w:t xml:space="preserve"> </w:t>
      </w:r>
      <w:proofErr w:type="gramStart"/>
      <w:r w:rsidR="00A67361">
        <w:rPr>
          <w:rFonts w:ascii="Times New Roman" w:hAnsi="Times New Roman" w:cs="Times New Roman"/>
          <w:b/>
          <w:color w:val="4F81BD" w:themeColor="accent1"/>
          <w:sz w:val="24"/>
          <w:szCs w:val="24"/>
        </w:rPr>
        <w:t xml:space="preserve">-  </w:t>
      </w:r>
      <w:r w:rsidR="00A67361">
        <w:rPr>
          <w:b/>
          <w:noProof/>
          <w:lang w:val="en-US"/>
        </w:rPr>
        <w:t>Receipt</w:t>
      </w:r>
      <w:proofErr w:type="gramEnd"/>
      <w:r w:rsidR="00A67361">
        <w:rPr>
          <w:b/>
          <w:noProof/>
          <w:lang w:val="en-US"/>
        </w:rPr>
        <w:t xml:space="preserve"> of Supplier Invoices</w:t>
      </w:r>
    </w:p>
    <w:p w14:paraId="7788C199" w14:textId="77777777" w:rsidR="00D06DDE" w:rsidRPr="00D06DDE" w:rsidRDefault="00D06DDE">
      <w:pPr>
        <w:spacing w:after="0" w:line="240" w:lineRule="auto"/>
        <w:rPr>
          <w:rFonts w:ascii="Times New Roman" w:hAnsi="Times New Roman" w:cs="Times New Roman"/>
          <w:b/>
          <w:color w:val="4F81BD" w:themeColor="accent1"/>
          <w:sz w:val="24"/>
          <w:szCs w:val="24"/>
        </w:rPr>
      </w:pPr>
    </w:p>
    <w:p w14:paraId="12190F21" w14:textId="76534DAE" w:rsidR="00D06DDE" w:rsidRDefault="00D06DDE" w:rsidP="00D06DDE">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D06DDE">
        <w:rPr>
          <w:rFonts w:ascii="Times New Roman" w:hAnsi="Times New Roman" w:cs="Times New Roman"/>
          <w:sz w:val="24"/>
          <w:szCs w:val="24"/>
        </w:rPr>
        <w:t xml:space="preserve">even countries are recording </w:t>
      </w:r>
      <w:r w:rsidR="00145DE3">
        <w:rPr>
          <w:rFonts w:ascii="Times New Roman" w:hAnsi="Times New Roman" w:cs="Times New Roman"/>
          <w:sz w:val="24"/>
          <w:szCs w:val="24"/>
        </w:rPr>
        <w:t xml:space="preserve">the </w:t>
      </w:r>
      <w:r w:rsidRPr="00D06DDE">
        <w:rPr>
          <w:rFonts w:ascii="Times New Roman" w:hAnsi="Times New Roman" w:cs="Times New Roman"/>
          <w:sz w:val="24"/>
          <w:szCs w:val="24"/>
        </w:rPr>
        <w:t xml:space="preserve">receipt of invoices and matching these to the original commitments, five are not. </w:t>
      </w:r>
    </w:p>
    <w:p w14:paraId="347D1D0F" w14:textId="6666243A" w:rsidR="00D06DDE" w:rsidRPr="00D06DDE" w:rsidRDefault="00D06DDE" w:rsidP="00D06DDE">
      <w:pPr>
        <w:pStyle w:val="ListParagraph"/>
        <w:numPr>
          <w:ilvl w:val="0"/>
          <w:numId w:val="29"/>
        </w:numPr>
        <w:spacing w:after="0" w:line="240" w:lineRule="auto"/>
        <w:rPr>
          <w:rFonts w:ascii="Times New Roman" w:hAnsi="Times New Roman" w:cs="Times New Roman"/>
          <w:sz w:val="24"/>
          <w:szCs w:val="24"/>
        </w:rPr>
      </w:pPr>
      <w:r w:rsidRPr="00D06DDE">
        <w:rPr>
          <w:rFonts w:ascii="Times New Roman" w:hAnsi="Times New Roman" w:cs="Times New Roman"/>
          <w:sz w:val="24"/>
          <w:szCs w:val="24"/>
        </w:rPr>
        <w:t>This stage along with the recording of goods and services receipt, represent important control points in government.  Countries that do not record these stages would find budget control, management and reporting very challenging. Managing these processes outside either a central or MDA FMIS would also be extremely challenging.</w:t>
      </w:r>
    </w:p>
    <w:p w14:paraId="01932275" w14:textId="77777777" w:rsidR="00370EA8" w:rsidRDefault="00370EA8">
      <w:pPr>
        <w:spacing w:after="0" w:line="240" w:lineRule="auto"/>
        <w:rPr>
          <w:rFonts w:ascii="Times New Roman" w:hAnsi="Times New Roman" w:cs="Times New Roman"/>
        </w:rPr>
      </w:pPr>
    </w:p>
    <w:p w14:paraId="45114BE7" w14:textId="7FB79071" w:rsidR="00D06DDE" w:rsidRPr="00D06DDE" w:rsidRDefault="00D06DDE">
      <w:pPr>
        <w:spacing w:after="0" w:line="240" w:lineRule="auto"/>
        <w:rPr>
          <w:rFonts w:ascii="Times New Roman" w:hAnsi="Times New Roman" w:cs="Times New Roman"/>
          <w:b/>
          <w:color w:val="4F81BD" w:themeColor="accent1"/>
        </w:rPr>
      </w:pPr>
      <w:r w:rsidRPr="00D06DDE">
        <w:rPr>
          <w:rFonts w:ascii="Times New Roman" w:hAnsi="Times New Roman" w:cs="Times New Roman"/>
          <w:b/>
          <w:color w:val="4F81BD" w:themeColor="accent1"/>
        </w:rPr>
        <w:t>Stage Five</w:t>
      </w:r>
      <w:r w:rsidR="00A67361">
        <w:rPr>
          <w:rFonts w:ascii="Times New Roman" w:hAnsi="Times New Roman" w:cs="Times New Roman"/>
          <w:b/>
          <w:color w:val="4F81BD" w:themeColor="accent1"/>
        </w:rPr>
        <w:t xml:space="preserve"> - </w:t>
      </w:r>
      <w:r w:rsidR="00A67361" w:rsidRPr="00191197">
        <w:rPr>
          <w:b/>
          <w:noProof/>
          <w:lang w:val="en-US"/>
        </w:rPr>
        <w:t>Accounts Payable</w:t>
      </w:r>
      <w:r w:rsidR="00A67361">
        <w:rPr>
          <w:b/>
          <w:noProof/>
          <w:lang w:val="en-US"/>
        </w:rPr>
        <w:t xml:space="preserve"> in the Accounting System</w:t>
      </w:r>
    </w:p>
    <w:p w14:paraId="4399B7A8" w14:textId="77777777" w:rsidR="00D06DDE" w:rsidRDefault="00D06DDE">
      <w:pPr>
        <w:spacing w:after="0" w:line="240" w:lineRule="auto"/>
        <w:rPr>
          <w:rFonts w:ascii="Times New Roman" w:hAnsi="Times New Roman" w:cs="Times New Roman"/>
        </w:rPr>
      </w:pPr>
    </w:p>
    <w:p w14:paraId="096B1B45" w14:textId="17CE0B4E" w:rsidR="0061534E" w:rsidRDefault="0061534E" w:rsidP="0061534E">
      <w:pPr>
        <w:pStyle w:val="ListParagraph"/>
        <w:numPr>
          <w:ilvl w:val="0"/>
          <w:numId w:val="30"/>
        </w:numPr>
        <w:spacing w:after="0" w:line="24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Nine countries indicate they recognize accounts payable, thus three do not. This number exceeds the number that recorded either goods or services or </w:t>
      </w:r>
      <w:r w:rsidR="00D71F1B">
        <w:rPr>
          <w:rFonts w:ascii="Times New Roman" w:hAnsi="Times New Roman" w:cs="Times New Roman"/>
          <w:noProof/>
          <w:sz w:val="24"/>
          <w:szCs w:val="24"/>
          <w:lang w:val="en-US"/>
        </w:rPr>
        <w:t xml:space="preserve">that </w:t>
      </w:r>
      <w:r>
        <w:rPr>
          <w:rFonts w:ascii="Times New Roman" w:hAnsi="Times New Roman" w:cs="Times New Roman"/>
          <w:noProof/>
          <w:sz w:val="24"/>
          <w:szCs w:val="24"/>
          <w:lang w:val="en-US"/>
        </w:rPr>
        <w:t>matche</w:t>
      </w:r>
      <w:r w:rsidR="003B3B78">
        <w:rPr>
          <w:rFonts w:ascii="Times New Roman" w:hAnsi="Times New Roman" w:cs="Times New Roman"/>
          <w:noProof/>
          <w:sz w:val="24"/>
          <w:szCs w:val="24"/>
          <w:lang w:val="en-US"/>
        </w:rPr>
        <w:t>d</w:t>
      </w:r>
      <w:r w:rsidR="00D71F1B">
        <w:rPr>
          <w:rFonts w:ascii="Times New Roman" w:hAnsi="Times New Roman" w:cs="Times New Roman"/>
          <w:noProof/>
          <w:sz w:val="24"/>
          <w:szCs w:val="24"/>
          <w:lang w:val="en-US"/>
        </w:rPr>
        <w:t xml:space="preserve"> invoices to commitments; and</w:t>
      </w:r>
    </w:p>
    <w:p w14:paraId="206F1FE6" w14:textId="7D105E11" w:rsidR="00D06DDE" w:rsidRPr="00D71F1B" w:rsidRDefault="00D71F1B" w:rsidP="00D71F1B">
      <w:pPr>
        <w:pStyle w:val="ListParagraph"/>
        <w:numPr>
          <w:ilvl w:val="0"/>
          <w:numId w:val="30"/>
        </w:numPr>
        <w:spacing w:after="0" w:line="240" w:lineRule="auto"/>
        <w:rPr>
          <w:rFonts w:ascii="Times New Roman" w:hAnsi="Times New Roman" w:cs="Times New Roman"/>
          <w:noProof/>
          <w:sz w:val="24"/>
          <w:szCs w:val="24"/>
          <w:lang w:val="en-US"/>
        </w:rPr>
      </w:pPr>
      <w:r w:rsidRPr="00D71F1B">
        <w:rPr>
          <w:rFonts w:ascii="Times New Roman" w:hAnsi="Times New Roman" w:cs="Times New Roman"/>
          <w:noProof/>
          <w:sz w:val="24"/>
          <w:szCs w:val="24"/>
          <w:lang w:val="en-US"/>
        </w:rPr>
        <w:t>O</w:t>
      </w:r>
      <w:r w:rsidR="0061534E" w:rsidRPr="00D71F1B">
        <w:rPr>
          <w:rFonts w:ascii="Times New Roman" w:hAnsi="Times New Roman" w:cs="Times New Roman"/>
          <w:noProof/>
          <w:sz w:val="24"/>
          <w:szCs w:val="24"/>
          <w:lang w:val="en-US"/>
        </w:rPr>
        <w:t>nly f</w:t>
      </w:r>
      <w:r w:rsidR="00D06DDE" w:rsidRPr="00D71F1B">
        <w:rPr>
          <w:rFonts w:ascii="Times New Roman" w:hAnsi="Times New Roman" w:cs="Times New Roman"/>
          <w:noProof/>
          <w:sz w:val="24"/>
          <w:szCs w:val="24"/>
          <w:lang w:val="en-US"/>
        </w:rPr>
        <w:t xml:space="preserve">ive countries have provided responses which are consistent across stages </w:t>
      </w:r>
      <w:r w:rsidR="003B3B78" w:rsidRPr="00D71F1B">
        <w:rPr>
          <w:rFonts w:ascii="Times New Roman" w:hAnsi="Times New Roman" w:cs="Times New Roman"/>
          <w:noProof/>
          <w:sz w:val="24"/>
          <w:szCs w:val="24"/>
          <w:lang w:val="en-US"/>
        </w:rPr>
        <w:t>three</w:t>
      </w:r>
      <w:r w:rsidR="00D06DDE" w:rsidRPr="00D71F1B">
        <w:rPr>
          <w:rFonts w:ascii="Times New Roman" w:hAnsi="Times New Roman" w:cs="Times New Roman"/>
          <w:noProof/>
          <w:sz w:val="24"/>
          <w:szCs w:val="24"/>
          <w:lang w:val="en-US"/>
        </w:rPr>
        <w:t xml:space="preserve"> to </w:t>
      </w:r>
      <w:r w:rsidR="003B3B78" w:rsidRPr="00D71F1B">
        <w:rPr>
          <w:rFonts w:ascii="Times New Roman" w:hAnsi="Times New Roman" w:cs="Times New Roman"/>
          <w:noProof/>
          <w:sz w:val="24"/>
          <w:szCs w:val="24"/>
          <w:lang w:val="en-US"/>
        </w:rPr>
        <w:t>five</w:t>
      </w:r>
      <w:r w:rsidR="00D06DDE" w:rsidRPr="00D71F1B">
        <w:rPr>
          <w:rFonts w:ascii="Times New Roman" w:hAnsi="Times New Roman" w:cs="Times New Roman"/>
          <w:noProof/>
          <w:sz w:val="24"/>
          <w:szCs w:val="24"/>
          <w:lang w:val="en-US"/>
        </w:rPr>
        <w:t xml:space="preserve"> of the questionnaire</w:t>
      </w:r>
      <w:r w:rsidR="0061534E" w:rsidRPr="00D71F1B">
        <w:rPr>
          <w:rFonts w:ascii="Times New Roman" w:hAnsi="Times New Roman" w:cs="Times New Roman"/>
          <w:noProof/>
          <w:sz w:val="24"/>
          <w:szCs w:val="24"/>
          <w:lang w:val="en-US"/>
        </w:rPr>
        <w:t xml:space="preserve"> including how an accounts payable is recognized</w:t>
      </w:r>
      <w:r w:rsidR="00D06DDE" w:rsidRPr="00D71F1B">
        <w:rPr>
          <w:rFonts w:ascii="Times New Roman" w:hAnsi="Times New Roman" w:cs="Times New Roman"/>
          <w:noProof/>
          <w:sz w:val="24"/>
          <w:szCs w:val="24"/>
          <w:lang w:val="en-US"/>
        </w:rPr>
        <w:t xml:space="preserve">. </w:t>
      </w:r>
    </w:p>
    <w:p w14:paraId="3D76770D" w14:textId="77777777" w:rsidR="00931F19" w:rsidRDefault="00931F19">
      <w:pPr>
        <w:spacing w:after="0" w:line="240" w:lineRule="auto"/>
        <w:rPr>
          <w:rFonts w:ascii="Times New Roman" w:hAnsi="Times New Roman" w:cs="Times New Roman"/>
        </w:rPr>
      </w:pPr>
    </w:p>
    <w:p w14:paraId="20308D70" w14:textId="5710D48F" w:rsidR="00931F19" w:rsidRPr="00111CFF" w:rsidRDefault="0061534E">
      <w:pPr>
        <w:spacing w:after="0" w:line="240" w:lineRule="auto"/>
        <w:rPr>
          <w:rFonts w:ascii="Times New Roman" w:hAnsi="Times New Roman" w:cs="Times New Roman"/>
          <w:b/>
          <w:color w:val="4F81BD" w:themeColor="accent1"/>
          <w:sz w:val="24"/>
          <w:szCs w:val="24"/>
        </w:rPr>
      </w:pPr>
      <w:r w:rsidRPr="00111CFF">
        <w:rPr>
          <w:rFonts w:ascii="Times New Roman" w:hAnsi="Times New Roman" w:cs="Times New Roman"/>
          <w:b/>
          <w:color w:val="4F81BD" w:themeColor="accent1"/>
          <w:sz w:val="24"/>
          <w:szCs w:val="24"/>
        </w:rPr>
        <w:t>Stage Six</w:t>
      </w:r>
      <w:r w:rsidR="00A67361">
        <w:rPr>
          <w:rFonts w:ascii="Times New Roman" w:hAnsi="Times New Roman" w:cs="Times New Roman"/>
          <w:b/>
          <w:color w:val="4F81BD" w:themeColor="accent1"/>
          <w:sz w:val="24"/>
          <w:szCs w:val="24"/>
        </w:rPr>
        <w:t xml:space="preserve"> – Due Date</w:t>
      </w:r>
    </w:p>
    <w:p w14:paraId="2502F8FA" w14:textId="77777777" w:rsidR="0061534E" w:rsidRDefault="0061534E">
      <w:pPr>
        <w:spacing w:after="0" w:line="240" w:lineRule="auto"/>
        <w:rPr>
          <w:rFonts w:ascii="Times New Roman" w:hAnsi="Times New Roman" w:cs="Times New Roman"/>
        </w:rPr>
      </w:pPr>
    </w:p>
    <w:p w14:paraId="2F8E8CF0" w14:textId="2C7BC810" w:rsidR="0061534E" w:rsidRDefault="0061534E" w:rsidP="0061534E">
      <w:pPr>
        <w:pStyle w:val="ListParagraph"/>
        <w:numPr>
          <w:ilvl w:val="0"/>
          <w:numId w:val="31"/>
        </w:numPr>
        <w:rPr>
          <w:rFonts w:ascii="Times New Roman" w:hAnsi="Times New Roman" w:cs="Times New Roman"/>
          <w:noProof/>
          <w:sz w:val="24"/>
          <w:szCs w:val="24"/>
          <w:lang w:val="en-US"/>
        </w:rPr>
      </w:pPr>
      <w:r>
        <w:rPr>
          <w:rFonts w:ascii="Times New Roman" w:hAnsi="Times New Roman" w:cs="Times New Roman"/>
          <w:noProof/>
          <w:sz w:val="24"/>
          <w:szCs w:val="24"/>
          <w:lang w:val="en-US"/>
        </w:rPr>
        <w:t>Just four countries appear to apply the</w:t>
      </w:r>
      <w:r w:rsidRPr="0061534E">
        <w:rPr>
          <w:rFonts w:ascii="Times New Roman" w:hAnsi="Times New Roman" w:cs="Times New Roman"/>
          <w:noProof/>
          <w:sz w:val="24"/>
          <w:szCs w:val="24"/>
          <w:lang w:val="en-US"/>
        </w:rPr>
        <w:t xml:space="preserve"> concepts of due date and standard </w:t>
      </w:r>
      <w:r w:rsidR="00D71F1B">
        <w:rPr>
          <w:rFonts w:ascii="Times New Roman" w:hAnsi="Times New Roman" w:cs="Times New Roman"/>
          <w:noProof/>
          <w:sz w:val="24"/>
          <w:szCs w:val="24"/>
          <w:lang w:val="en-US"/>
        </w:rPr>
        <w:t>“</w:t>
      </w:r>
      <w:r w:rsidRPr="0061534E">
        <w:rPr>
          <w:rFonts w:ascii="Times New Roman" w:hAnsi="Times New Roman" w:cs="Times New Roman"/>
          <w:noProof/>
          <w:sz w:val="24"/>
          <w:szCs w:val="24"/>
          <w:lang w:val="en-US"/>
        </w:rPr>
        <w:t>terms of trade</w:t>
      </w:r>
      <w:r w:rsidR="00D71F1B">
        <w:rPr>
          <w:rFonts w:ascii="Times New Roman" w:hAnsi="Times New Roman" w:cs="Times New Roman"/>
          <w:noProof/>
          <w:sz w:val="24"/>
          <w:szCs w:val="24"/>
          <w:lang w:val="en-US"/>
        </w:rPr>
        <w:t>”</w:t>
      </w:r>
      <w:r w:rsidRPr="0061534E">
        <w:rPr>
          <w:rFonts w:ascii="Times New Roman" w:hAnsi="Times New Roman" w:cs="Times New Roman"/>
          <w:noProof/>
          <w:sz w:val="24"/>
          <w:szCs w:val="24"/>
          <w:lang w:val="en-US"/>
        </w:rPr>
        <w:t xml:space="preserve"> consistently with the defintions provided in the questionnaire</w:t>
      </w:r>
      <w:r>
        <w:rPr>
          <w:rFonts w:ascii="Times New Roman" w:hAnsi="Times New Roman" w:cs="Times New Roman"/>
          <w:noProof/>
          <w:sz w:val="24"/>
          <w:szCs w:val="24"/>
          <w:lang w:val="en-US"/>
        </w:rPr>
        <w:t xml:space="preserve">, </w:t>
      </w:r>
      <w:r w:rsidRPr="0061534E">
        <w:rPr>
          <w:rFonts w:ascii="Times New Roman" w:hAnsi="Times New Roman" w:cs="Times New Roman"/>
          <w:noProof/>
          <w:sz w:val="24"/>
          <w:szCs w:val="24"/>
          <w:lang w:val="en-US"/>
        </w:rPr>
        <w:t xml:space="preserve"> despite seven countries indicating that the country defintions closely aligned with the questionnaire. </w:t>
      </w:r>
    </w:p>
    <w:p w14:paraId="3C976E9E" w14:textId="3BB763B1" w:rsidR="0061534E" w:rsidRPr="00111CFF" w:rsidRDefault="0061534E">
      <w:pPr>
        <w:spacing w:after="0" w:line="240" w:lineRule="auto"/>
        <w:rPr>
          <w:rFonts w:ascii="Times New Roman" w:hAnsi="Times New Roman" w:cs="Times New Roman"/>
          <w:b/>
          <w:color w:val="4F81BD" w:themeColor="accent1"/>
          <w:sz w:val="24"/>
          <w:szCs w:val="24"/>
        </w:rPr>
      </w:pPr>
      <w:r w:rsidRPr="00111CFF">
        <w:rPr>
          <w:rFonts w:ascii="Times New Roman" w:hAnsi="Times New Roman" w:cs="Times New Roman"/>
          <w:b/>
          <w:color w:val="4F81BD" w:themeColor="accent1"/>
          <w:sz w:val="24"/>
          <w:szCs w:val="24"/>
        </w:rPr>
        <w:t>Stage Seven</w:t>
      </w:r>
      <w:r w:rsidR="00A67361">
        <w:rPr>
          <w:rFonts w:ascii="Times New Roman" w:hAnsi="Times New Roman" w:cs="Times New Roman"/>
          <w:b/>
          <w:color w:val="4F81BD" w:themeColor="accent1"/>
          <w:sz w:val="24"/>
          <w:szCs w:val="24"/>
        </w:rPr>
        <w:t xml:space="preserve"> - Arrears</w:t>
      </w:r>
    </w:p>
    <w:p w14:paraId="3D593C41" w14:textId="77777777" w:rsidR="0061534E" w:rsidRDefault="0061534E">
      <w:pPr>
        <w:spacing w:after="0" w:line="240" w:lineRule="auto"/>
        <w:rPr>
          <w:rFonts w:ascii="Times New Roman" w:hAnsi="Times New Roman" w:cs="Times New Roman"/>
        </w:rPr>
      </w:pPr>
    </w:p>
    <w:p w14:paraId="2BFB119B" w14:textId="1665F312" w:rsidR="0061534E" w:rsidRDefault="0061534E" w:rsidP="0061534E">
      <w:pPr>
        <w:pStyle w:val="ListParagraph"/>
        <w:numPr>
          <w:ilvl w:val="0"/>
          <w:numId w:val="31"/>
        </w:numPr>
        <w:spacing w:after="0" w:line="240" w:lineRule="auto"/>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Two thirds of countries reponding to this stage of the process define and report arrears</w:t>
      </w:r>
      <w:r w:rsidR="003B3B78">
        <w:rPr>
          <w:rFonts w:ascii="Times New Roman" w:hAnsi="Times New Roman" w:cs="Times New Roman"/>
          <w:noProof/>
          <w:sz w:val="24"/>
          <w:szCs w:val="24"/>
          <w:lang w:val="en-US"/>
        </w:rPr>
        <w:t>;</w:t>
      </w:r>
      <w:r w:rsidRPr="009326D3">
        <w:rPr>
          <w:rFonts w:ascii="Times New Roman" w:hAnsi="Times New Roman" w:cs="Times New Roman"/>
          <w:noProof/>
          <w:sz w:val="24"/>
          <w:szCs w:val="24"/>
          <w:lang w:val="en-US"/>
        </w:rPr>
        <w:t xml:space="preserve"> </w:t>
      </w:r>
    </w:p>
    <w:p w14:paraId="44D4A467" w14:textId="60045C36" w:rsidR="0061534E" w:rsidRPr="003B3B78" w:rsidRDefault="0061534E" w:rsidP="003B3B78">
      <w:pPr>
        <w:pStyle w:val="ListParagraph"/>
        <w:numPr>
          <w:ilvl w:val="0"/>
          <w:numId w:val="31"/>
        </w:numPr>
        <w:spacing w:after="0" w:line="240" w:lineRule="auto"/>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lastRenderedPageBreak/>
        <w:t>The absence of reporting in four countries is however concerning,  as is the lack of consistency regarding the definition of arrears across respondent countries</w:t>
      </w:r>
      <w:r w:rsidR="003B3B78">
        <w:rPr>
          <w:rFonts w:ascii="Times New Roman" w:hAnsi="Times New Roman" w:cs="Times New Roman"/>
          <w:noProof/>
          <w:sz w:val="24"/>
          <w:szCs w:val="24"/>
          <w:lang w:val="en-US"/>
        </w:rPr>
        <w:t xml:space="preserve">; </w:t>
      </w:r>
      <w:r w:rsidR="003B3B78" w:rsidRPr="003B3B78">
        <w:rPr>
          <w:rFonts w:ascii="Times New Roman" w:hAnsi="Times New Roman" w:cs="Times New Roman"/>
          <w:noProof/>
          <w:sz w:val="24"/>
          <w:szCs w:val="24"/>
          <w:lang w:val="en-US"/>
        </w:rPr>
        <w:t>and</w:t>
      </w:r>
      <w:r w:rsidRPr="003B3B78">
        <w:rPr>
          <w:rFonts w:ascii="Times New Roman" w:hAnsi="Times New Roman" w:cs="Times New Roman"/>
          <w:noProof/>
          <w:sz w:val="24"/>
          <w:szCs w:val="24"/>
          <w:lang w:val="en-US"/>
        </w:rPr>
        <w:t xml:space="preserve"> </w:t>
      </w:r>
    </w:p>
    <w:p w14:paraId="7D2CC11F" w14:textId="137BD89C" w:rsidR="0061534E" w:rsidRPr="0061534E" w:rsidRDefault="0061534E" w:rsidP="0061534E">
      <w:pPr>
        <w:pStyle w:val="ListParagraph"/>
        <w:numPr>
          <w:ilvl w:val="0"/>
          <w:numId w:val="31"/>
        </w:numPr>
        <w:spacing w:after="0" w:line="240" w:lineRule="auto"/>
        <w:rPr>
          <w:rFonts w:ascii="Times New Roman" w:hAnsi="Times New Roman" w:cs="Times New Roman"/>
          <w:noProof/>
          <w:sz w:val="24"/>
          <w:szCs w:val="24"/>
          <w:lang w:val="en-US"/>
        </w:rPr>
      </w:pPr>
      <w:r w:rsidRPr="009326D3">
        <w:rPr>
          <w:rFonts w:ascii="Times New Roman" w:hAnsi="Times New Roman" w:cs="Times New Roman"/>
          <w:noProof/>
          <w:sz w:val="24"/>
          <w:szCs w:val="24"/>
          <w:lang w:val="en-US"/>
        </w:rPr>
        <w:t>Only four countries incur penalties for delayed payment, which may result in a lack of ince</w:t>
      </w:r>
      <w:r w:rsidR="003B3B78">
        <w:rPr>
          <w:rFonts w:ascii="Times New Roman" w:hAnsi="Times New Roman" w:cs="Times New Roman"/>
          <w:noProof/>
          <w:sz w:val="24"/>
          <w:szCs w:val="24"/>
          <w:lang w:val="en-US"/>
        </w:rPr>
        <w:t>ntives and consequences for effective</w:t>
      </w:r>
      <w:r w:rsidRPr="009326D3">
        <w:rPr>
          <w:rFonts w:ascii="Times New Roman" w:hAnsi="Times New Roman" w:cs="Times New Roman"/>
          <w:noProof/>
          <w:sz w:val="24"/>
          <w:szCs w:val="24"/>
          <w:lang w:val="en-US"/>
        </w:rPr>
        <w:t xml:space="preserve"> </w:t>
      </w:r>
      <w:r w:rsidR="003B3B78">
        <w:rPr>
          <w:rFonts w:ascii="Times New Roman" w:hAnsi="Times New Roman" w:cs="Times New Roman"/>
          <w:noProof/>
          <w:sz w:val="24"/>
          <w:szCs w:val="24"/>
          <w:lang w:val="en-US"/>
        </w:rPr>
        <w:t xml:space="preserve">payment </w:t>
      </w:r>
      <w:r w:rsidRPr="009326D3">
        <w:rPr>
          <w:rFonts w:ascii="Times New Roman" w:hAnsi="Times New Roman" w:cs="Times New Roman"/>
          <w:noProof/>
          <w:sz w:val="24"/>
          <w:szCs w:val="24"/>
          <w:lang w:val="en-US"/>
        </w:rPr>
        <w:t xml:space="preserve">administration in countries. </w:t>
      </w:r>
      <w:r w:rsidR="00D71F1B">
        <w:rPr>
          <w:rFonts w:ascii="Times New Roman" w:hAnsi="Times New Roman" w:cs="Times New Roman"/>
          <w:noProof/>
          <w:sz w:val="24"/>
          <w:szCs w:val="24"/>
          <w:lang w:val="en-US"/>
        </w:rPr>
        <w:t>G</w:t>
      </w:r>
      <w:r w:rsidRPr="009326D3">
        <w:rPr>
          <w:rFonts w:ascii="Times New Roman" w:hAnsi="Times New Roman" w:cs="Times New Roman"/>
          <w:noProof/>
          <w:sz w:val="24"/>
          <w:szCs w:val="24"/>
          <w:lang w:val="en-US"/>
        </w:rPr>
        <w:t>overnment</w:t>
      </w:r>
      <w:r w:rsidR="00D71F1B">
        <w:rPr>
          <w:rFonts w:ascii="Times New Roman" w:hAnsi="Times New Roman" w:cs="Times New Roman"/>
          <w:noProof/>
          <w:sz w:val="24"/>
          <w:szCs w:val="24"/>
          <w:lang w:val="en-US"/>
        </w:rPr>
        <w:t>s</w:t>
      </w:r>
      <w:r w:rsidRPr="009326D3">
        <w:rPr>
          <w:rFonts w:ascii="Times New Roman" w:hAnsi="Times New Roman" w:cs="Times New Roman"/>
          <w:noProof/>
          <w:sz w:val="24"/>
          <w:szCs w:val="24"/>
          <w:lang w:val="en-US"/>
        </w:rPr>
        <w:t xml:space="preserve"> should be modelling good practice in relation to timely payment, particularly if it imposes fines and penalties to taxpayers for similar delays. </w:t>
      </w:r>
    </w:p>
    <w:p w14:paraId="60DF9E64" w14:textId="1118A506" w:rsidR="0061534E" w:rsidRPr="009326D3" w:rsidRDefault="0061534E" w:rsidP="0061534E">
      <w:pPr>
        <w:spacing w:after="0" w:line="240" w:lineRule="auto"/>
        <w:rPr>
          <w:noProof/>
          <w:lang w:val="en-US"/>
        </w:rPr>
      </w:pPr>
    </w:p>
    <w:p w14:paraId="2579A0E2" w14:textId="77777777" w:rsidR="00111CFF" w:rsidRPr="00111CFF" w:rsidRDefault="00111CFF" w:rsidP="00111CFF">
      <w:pPr>
        <w:spacing w:after="0" w:line="240" w:lineRule="auto"/>
        <w:jc w:val="both"/>
        <w:rPr>
          <w:rFonts w:ascii="Times New Roman" w:hAnsi="Times New Roman" w:cs="Times New Roman"/>
          <w:b/>
          <w:color w:val="4F81BD" w:themeColor="accent1"/>
          <w:sz w:val="24"/>
          <w:szCs w:val="24"/>
          <w:lang w:val="en-US"/>
        </w:rPr>
      </w:pPr>
      <w:r w:rsidRPr="00111CFF">
        <w:rPr>
          <w:rFonts w:ascii="Times New Roman" w:hAnsi="Times New Roman" w:cs="Times New Roman"/>
          <w:b/>
          <w:color w:val="4F81BD" w:themeColor="accent1"/>
          <w:sz w:val="24"/>
          <w:szCs w:val="24"/>
          <w:lang w:val="en-US"/>
        </w:rPr>
        <w:t xml:space="preserve">Summary </w:t>
      </w:r>
    </w:p>
    <w:p w14:paraId="7F880606" w14:textId="77777777" w:rsidR="00111CFF" w:rsidRDefault="00111CFF" w:rsidP="00111CFF">
      <w:pPr>
        <w:spacing w:after="0" w:line="240" w:lineRule="auto"/>
        <w:jc w:val="both"/>
        <w:rPr>
          <w:rFonts w:ascii="Times New Roman" w:hAnsi="Times New Roman" w:cs="Times New Roman"/>
          <w:sz w:val="24"/>
          <w:szCs w:val="24"/>
          <w:lang w:val="en-US"/>
        </w:rPr>
      </w:pPr>
    </w:p>
    <w:p w14:paraId="39A3683D" w14:textId="1F969B41" w:rsidR="00111CFF" w:rsidRPr="0061534E" w:rsidRDefault="00111CFF" w:rsidP="00111CFF">
      <w:pPr>
        <w:spacing w:after="0" w:line="240" w:lineRule="auto"/>
        <w:jc w:val="both"/>
        <w:rPr>
          <w:rFonts w:ascii="Times New Roman" w:hAnsi="Times New Roman" w:cs="Times New Roman"/>
          <w:sz w:val="24"/>
          <w:szCs w:val="24"/>
          <w:lang w:val="en-AU"/>
        </w:rPr>
      </w:pPr>
      <w:r w:rsidRPr="0061534E">
        <w:rPr>
          <w:rFonts w:ascii="Times New Roman" w:hAnsi="Times New Roman" w:cs="Times New Roman"/>
          <w:sz w:val="24"/>
          <w:szCs w:val="24"/>
          <w:lang w:val="en-US"/>
        </w:rPr>
        <w:t>While some consistent themes emerged</w:t>
      </w:r>
      <w:r>
        <w:rPr>
          <w:rFonts w:ascii="Times New Roman" w:hAnsi="Times New Roman" w:cs="Times New Roman"/>
          <w:sz w:val="24"/>
          <w:szCs w:val="24"/>
          <w:lang w:val="en-US"/>
        </w:rPr>
        <w:t xml:space="preserve"> from country responses to this survey</w:t>
      </w:r>
      <w:r w:rsidRPr="0061534E">
        <w:rPr>
          <w:rFonts w:ascii="Times New Roman" w:hAnsi="Times New Roman" w:cs="Times New Roman"/>
          <w:sz w:val="24"/>
          <w:szCs w:val="24"/>
          <w:lang w:val="en-US"/>
        </w:rPr>
        <w:t xml:space="preserve">, </w:t>
      </w:r>
      <w:r w:rsidR="00D71F1B">
        <w:rPr>
          <w:rFonts w:ascii="Times New Roman" w:hAnsi="Times New Roman" w:cs="Times New Roman"/>
          <w:sz w:val="24"/>
          <w:szCs w:val="24"/>
          <w:lang w:val="en-US"/>
        </w:rPr>
        <w:t>significant</w:t>
      </w:r>
      <w:r w:rsidRPr="0061534E">
        <w:rPr>
          <w:rFonts w:ascii="Times New Roman" w:hAnsi="Times New Roman" w:cs="Times New Roman"/>
          <w:sz w:val="24"/>
          <w:szCs w:val="24"/>
          <w:lang w:val="en-US"/>
        </w:rPr>
        <w:t xml:space="preserve"> </w:t>
      </w:r>
      <w:r w:rsidR="00D71F1B">
        <w:rPr>
          <w:rFonts w:ascii="Times New Roman" w:hAnsi="Times New Roman" w:cs="Times New Roman"/>
          <w:sz w:val="24"/>
          <w:szCs w:val="24"/>
          <w:lang w:val="en-US"/>
        </w:rPr>
        <w:t xml:space="preserve">differences </w:t>
      </w:r>
      <w:r w:rsidRPr="0061534E">
        <w:rPr>
          <w:rFonts w:ascii="Times New Roman" w:hAnsi="Times New Roman" w:cs="Times New Roman"/>
          <w:sz w:val="24"/>
          <w:szCs w:val="24"/>
          <w:lang w:val="en-US"/>
        </w:rPr>
        <w:t>remains across PEMPAL countries and</w:t>
      </w:r>
      <w:r>
        <w:rPr>
          <w:rFonts w:ascii="Times New Roman" w:hAnsi="Times New Roman" w:cs="Times New Roman"/>
          <w:sz w:val="24"/>
          <w:szCs w:val="24"/>
          <w:lang w:val="en-US"/>
        </w:rPr>
        <w:t xml:space="preserve"> in comparison to good practice as defined in </w:t>
      </w:r>
      <w:r w:rsidR="00D71F1B">
        <w:rPr>
          <w:rFonts w:ascii="Times New Roman" w:hAnsi="Times New Roman" w:cs="Times New Roman"/>
          <w:sz w:val="24"/>
          <w:szCs w:val="24"/>
          <w:lang w:val="en-US"/>
        </w:rPr>
        <w:t>the questionnaire. Some of the</w:t>
      </w:r>
      <w:r>
        <w:rPr>
          <w:rFonts w:ascii="Times New Roman" w:hAnsi="Times New Roman" w:cs="Times New Roman"/>
          <w:sz w:val="24"/>
          <w:szCs w:val="24"/>
          <w:lang w:val="en-US"/>
        </w:rPr>
        <w:t xml:space="preserve"> variations will have resulted from a lack of clarity in questions. For example, the pre-commitment concept of a requisition may have gotten lost in the references to procurement, which is now often viewed as a separate control process in government.  Reforms in each country have also been moving at different speeds, in terms of automation, devolution and regarding transition to either full or modified accrual accounting. Notwithstanding these differences, in some cases, country responses suggest significant gaps in basic controls and recognition, which would be required in any PFM process, including one which largely remains centralized and manual. </w:t>
      </w:r>
    </w:p>
    <w:p w14:paraId="23696614" w14:textId="77777777" w:rsidR="0061534E" w:rsidRDefault="0061534E">
      <w:pPr>
        <w:spacing w:after="0" w:line="240" w:lineRule="auto"/>
        <w:rPr>
          <w:rFonts w:ascii="Times New Roman" w:hAnsi="Times New Roman" w:cs="Times New Roman"/>
        </w:rPr>
      </w:pPr>
    </w:p>
    <w:p w14:paraId="04C1F715" w14:textId="77777777" w:rsidR="00931F19" w:rsidRPr="009326D3" w:rsidRDefault="00931F19">
      <w:pPr>
        <w:spacing w:after="0" w:line="240" w:lineRule="auto"/>
        <w:rPr>
          <w:rFonts w:ascii="Times New Roman" w:hAnsi="Times New Roman" w:cs="Times New Roman"/>
        </w:rPr>
      </w:pPr>
    </w:p>
    <w:p w14:paraId="305B9D1F" w14:textId="3F38F28B" w:rsidR="00111CFF" w:rsidRPr="003B3B78" w:rsidRDefault="00DD47C2">
      <w:pPr>
        <w:spacing w:after="0" w:line="240" w:lineRule="auto"/>
        <w:rPr>
          <w:rFonts w:ascii="Times New Roman" w:hAnsi="Times New Roman" w:cs="Times New Roman"/>
          <w:b/>
          <w:color w:val="4F81BD" w:themeColor="accent1"/>
        </w:rPr>
      </w:pPr>
      <w:r w:rsidRPr="009326D3">
        <w:rPr>
          <w:rFonts w:ascii="Times New Roman" w:hAnsi="Times New Roman" w:cs="Times New Roman"/>
          <w:b/>
          <w:color w:val="4F81BD" w:themeColor="accent1"/>
        </w:rPr>
        <w:t>Next Steps</w:t>
      </w:r>
    </w:p>
    <w:p w14:paraId="0D7122BD" w14:textId="77777777" w:rsidR="00111CFF" w:rsidRDefault="00111CFF">
      <w:pPr>
        <w:spacing w:after="0" w:line="240" w:lineRule="auto"/>
        <w:rPr>
          <w:rFonts w:ascii="Times New Roman" w:hAnsi="Times New Roman" w:cs="Times New Roman"/>
        </w:rPr>
      </w:pPr>
    </w:p>
    <w:p w14:paraId="4EB4E990" w14:textId="77777777" w:rsidR="00111CFF" w:rsidRDefault="00111CFF">
      <w:pPr>
        <w:spacing w:after="0" w:line="240" w:lineRule="auto"/>
        <w:rPr>
          <w:rFonts w:ascii="Times New Roman" w:hAnsi="Times New Roman" w:cs="Times New Roman"/>
        </w:rPr>
      </w:pPr>
    </w:p>
    <w:p w14:paraId="347E166A" w14:textId="5F65F128" w:rsidR="003B3B78" w:rsidRDefault="00123276" w:rsidP="001A3ABD">
      <w:pPr>
        <w:spacing w:after="0" w:line="24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A key reason</w:t>
      </w:r>
      <w:r w:rsidR="0061534E" w:rsidRPr="009326D3">
        <w:rPr>
          <w:rFonts w:ascii="Times New Roman" w:hAnsi="Times New Roman" w:cs="Times New Roman"/>
          <w:noProof/>
          <w:sz w:val="24"/>
          <w:szCs w:val="24"/>
          <w:lang w:val="en-US"/>
        </w:rPr>
        <w:t xml:space="preserve"> why TCOP undertook the survey was to gauge the conceptual differences and common points in relation to </w:t>
      </w:r>
      <w:r w:rsidR="00D71F1B">
        <w:rPr>
          <w:rFonts w:ascii="Times New Roman" w:hAnsi="Times New Roman" w:cs="Times New Roman"/>
          <w:noProof/>
          <w:sz w:val="24"/>
          <w:szCs w:val="24"/>
          <w:lang w:val="en-US"/>
        </w:rPr>
        <w:t xml:space="preserve">major </w:t>
      </w:r>
      <w:r w:rsidR="0061534E" w:rsidRPr="009326D3">
        <w:rPr>
          <w:rFonts w:ascii="Times New Roman" w:hAnsi="Times New Roman" w:cs="Times New Roman"/>
          <w:noProof/>
          <w:sz w:val="24"/>
          <w:szCs w:val="24"/>
          <w:lang w:val="en-US"/>
        </w:rPr>
        <w:t>stages in the budget execution process.</w:t>
      </w:r>
      <w:r w:rsidR="0061534E">
        <w:rPr>
          <w:rFonts w:ascii="Times New Roman" w:hAnsi="Times New Roman" w:cs="Times New Roman"/>
          <w:noProof/>
          <w:sz w:val="24"/>
          <w:szCs w:val="24"/>
          <w:lang w:val="en-US"/>
        </w:rPr>
        <w:t xml:space="preserve"> </w:t>
      </w:r>
      <w:r w:rsidR="003B3B78">
        <w:rPr>
          <w:rFonts w:ascii="Times New Roman" w:hAnsi="Times New Roman" w:cs="Times New Roman"/>
          <w:noProof/>
          <w:sz w:val="24"/>
          <w:szCs w:val="24"/>
          <w:lang w:val="en-US"/>
        </w:rPr>
        <w:t>The questionnaire has shown significant divergence across member countries which also suggests that further discussions and work would be warranted. This could include an expansion of the questionnaire process, or establish</w:t>
      </w:r>
      <w:r w:rsidR="00D71F1B">
        <w:rPr>
          <w:rFonts w:ascii="Times New Roman" w:hAnsi="Times New Roman" w:cs="Times New Roman"/>
          <w:noProof/>
          <w:sz w:val="24"/>
          <w:szCs w:val="24"/>
          <w:lang w:val="en-US"/>
        </w:rPr>
        <w:t>m</w:t>
      </w:r>
      <w:r w:rsidR="003B3B78">
        <w:rPr>
          <w:rFonts w:ascii="Times New Roman" w:hAnsi="Times New Roman" w:cs="Times New Roman"/>
          <w:noProof/>
          <w:sz w:val="24"/>
          <w:szCs w:val="24"/>
          <w:lang w:val="en-US"/>
        </w:rPr>
        <w:t xml:space="preserve">ent of a specific working group. A number of isssues arose which </w:t>
      </w:r>
      <w:r w:rsidR="00451CA4">
        <w:rPr>
          <w:rFonts w:ascii="Times New Roman" w:hAnsi="Times New Roman" w:cs="Times New Roman"/>
          <w:noProof/>
          <w:sz w:val="24"/>
          <w:szCs w:val="24"/>
          <w:lang w:val="en-US"/>
        </w:rPr>
        <w:t>could be a useful focus for such a group</w:t>
      </w:r>
      <w:r>
        <w:rPr>
          <w:rFonts w:ascii="Times New Roman" w:hAnsi="Times New Roman" w:cs="Times New Roman"/>
          <w:noProof/>
          <w:sz w:val="24"/>
          <w:szCs w:val="24"/>
          <w:lang w:val="en-US"/>
        </w:rPr>
        <w:t xml:space="preserve"> which are detailed below. </w:t>
      </w:r>
    </w:p>
    <w:p w14:paraId="6BA4E88F" w14:textId="77777777" w:rsidR="003B3B78" w:rsidRDefault="003B3B78" w:rsidP="001A3ABD">
      <w:pPr>
        <w:spacing w:after="0" w:line="240" w:lineRule="auto"/>
        <w:rPr>
          <w:rFonts w:ascii="Times New Roman" w:hAnsi="Times New Roman" w:cs="Times New Roman"/>
          <w:noProof/>
          <w:sz w:val="24"/>
          <w:szCs w:val="24"/>
          <w:lang w:val="en-US"/>
        </w:rPr>
      </w:pPr>
    </w:p>
    <w:p w14:paraId="46233402" w14:textId="02485D4A" w:rsidR="007658BA" w:rsidRDefault="0061534E" w:rsidP="001A3ABD">
      <w:pPr>
        <w:pStyle w:val="ListParagraph"/>
        <w:numPr>
          <w:ilvl w:val="0"/>
          <w:numId w:val="32"/>
        </w:numPr>
        <w:spacing w:after="0" w:line="240" w:lineRule="auto"/>
        <w:rPr>
          <w:rFonts w:ascii="Times New Roman" w:hAnsi="Times New Roman" w:cs="Times New Roman"/>
          <w:noProof/>
          <w:sz w:val="24"/>
          <w:szCs w:val="24"/>
          <w:lang w:val="en-US"/>
        </w:rPr>
      </w:pPr>
      <w:r w:rsidRPr="007658BA">
        <w:rPr>
          <w:rFonts w:ascii="Times New Roman" w:hAnsi="Times New Roman" w:cs="Times New Roman"/>
          <w:noProof/>
          <w:sz w:val="24"/>
          <w:szCs w:val="24"/>
          <w:lang w:val="en-US"/>
        </w:rPr>
        <w:t>As note</w:t>
      </w:r>
      <w:r w:rsidR="00123276">
        <w:rPr>
          <w:rFonts w:ascii="Times New Roman" w:hAnsi="Times New Roman" w:cs="Times New Roman"/>
          <w:noProof/>
          <w:sz w:val="24"/>
          <w:szCs w:val="24"/>
          <w:lang w:val="en-US"/>
        </w:rPr>
        <w:t>d</w:t>
      </w:r>
      <w:r w:rsidRPr="007658BA">
        <w:rPr>
          <w:rFonts w:ascii="Times New Roman" w:hAnsi="Times New Roman" w:cs="Times New Roman"/>
          <w:noProof/>
          <w:sz w:val="24"/>
          <w:szCs w:val="24"/>
          <w:lang w:val="en-US"/>
        </w:rPr>
        <w:t xml:space="preserve"> above</w:t>
      </w:r>
      <w:r w:rsidR="00123276">
        <w:rPr>
          <w:rFonts w:ascii="Times New Roman" w:hAnsi="Times New Roman" w:cs="Times New Roman"/>
          <w:noProof/>
          <w:sz w:val="24"/>
          <w:szCs w:val="24"/>
          <w:lang w:val="en-US"/>
        </w:rPr>
        <w:t>,</w:t>
      </w:r>
      <w:r w:rsidRPr="007658BA">
        <w:rPr>
          <w:rFonts w:ascii="Times New Roman" w:hAnsi="Times New Roman" w:cs="Times New Roman"/>
          <w:noProof/>
          <w:sz w:val="24"/>
          <w:szCs w:val="24"/>
          <w:lang w:val="en-US"/>
        </w:rPr>
        <w:t xml:space="preserve"> just five countries appear to have definitions across stages 3-5 that are consistent with those from the questionnaire. </w:t>
      </w:r>
      <w:r w:rsidR="007658BA">
        <w:rPr>
          <w:rFonts w:ascii="Times New Roman" w:hAnsi="Times New Roman" w:cs="Times New Roman"/>
          <w:noProof/>
          <w:sz w:val="24"/>
          <w:szCs w:val="24"/>
          <w:lang w:val="en-US"/>
        </w:rPr>
        <w:t xml:space="preserve">Why have these differences evolved and what are the implications? </w:t>
      </w:r>
    </w:p>
    <w:p w14:paraId="06BDA560" w14:textId="7692DEBE" w:rsidR="003B3B78" w:rsidRPr="00111CFF" w:rsidRDefault="007658BA" w:rsidP="007658BA">
      <w:pPr>
        <w:pStyle w:val="ListParagraph"/>
        <w:numPr>
          <w:ilvl w:val="0"/>
          <w:numId w:val="32"/>
        </w:numPr>
        <w:spacing w:after="0" w:line="240" w:lineRule="auto"/>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How does budget control interact with emerging procurement systems and controls? </w:t>
      </w:r>
      <w:r w:rsidR="001A3ABD" w:rsidRPr="007658BA">
        <w:rPr>
          <w:rFonts w:ascii="Times New Roman" w:hAnsi="Times New Roman" w:cs="Times New Roman"/>
          <w:sz w:val="24"/>
          <w:szCs w:val="24"/>
        </w:rPr>
        <w:t>In recent years, procurement has e</w:t>
      </w:r>
      <w:r w:rsidR="00123276">
        <w:rPr>
          <w:rFonts w:ascii="Times New Roman" w:hAnsi="Times New Roman" w:cs="Times New Roman"/>
          <w:sz w:val="24"/>
          <w:szCs w:val="24"/>
        </w:rPr>
        <w:t>volved</w:t>
      </w:r>
      <w:r w:rsidR="001A3ABD" w:rsidRPr="007658BA">
        <w:rPr>
          <w:rFonts w:ascii="Times New Roman" w:hAnsi="Times New Roman" w:cs="Times New Roman"/>
          <w:sz w:val="24"/>
          <w:szCs w:val="24"/>
        </w:rPr>
        <w:t xml:space="preserve"> as a separate control activity of government, with specialist functions </w:t>
      </w:r>
      <w:r w:rsidR="00123276">
        <w:rPr>
          <w:rFonts w:ascii="Times New Roman" w:hAnsi="Times New Roman" w:cs="Times New Roman"/>
          <w:sz w:val="24"/>
          <w:szCs w:val="24"/>
        </w:rPr>
        <w:t>developed</w:t>
      </w:r>
      <w:r w:rsidR="001A3ABD" w:rsidRPr="007658BA">
        <w:rPr>
          <w:rFonts w:ascii="Times New Roman" w:hAnsi="Times New Roman" w:cs="Times New Roman"/>
          <w:sz w:val="24"/>
          <w:szCs w:val="24"/>
        </w:rPr>
        <w:t xml:space="preserve"> outside of the traditional budget execution control processes. This has often been accompanied by the creation of separate procurement systems. While these enhanced controls are important, the separation from budget execution maybe red</w:t>
      </w:r>
      <w:r w:rsidR="00123276">
        <w:rPr>
          <w:rFonts w:ascii="Times New Roman" w:hAnsi="Times New Roman" w:cs="Times New Roman"/>
          <w:sz w:val="24"/>
          <w:szCs w:val="24"/>
        </w:rPr>
        <w:t>ucing the effectiveness of the pre-commitment stage</w:t>
      </w:r>
      <w:r w:rsidR="001A3ABD" w:rsidRPr="007658BA">
        <w:rPr>
          <w:rFonts w:ascii="Times New Roman" w:hAnsi="Times New Roman" w:cs="Times New Roman"/>
          <w:sz w:val="24"/>
          <w:szCs w:val="24"/>
        </w:rPr>
        <w:t xml:space="preserve"> </w:t>
      </w:r>
      <w:r w:rsidR="00123276">
        <w:rPr>
          <w:rFonts w:ascii="Times New Roman" w:hAnsi="Times New Roman" w:cs="Times New Roman"/>
          <w:sz w:val="24"/>
          <w:szCs w:val="24"/>
        </w:rPr>
        <w:t xml:space="preserve">as a tool </w:t>
      </w:r>
      <w:r w:rsidR="001A3ABD" w:rsidRPr="007658BA">
        <w:rPr>
          <w:rFonts w:ascii="Times New Roman" w:hAnsi="Times New Roman" w:cs="Times New Roman"/>
          <w:sz w:val="24"/>
          <w:szCs w:val="24"/>
        </w:rPr>
        <w:t>for budget control and cash management</w:t>
      </w:r>
      <w:r w:rsidR="00123276">
        <w:rPr>
          <w:rFonts w:ascii="Times New Roman" w:hAnsi="Times New Roman" w:cs="Times New Roman"/>
          <w:sz w:val="24"/>
          <w:szCs w:val="24"/>
        </w:rPr>
        <w:t>;</w:t>
      </w:r>
      <w:r w:rsidR="001A3ABD" w:rsidRPr="007658BA">
        <w:rPr>
          <w:rFonts w:ascii="Times New Roman" w:hAnsi="Times New Roman" w:cs="Times New Roman"/>
          <w:sz w:val="24"/>
          <w:szCs w:val="24"/>
        </w:rPr>
        <w:t xml:space="preserve"> </w:t>
      </w:r>
    </w:p>
    <w:p w14:paraId="12EF2192" w14:textId="64E17AA6" w:rsidR="007658BA" w:rsidRPr="007658BA" w:rsidRDefault="00D06DDE" w:rsidP="00D06DDE">
      <w:pPr>
        <w:pStyle w:val="ListParagraph"/>
        <w:numPr>
          <w:ilvl w:val="0"/>
          <w:numId w:val="32"/>
        </w:numPr>
        <w:spacing w:after="0" w:line="240" w:lineRule="auto"/>
        <w:rPr>
          <w:rFonts w:ascii="Times New Roman" w:hAnsi="Times New Roman" w:cs="Times New Roman"/>
          <w:sz w:val="24"/>
          <w:szCs w:val="24"/>
        </w:rPr>
      </w:pPr>
      <w:r w:rsidRPr="007658BA">
        <w:rPr>
          <w:rFonts w:ascii="Times New Roman" w:hAnsi="Times New Roman" w:cs="Times New Roman"/>
          <w:sz w:val="24"/>
          <w:szCs w:val="24"/>
        </w:rPr>
        <w:t xml:space="preserve">It </w:t>
      </w:r>
      <w:proofErr w:type="spellStart"/>
      <w:r w:rsidRPr="007658BA">
        <w:rPr>
          <w:rFonts w:ascii="Times New Roman" w:hAnsi="Times New Roman" w:cs="Times New Roman"/>
          <w:sz w:val="24"/>
          <w:szCs w:val="24"/>
        </w:rPr>
        <w:t>maybe</w:t>
      </w:r>
      <w:proofErr w:type="spellEnd"/>
      <w:r w:rsidRPr="007658BA">
        <w:rPr>
          <w:rFonts w:ascii="Times New Roman" w:hAnsi="Times New Roman" w:cs="Times New Roman"/>
          <w:sz w:val="24"/>
          <w:szCs w:val="24"/>
        </w:rPr>
        <w:t xml:space="preserve"> useful to have further dialogue regarding the relationship between commitment controls, appropriations and in-year appropriation releases such as warrants, allotment and the ROSPICE. Developing an example of good practice to share across countries in this area may also be useful</w:t>
      </w:r>
      <w:r w:rsidR="00123276">
        <w:rPr>
          <w:rFonts w:ascii="Times New Roman" w:hAnsi="Times New Roman" w:cs="Times New Roman"/>
          <w:sz w:val="24"/>
          <w:szCs w:val="24"/>
        </w:rPr>
        <w:t>;</w:t>
      </w:r>
      <w:r w:rsidRPr="007658BA">
        <w:rPr>
          <w:rFonts w:ascii="Times New Roman" w:hAnsi="Times New Roman" w:cs="Times New Roman"/>
          <w:sz w:val="24"/>
          <w:szCs w:val="24"/>
        </w:rPr>
        <w:t xml:space="preserve"> </w:t>
      </w:r>
    </w:p>
    <w:p w14:paraId="656D2DC4" w14:textId="04C324C3" w:rsidR="00A67361" w:rsidRPr="00F96B3D" w:rsidRDefault="00D06DDE" w:rsidP="00F96B3D">
      <w:pPr>
        <w:pStyle w:val="ListParagraph"/>
        <w:numPr>
          <w:ilvl w:val="0"/>
          <w:numId w:val="32"/>
        </w:numPr>
        <w:spacing w:after="0" w:line="240" w:lineRule="auto"/>
        <w:rPr>
          <w:rFonts w:ascii="Times New Roman" w:hAnsi="Times New Roman" w:cs="Times New Roman"/>
        </w:rPr>
      </w:pPr>
      <w:r w:rsidRPr="007658BA">
        <w:rPr>
          <w:rFonts w:ascii="Times New Roman" w:hAnsi="Times New Roman" w:cs="Times New Roman"/>
          <w:sz w:val="24"/>
          <w:szCs w:val="24"/>
        </w:rPr>
        <w:t xml:space="preserve">The question of whether POs are issued for all or some commitments would benefit from more detailed questions and responses given five countries simply answered </w:t>
      </w:r>
      <w:r w:rsidR="004910B4">
        <w:rPr>
          <w:rFonts w:ascii="Times New Roman" w:hAnsi="Times New Roman" w:cs="Times New Roman"/>
          <w:sz w:val="24"/>
          <w:szCs w:val="24"/>
        </w:rPr>
        <w:t>‘</w:t>
      </w:r>
      <w:r w:rsidRPr="007658BA">
        <w:rPr>
          <w:rFonts w:ascii="Times New Roman" w:hAnsi="Times New Roman" w:cs="Times New Roman"/>
          <w:sz w:val="24"/>
          <w:szCs w:val="24"/>
        </w:rPr>
        <w:t>no</w:t>
      </w:r>
      <w:r w:rsidR="004910B4">
        <w:rPr>
          <w:rFonts w:ascii="Times New Roman" w:hAnsi="Times New Roman" w:cs="Times New Roman"/>
          <w:sz w:val="24"/>
          <w:szCs w:val="24"/>
        </w:rPr>
        <w:t>’</w:t>
      </w:r>
      <w:r w:rsidRPr="007658BA">
        <w:rPr>
          <w:rFonts w:ascii="Times New Roman" w:hAnsi="Times New Roman" w:cs="Times New Roman"/>
          <w:sz w:val="24"/>
          <w:szCs w:val="24"/>
        </w:rPr>
        <w:t xml:space="preserve"> and one </w:t>
      </w:r>
      <w:r w:rsidR="004910B4">
        <w:rPr>
          <w:rFonts w:ascii="Times New Roman" w:hAnsi="Times New Roman" w:cs="Times New Roman"/>
          <w:sz w:val="24"/>
          <w:szCs w:val="24"/>
        </w:rPr>
        <w:t>‘</w:t>
      </w:r>
      <w:r w:rsidRPr="007658BA">
        <w:rPr>
          <w:rFonts w:ascii="Times New Roman" w:hAnsi="Times New Roman" w:cs="Times New Roman"/>
          <w:sz w:val="24"/>
          <w:szCs w:val="24"/>
        </w:rPr>
        <w:t>not at all</w:t>
      </w:r>
      <w:r w:rsidR="004910B4">
        <w:rPr>
          <w:rFonts w:ascii="Times New Roman" w:hAnsi="Times New Roman" w:cs="Times New Roman"/>
          <w:sz w:val="24"/>
          <w:szCs w:val="24"/>
        </w:rPr>
        <w:t>’</w:t>
      </w:r>
      <w:r w:rsidRPr="007658BA">
        <w:rPr>
          <w:rFonts w:ascii="Times New Roman" w:hAnsi="Times New Roman" w:cs="Times New Roman"/>
          <w:sz w:val="24"/>
          <w:szCs w:val="24"/>
        </w:rPr>
        <w:t xml:space="preserve">. Countries may issue POs for specific </w:t>
      </w:r>
      <w:r w:rsidR="00A67361">
        <w:rPr>
          <w:rFonts w:ascii="Times New Roman" w:hAnsi="Times New Roman" w:cs="Times New Roman"/>
          <w:sz w:val="24"/>
          <w:szCs w:val="24"/>
        </w:rPr>
        <w:t xml:space="preserve">types of </w:t>
      </w:r>
      <w:r w:rsidRPr="007658BA">
        <w:rPr>
          <w:rFonts w:ascii="Times New Roman" w:hAnsi="Times New Roman" w:cs="Times New Roman"/>
          <w:sz w:val="24"/>
          <w:szCs w:val="24"/>
        </w:rPr>
        <w:t xml:space="preserve">commitments but not all </w:t>
      </w:r>
      <w:proofErr w:type="gramStart"/>
      <w:r w:rsidRPr="007658BA">
        <w:rPr>
          <w:rFonts w:ascii="Times New Roman" w:hAnsi="Times New Roman" w:cs="Times New Roman"/>
          <w:sz w:val="24"/>
          <w:szCs w:val="24"/>
        </w:rPr>
        <w:t>commitments</w:t>
      </w:r>
      <w:r w:rsidR="00A67361">
        <w:rPr>
          <w:rFonts w:ascii="Times New Roman" w:hAnsi="Times New Roman" w:cs="Times New Roman"/>
          <w:sz w:val="24"/>
          <w:szCs w:val="24"/>
        </w:rPr>
        <w:t>,</w:t>
      </w:r>
      <w:proofErr w:type="gramEnd"/>
      <w:r w:rsidR="00A67361">
        <w:rPr>
          <w:rFonts w:ascii="Times New Roman" w:hAnsi="Times New Roman" w:cs="Times New Roman"/>
          <w:sz w:val="24"/>
          <w:szCs w:val="24"/>
        </w:rPr>
        <w:t xml:space="preserve"> however,</w:t>
      </w:r>
      <w:r w:rsidRPr="007658BA">
        <w:rPr>
          <w:rFonts w:ascii="Times New Roman" w:hAnsi="Times New Roman" w:cs="Times New Roman"/>
          <w:sz w:val="24"/>
          <w:szCs w:val="24"/>
        </w:rPr>
        <w:t xml:space="preserve"> the structure of the questionnaire precluded these responses. Alternative but similar controls may also be in place for other types of </w:t>
      </w:r>
      <w:r w:rsidR="00A67361">
        <w:rPr>
          <w:rFonts w:ascii="Times New Roman" w:hAnsi="Times New Roman" w:cs="Times New Roman"/>
          <w:sz w:val="24"/>
          <w:szCs w:val="24"/>
        </w:rPr>
        <w:t>spending</w:t>
      </w:r>
      <w:r w:rsidRPr="007658BA">
        <w:rPr>
          <w:rFonts w:ascii="Times New Roman" w:hAnsi="Times New Roman" w:cs="Times New Roman"/>
          <w:sz w:val="24"/>
          <w:szCs w:val="24"/>
        </w:rPr>
        <w:t xml:space="preserve">, for example debt.  </w:t>
      </w:r>
      <w:r w:rsidR="00A67361">
        <w:rPr>
          <w:rFonts w:ascii="Times New Roman" w:hAnsi="Times New Roman" w:cs="Times New Roman"/>
          <w:sz w:val="24"/>
          <w:szCs w:val="24"/>
        </w:rPr>
        <w:t xml:space="preserve">It would therefore be useful to undertake a more thorough review in this area to determine the exact nature of controls for all types of public spending; </w:t>
      </w:r>
    </w:p>
    <w:p w14:paraId="55D72C9C" w14:textId="1991DBB3" w:rsidR="0061534E" w:rsidRPr="00F96B3D" w:rsidRDefault="00123276" w:rsidP="00F96B3D">
      <w:pPr>
        <w:pStyle w:val="ListParagraph"/>
        <w:numPr>
          <w:ilvl w:val="0"/>
          <w:numId w:val="32"/>
        </w:numPr>
        <w:spacing w:after="0" w:line="240" w:lineRule="auto"/>
        <w:rPr>
          <w:rFonts w:ascii="Times New Roman" w:hAnsi="Times New Roman" w:cs="Times New Roman"/>
        </w:rPr>
      </w:pPr>
      <w:r w:rsidRPr="00F96B3D">
        <w:rPr>
          <w:rFonts w:ascii="Times New Roman" w:hAnsi="Times New Roman" w:cs="Times New Roman"/>
          <w:sz w:val="24"/>
          <w:szCs w:val="24"/>
        </w:rPr>
        <w:t xml:space="preserve">Receipt of goods and services </w:t>
      </w:r>
      <w:r w:rsidR="00D06DDE" w:rsidRPr="00F96B3D">
        <w:rPr>
          <w:rFonts w:ascii="Times New Roman" w:hAnsi="Times New Roman" w:cs="Times New Roman"/>
          <w:sz w:val="24"/>
          <w:szCs w:val="24"/>
        </w:rPr>
        <w:t xml:space="preserve">has particularly implications for accrual accounting and the recognition of liabilities. It </w:t>
      </w:r>
      <w:proofErr w:type="spellStart"/>
      <w:r w:rsidR="00D06DDE" w:rsidRPr="00F96B3D">
        <w:rPr>
          <w:rFonts w:ascii="Times New Roman" w:hAnsi="Times New Roman" w:cs="Times New Roman"/>
          <w:sz w:val="24"/>
          <w:szCs w:val="24"/>
        </w:rPr>
        <w:t>maybe</w:t>
      </w:r>
      <w:proofErr w:type="spellEnd"/>
      <w:r w:rsidR="00D06DDE" w:rsidRPr="00F96B3D">
        <w:rPr>
          <w:rFonts w:ascii="Times New Roman" w:hAnsi="Times New Roman" w:cs="Times New Roman"/>
          <w:sz w:val="24"/>
          <w:szCs w:val="24"/>
        </w:rPr>
        <w:t xml:space="preserve"> useful to further explore whether countries that have adopted </w:t>
      </w:r>
      <w:r w:rsidR="00D06DDE" w:rsidRPr="00F96B3D">
        <w:rPr>
          <w:rFonts w:ascii="Times New Roman" w:hAnsi="Times New Roman" w:cs="Times New Roman"/>
          <w:sz w:val="24"/>
          <w:szCs w:val="24"/>
        </w:rPr>
        <w:lastRenderedPageBreak/>
        <w:t xml:space="preserve">full or </w:t>
      </w:r>
      <w:r w:rsidR="00171D0B" w:rsidRPr="00F96B3D">
        <w:rPr>
          <w:rFonts w:ascii="Times New Roman" w:hAnsi="Times New Roman" w:cs="Times New Roman"/>
          <w:sz w:val="24"/>
          <w:szCs w:val="24"/>
        </w:rPr>
        <w:t xml:space="preserve">modified accrual and </w:t>
      </w:r>
      <w:r w:rsidR="00D71F1B" w:rsidRPr="00F96B3D">
        <w:rPr>
          <w:rFonts w:ascii="Times New Roman" w:hAnsi="Times New Roman" w:cs="Times New Roman"/>
          <w:sz w:val="24"/>
          <w:szCs w:val="24"/>
        </w:rPr>
        <w:t xml:space="preserve">which </w:t>
      </w:r>
      <w:r w:rsidR="00D06DDE" w:rsidRPr="00F96B3D">
        <w:rPr>
          <w:rFonts w:ascii="Times New Roman" w:hAnsi="Times New Roman" w:cs="Times New Roman"/>
          <w:sz w:val="24"/>
          <w:szCs w:val="24"/>
        </w:rPr>
        <w:t>disclose liabilities in the</w:t>
      </w:r>
      <w:r w:rsidR="00171D0B" w:rsidRPr="00F96B3D">
        <w:rPr>
          <w:rFonts w:ascii="Times New Roman" w:hAnsi="Times New Roman" w:cs="Times New Roman"/>
          <w:sz w:val="24"/>
          <w:szCs w:val="24"/>
        </w:rPr>
        <w:t>ir</w:t>
      </w:r>
      <w:r w:rsidR="00D06DDE" w:rsidRPr="00F96B3D">
        <w:rPr>
          <w:rFonts w:ascii="Times New Roman" w:hAnsi="Times New Roman" w:cs="Times New Roman"/>
          <w:sz w:val="24"/>
          <w:szCs w:val="24"/>
        </w:rPr>
        <w:t xml:space="preserve"> financial statements, have been consistent in the </w:t>
      </w:r>
      <w:r w:rsidR="00171D0B" w:rsidRPr="00F96B3D">
        <w:rPr>
          <w:rFonts w:ascii="Times New Roman" w:hAnsi="Times New Roman" w:cs="Times New Roman"/>
          <w:sz w:val="24"/>
          <w:szCs w:val="24"/>
        </w:rPr>
        <w:t>nature of recognition</w:t>
      </w:r>
      <w:r w:rsidR="00D06DDE" w:rsidRPr="00F96B3D">
        <w:rPr>
          <w:rFonts w:ascii="Times New Roman" w:hAnsi="Times New Roman" w:cs="Times New Roman"/>
          <w:sz w:val="24"/>
          <w:szCs w:val="24"/>
        </w:rPr>
        <w:t xml:space="preserve"> </w:t>
      </w:r>
      <w:r w:rsidR="00D71F1B" w:rsidRPr="00F96B3D">
        <w:rPr>
          <w:rFonts w:ascii="Times New Roman" w:hAnsi="Times New Roman" w:cs="Times New Roman"/>
          <w:sz w:val="24"/>
          <w:szCs w:val="24"/>
        </w:rPr>
        <w:t xml:space="preserve">of these liabilities </w:t>
      </w:r>
      <w:r w:rsidR="00D06DDE" w:rsidRPr="00F96B3D">
        <w:rPr>
          <w:rFonts w:ascii="Times New Roman" w:hAnsi="Times New Roman" w:cs="Times New Roman"/>
          <w:sz w:val="24"/>
          <w:szCs w:val="24"/>
        </w:rPr>
        <w:t xml:space="preserve">in accounting policies and </w:t>
      </w:r>
      <w:r w:rsidR="00171D0B" w:rsidRPr="00F96B3D">
        <w:rPr>
          <w:rFonts w:ascii="Times New Roman" w:hAnsi="Times New Roman" w:cs="Times New Roman"/>
          <w:sz w:val="24"/>
          <w:szCs w:val="24"/>
        </w:rPr>
        <w:t xml:space="preserve">the related </w:t>
      </w:r>
      <w:r w:rsidR="00D71F1B" w:rsidRPr="00F96B3D">
        <w:rPr>
          <w:rFonts w:ascii="Times New Roman" w:hAnsi="Times New Roman" w:cs="Times New Roman"/>
          <w:sz w:val="24"/>
          <w:szCs w:val="24"/>
        </w:rPr>
        <w:t>processes;</w:t>
      </w:r>
      <w:r w:rsidR="007658BA" w:rsidRPr="00F96B3D">
        <w:rPr>
          <w:rFonts w:ascii="Times New Roman" w:hAnsi="Times New Roman" w:cs="Times New Roman"/>
          <w:sz w:val="24"/>
          <w:szCs w:val="24"/>
        </w:rPr>
        <w:t xml:space="preserve"> </w:t>
      </w:r>
    </w:p>
    <w:p w14:paraId="62FE4628" w14:textId="7FC72E2F" w:rsidR="0061534E" w:rsidRPr="00171D0B" w:rsidRDefault="0061534E" w:rsidP="007658BA">
      <w:pPr>
        <w:pStyle w:val="ListParagraph"/>
        <w:numPr>
          <w:ilvl w:val="0"/>
          <w:numId w:val="32"/>
        </w:numPr>
        <w:rPr>
          <w:rFonts w:ascii="Times New Roman" w:hAnsi="Times New Roman" w:cs="Times New Roman"/>
          <w:noProof/>
          <w:sz w:val="24"/>
          <w:szCs w:val="24"/>
          <w:lang w:val="en-US"/>
        </w:rPr>
      </w:pPr>
      <w:r w:rsidRPr="007658BA">
        <w:rPr>
          <w:rFonts w:ascii="Times New Roman" w:hAnsi="Times New Roman" w:cs="Times New Roman"/>
          <w:noProof/>
          <w:sz w:val="24"/>
          <w:szCs w:val="24"/>
          <w:lang w:val="en-US"/>
        </w:rPr>
        <w:t>The rationale behind the</w:t>
      </w:r>
      <w:r w:rsidR="00171D0B">
        <w:rPr>
          <w:rFonts w:ascii="Times New Roman" w:hAnsi="Times New Roman" w:cs="Times New Roman"/>
          <w:noProof/>
          <w:sz w:val="24"/>
          <w:szCs w:val="24"/>
          <w:lang w:val="en-US"/>
        </w:rPr>
        <w:t xml:space="preserve"> concept of “due date” and “standard terms of trade”</w:t>
      </w:r>
      <w:r w:rsidRPr="007658BA">
        <w:rPr>
          <w:rFonts w:ascii="Times New Roman" w:hAnsi="Times New Roman" w:cs="Times New Roman"/>
          <w:noProof/>
          <w:sz w:val="24"/>
          <w:szCs w:val="24"/>
          <w:lang w:val="en-US"/>
        </w:rPr>
        <w:t xml:space="preserve">, </w:t>
      </w:r>
      <w:r w:rsidR="00D71F1B">
        <w:rPr>
          <w:rFonts w:ascii="Times New Roman" w:hAnsi="Times New Roman" w:cs="Times New Roman"/>
          <w:noProof/>
          <w:sz w:val="24"/>
          <w:szCs w:val="24"/>
          <w:lang w:val="en-US"/>
        </w:rPr>
        <w:t>is</w:t>
      </w:r>
      <w:r w:rsidRPr="007658BA">
        <w:rPr>
          <w:rFonts w:ascii="Times New Roman" w:hAnsi="Times New Roman" w:cs="Times New Roman"/>
          <w:noProof/>
          <w:sz w:val="24"/>
          <w:szCs w:val="24"/>
          <w:lang w:val="en-US"/>
        </w:rPr>
        <w:t xml:space="preserve"> </w:t>
      </w:r>
      <w:r w:rsidR="00D71F1B">
        <w:rPr>
          <w:rFonts w:ascii="Times New Roman" w:hAnsi="Times New Roman" w:cs="Times New Roman"/>
          <w:noProof/>
          <w:sz w:val="24"/>
          <w:szCs w:val="24"/>
          <w:lang w:val="en-US"/>
        </w:rPr>
        <w:t>to</w:t>
      </w:r>
      <w:r w:rsidRPr="007658BA">
        <w:rPr>
          <w:rFonts w:ascii="Times New Roman" w:hAnsi="Times New Roman" w:cs="Times New Roman"/>
          <w:noProof/>
          <w:sz w:val="24"/>
          <w:szCs w:val="24"/>
          <w:lang w:val="en-US"/>
        </w:rPr>
        <w:t xml:space="preserve"> provid</w:t>
      </w:r>
      <w:r w:rsidR="00D71F1B">
        <w:rPr>
          <w:rFonts w:ascii="Times New Roman" w:hAnsi="Times New Roman" w:cs="Times New Roman"/>
          <w:noProof/>
          <w:sz w:val="24"/>
          <w:szCs w:val="24"/>
          <w:lang w:val="en-US"/>
        </w:rPr>
        <w:t>e</w:t>
      </w:r>
      <w:r w:rsidRPr="007658BA">
        <w:rPr>
          <w:rFonts w:ascii="Times New Roman" w:hAnsi="Times New Roman" w:cs="Times New Roman"/>
          <w:noProof/>
          <w:sz w:val="24"/>
          <w:szCs w:val="24"/>
          <w:lang w:val="en-US"/>
        </w:rPr>
        <w:t xml:space="preserve"> certainty regarding cashflows for both </w:t>
      </w:r>
      <w:r w:rsidR="00D71F1B">
        <w:rPr>
          <w:rFonts w:ascii="Times New Roman" w:hAnsi="Times New Roman" w:cs="Times New Roman"/>
          <w:noProof/>
          <w:sz w:val="24"/>
          <w:szCs w:val="24"/>
          <w:lang w:val="en-US"/>
        </w:rPr>
        <w:t xml:space="preserve">the </w:t>
      </w:r>
      <w:r w:rsidRPr="007658BA">
        <w:rPr>
          <w:rFonts w:ascii="Times New Roman" w:hAnsi="Times New Roman" w:cs="Times New Roman"/>
          <w:noProof/>
          <w:sz w:val="24"/>
          <w:szCs w:val="24"/>
          <w:lang w:val="en-US"/>
        </w:rPr>
        <w:t xml:space="preserve">government and suppliers and to maximize the </w:t>
      </w:r>
      <w:r w:rsidRPr="00171D0B">
        <w:rPr>
          <w:rFonts w:ascii="Times New Roman" w:hAnsi="Times New Roman" w:cs="Times New Roman"/>
          <w:noProof/>
          <w:sz w:val="24"/>
          <w:szCs w:val="24"/>
          <w:lang w:val="en-US"/>
        </w:rPr>
        <w:t>cash balances of government by ensuring invoices  are paid “just in time”</w:t>
      </w:r>
      <w:r w:rsidR="00D71F1B">
        <w:rPr>
          <w:rFonts w:ascii="Times New Roman" w:hAnsi="Times New Roman" w:cs="Times New Roman"/>
          <w:noProof/>
          <w:sz w:val="24"/>
          <w:szCs w:val="24"/>
          <w:lang w:val="en-US"/>
        </w:rPr>
        <w:t>,</w:t>
      </w:r>
      <w:r w:rsidRPr="00171D0B">
        <w:rPr>
          <w:rFonts w:ascii="Times New Roman" w:hAnsi="Times New Roman" w:cs="Times New Roman"/>
          <w:noProof/>
          <w:sz w:val="24"/>
          <w:szCs w:val="24"/>
          <w:lang w:val="en-US"/>
        </w:rPr>
        <w:t xml:space="preserve"> neither early or late</w:t>
      </w:r>
      <w:r w:rsidR="00D71F1B">
        <w:rPr>
          <w:rFonts w:ascii="Times New Roman" w:hAnsi="Times New Roman" w:cs="Times New Roman"/>
          <w:noProof/>
          <w:sz w:val="24"/>
          <w:szCs w:val="24"/>
          <w:lang w:val="en-US"/>
        </w:rPr>
        <w:t>.</w:t>
      </w:r>
      <w:r w:rsidRPr="00171D0B">
        <w:rPr>
          <w:rFonts w:ascii="Times New Roman" w:hAnsi="Times New Roman" w:cs="Times New Roman"/>
          <w:noProof/>
          <w:sz w:val="24"/>
          <w:szCs w:val="24"/>
          <w:lang w:val="en-US"/>
        </w:rPr>
        <w:t xml:space="preserve"> </w:t>
      </w:r>
      <w:r w:rsidR="00D71F1B">
        <w:rPr>
          <w:rFonts w:ascii="Times New Roman" w:hAnsi="Times New Roman" w:cs="Times New Roman"/>
          <w:noProof/>
          <w:sz w:val="24"/>
          <w:szCs w:val="24"/>
          <w:lang w:val="en-US"/>
        </w:rPr>
        <w:t>Whether these objectives are understood by all countries</w:t>
      </w:r>
      <w:r w:rsidRPr="00171D0B">
        <w:rPr>
          <w:rFonts w:ascii="Times New Roman" w:hAnsi="Times New Roman" w:cs="Times New Roman"/>
          <w:noProof/>
          <w:sz w:val="24"/>
          <w:szCs w:val="24"/>
          <w:lang w:val="en-US"/>
        </w:rPr>
        <w:t xml:space="preserve"> could be a useful focus </w:t>
      </w:r>
      <w:r w:rsidR="00D71F1B">
        <w:rPr>
          <w:rFonts w:ascii="Times New Roman" w:hAnsi="Times New Roman" w:cs="Times New Roman"/>
          <w:noProof/>
          <w:sz w:val="24"/>
          <w:szCs w:val="24"/>
          <w:lang w:val="en-US"/>
        </w:rPr>
        <w:t>of</w:t>
      </w:r>
      <w:r w:rsidRPr="00171D0B">
        <w:rPr>
          <w:rFonts w:ascii="Times New Roman" w:hAnsi="Times New Roman" w:cs="Times New Roman"/>
          <w:noProof/>
          <w:sz w:val="24"/>
          <w:szCs w:val="24"/>
          <w:lang w:val="en-US"/>
        </w:rPr>
        <w:t xml:space="preserve"> further discussion and debate</w:t>
      </w:r>
      <w:r w:rsidR="00D71F1B">
        <w:rPr>
          <w:rFonts w:ascii="Times New Roman" w:hAnsi="Times New Roman" w:cs="Times New Roman"/>
          <w:noProof/>
          <w:sz w:val="24"/>
          <w:szCs w:val="24"/>
          <w:lang w:val="en-US"/>
        </w:rPr>
        <w:t>;</w:t>
      </w:r>
      <w:r w:rsidRPr="00171D0B">
        <w:rPr>
          <w:rFonts w:ascii="Times New Roman" w:hAnsi="Times New Roman" w:cs="Times New Roman"/>
          <w:noProof/>
          <w:sz w:val="24"/>
          <w:szCs w:val="24"/>
          <w:lang w:val="en-US"/>
        </w:rPr>
        <w:t xml:space="preserve"> </w:t>
      </w:r>
    </w:p>
    <w:p w14:paraId="3F8D5798" w14:textId="1BED602F" w:rsidR="00171D0B" w:rsidRPr="00171D0B" w:rsidRDefault="0061534E" w:rsidP="003B3B78">
      <w:pPr>
        <w:pStyle w:val="ListParagraph"/>
        <w:numPr>
          <w:ilvl w:val="0"/>
          <w:numId w:val="32"/>
        </w:numPr>
        <w:spacing w:after="0" w:line="240" w:lineRule="auto"/>
        <w:rPr>
          <w:rFonts w:ascii="Times New Roman" w:hAnsi="Times New Roman" w:cs="Times New Roman"/>
          <w:noProof/>
          <w:sz w:val="24"/>
          <w:szCs w:val="24"/>
          <w:lang w:val="en-US"/>
        </w:rPr>
      </w:pPr>
      <w:r w:rsidRPr="00171D0B">
        <w:rPr>
          <w:rFonts w:ascii="Times New Roman" w:hAnsi="Times New Roman" w:cs="Times New Roman"/>
          <w:noProof/>
          <w:sz w:val="24"/>
          <w:szCs w:val="24"/>
          <w:lang w:val="en-US"/>
        </w:rPr>
        <w:t>Albania is the only country that reported a specific law to deal with arrears (see Box 2) and to determine penalties in a clear and consistent manner. This may</w:t>
      </w:r>
      <w:r w:rsidR="004910B4">
        <w:rPr>
          <w:rFonts w:ascii="Times New Roman" w:hAnsi="Times New Roman" w:cs="Times New Roman"/>
          <w:noProof/>
          <w:sz w:val="24"/>
          <w:szCs w:val="24"/>
          <w:lang w:val="en-US"/>
        </w:rPr>
        <w:t xml:space="preserve"> </w:t>
      </w:r>
      <w:r w:rsidRPr="00171D0B">
        <w:rPr>
          <w:rFonts w:ascii="Times New Roman" w:hAnsi="Times New Roman" w:cs="Times New Roman"/>
          <w:noProof/>
          <w:sz w:val="24"/>
          <w:szCs w:val="24"/>
          <w:lang w:val="en-US"/>
        </w:rPr>
        <w:t>be a useful case</w:t>
      </w:r>
      <w:r w:rsidR="004910B4">
        <w:rPr>
          <w:rFonts w:ascii="Times New Roman" w:hAnsi="Times New Roman" w:cs="Times New Roman"/>
          <w:noProof/>
          <w:sz w:val="24"/>
          <w:szCs w:val="24"/>
          <w:lang w:val="en-US"/>
        </w:rPr>
        <w:t xml:space="preserve"> </w:t>
      </w:r>
      <w:r w:rsidRPr="00171D0B">
        <w:rPr>
          <w:rFonts w:ascii="Times New Roman" w:hAnsi="Times New Roman" w:cs="Times New Roman"/>
          <w:noProof/>
          <w:sz w:val="24"/>
          <w:szCs w:val="24"/>
          <w:lang w:val="en-US"/>
        </w:rPr>
        <w:t>study for TCOP going forward</w:t>
      </w:r>
      <w:r w:rsidR="00D71F1B">
        <w:rPr>
          <w:rFonts w:ascii="Times New Roman" w:hAnsi="Times New Roman" w:cs="Times New Roman"/>
          <w:noProof/>
          <w:sz w:val="24"/>
          <w:szCs w:val="24"/>
          <w:lang w:val="en-US"/>
        </w:rPr>
        <w:t>;</w:t>
      </w:r>
      <w:r w:rsidRPr="00171D0B">
        <w:rPr>
          <w:rFonts w:ascii="Times New Roman" w:hAnsi="Times New Roman" w:cs="Times New Roman"/>
          <w:noProof/>
          <w:sz w:val="24"/>
          <w:szCs w:val="24"/>
          <w:lang w:val="en-US"/>
        </w:rPr>
        <w:t xml:space="preserve"> </w:t>
      </w:r>
    </w:p>
    <w:p w14:paraId="2252713D" w14:textId="224981B1" w:rsidR="003B3B78" w:rsidRPr="00171D0B" w:rsidRDefault="0061534E" w:rsidP="003B3B78">
      <w:pPr>
        <w:pStyle w:val="ListParagraph"/>
        <w:numPr>
          <w:ilvl w:val="0"/>
          <w:numId w:val="32"/>
        </w:numPr>
        <w:spacing w:after="0" w:line="240" w:lineRule="auto"/>
        <w:rPr>
          <w:rFonts w:ascii="Times New Roman" w:hAnsi="Times New Roman" w:cs="Times New Roman"/>
          <w:noProof/>
          <w:sz w:val="24"/>
          <w:szCs w:val="24"/>
          <w:lang w:val="en-US"/>
        </w:rPr>
      </w:pPr>
      <w:r w:rsidRPr="00171D0B">
        <w:rPr>
          <w:rFonts w:ascii="Times New Roman" w:hAnsi="Times New Roman" w:cs="Times New Roman"/>
          <w:noProof/>
          <w:sz w:val="24"/>
          <w:szCs w:val="24"/>
          <w:lang w:val="en-US"/>
        </w:rPr>
        <w:t xml:space="preserve">Albania and Croatia also had clear strategies for reducing arrears. Documenting </w:t>
      </w:r>
      <w:r w:rsidR="00D71F1B">
        <w:rPr>
          <w:rFonts w:ascii="Times New Roman" w:hAnsi="Times New Roman" w:cs="Times New Roman"/>
          <w:noProof/>
          <w:sz w:val="24"/>
          <w:szCs w:val="24"/>
          <w:lang w:val="en-US"/>
        </w:rPr>
        <w:t>successful practices from count</w:t>
      </w:r>
      <w:r w:rsidRPr="00171D0B">
        <w:rPr>
          <w:rFonts w:ascii="Times New Roman" w:hAnsi="Times New Roman" w:cs="Times New Roman"/>
          <w:noProof/>
          <w:sz w:val="24"/>
          <w:szCs w:val="24"/>
          <w:lang w:val="en-US"/>
        </w:rPr>
        <w:t>r</w:t>
      </w:r>
      <w:r w:rsidR="00D71F1B">
        <w:rPr>
          <w:rFonts w:ascii="Times New Roman" w:hAnsi="Times New Roman" w:cs="Times New Roman"/>
          <w:noProof/>
          <w:sz w:val="24"/>
          <w:szCs w:val="24"/>
          <w:lang w:val="en-US"/>
        </w:rPr>
        <w:t>i</w:t>
      </w:r>
      <w:r w:rsidRPr="00171D0B">
        <w:rPr>
          <w:rFonts w:ascii="Times New Roman" w:hAnsi="Times New Roman" w:cs="Times New Roman"/>
          <w:noProof/>
          <w:sz w:val="24"/>
          <w:szCs w:val="24"/>
          <w:lang w:val="en-US"/>
        </w:rPr>
        <w:t xml:space="preserve">es with experience in arrears reduction may have benefits both for </w:t>
      </w:r>
      <w:r w:rsidR="00D71F1B">
        <w:rPr>
          <w:rFonts w:ascii="Times New Roman" w:hAnsi="Times New Roman" w:cs="Times New Roman"/>
          <w:noProof/>
          <w:sz w:val="24"/>
          <w:szCs w:val="24"/>
          <w:lang w:val="en-US"/>
        </w:rPr>
        <w:t>TCOP countries, and</w:t>
      </w:r>
      <w:r w:rsidRPr="00171D0B">
        <w:rPr>
          <w:rFonts w:ascii="Times New Roman" w:hAnsi="Times New Roman" w:cs="Times New Roman"/>
          <w:noProof/>
          <w:sz w:val="24"/>
          <w:szCs w:val="24"/>
          <w:lang w:val="en-US"/>
        </w:rPr>
        <w:t xml:space="preserve"> in the br</w:t>
      </w:r>
      <w:r w:rsidR="00D71F1B">
        <w:rPr>
          <w:rFonts w:ascii="Times New Roman" w:hAnsi="Times New Roman" w:cs="Times New Roman"/>
          <w:noProof/>
          <w:sz w:val="24"/>
          <w:szCs w:val="24"/>
          <w:lang w:val="en-US"/>
        </w:rPr>
        <w:t xml:space="preserve">oader general government sector; </w:t>
      </w:r>
      <w:r w:rsidRPr="00171D0B">
        <w:rPr>
          <w:rFonts w:ascii="Times New Roman" w:hAnsi="Times New Roman" w:cs="Times New Roman"/>
          <w:noProof/>
          <w:sz w:val="24"/>
          <w:szCs w:val="24"/>
          <w:lang w:val="en-US"/>
        </w:rPr>
        <w:t xml:space="preserve">    </w:t>
      </w:r>
    </w:p>
    <w:p w14:paraId="03C9779C" w14:textId="0FD8E316" w:rsidR="0061534E" w:rsidRPr="00171D0B" w:rsidRDefault="003B3B78" w:rsidP="007658BA">
      <w:pPr>
        <w:pStyle w:val="ListParagraph"/>
        <w:numPr>
          <w:ilvl w:val="0"/>
          <w:numId w:val="32"/>
        </w:numPr>
        <w:spacing w:after="0" w:line="240" w:lineRule="auto"/>
        <w:rPr>
          <w:rFonts w:ascii="Times New Roman" w:hAnsi="Times New Roman" w:cs="Times New Roman"/>
          <w:sz w:val="24"/>
          <w:szCs w:val="24"/>
        </w:rPr>
      </w:pPr>
      <w:r w:rsidRPr="00171D0B">
        <w:rPr>
          <w:rFonts w:ascii="Times New Roman" w:hAnsi="Times New Roman" w:cs="Times New Roman"/>
          <w:sz w:val="24"/>
          <w:szCs w:val="24"/>
        </w:rPr>
        <w:t xml:space="preserve">Kazakhstan </w:t>
      </w:r>
      <w:r w:rsidR="00171D0B" w:rsidRPr="00171D0B">
        <w:rPr>
          <w:rFonts w:ascii="Times New Roman" w:hAnsi="Times New Roman" w:cs="Times New Roman"/>
          <w:sz w:val="24"/>
          <w:szCs w:val="24"/>
        </w:rPr>
        <w:t>appears to have the most comprehensive approach to reporting arrears of any country – this may also be a useful foc</w:t>
      </w:r>
      <w:r w:rsidR="00D71F1B">
        <w:rPr>
          <w:rFonts w:ascii="Times New Roman" w:hAnsi="Times New Roman" w:cs="Times New Roman"/>
          <w:sz w:val="24"/>
          <w:szCs w:val="24"/>
        </w:rPr>
        <w:t xml:space="preserve">al point for further discussion; </w:t>
      </w:r>
    </w:p>
    <w:p w14:paraId="5E18F150" w14:textId="05CED222" w:rsidR="003B3B78" w:rsidRPr="00171D0B" w:rsidRDefault="00171D0B" w:rsidP="007658BA">
      <w:pPr>
        <w:pStyle w:val="ListParagraph"/>
        <w:numPr>
          <w:ilvl w:val="0"/>
          <w:numId w:val="32"/>
        </w:numPr>
        <w:spacing w:after="0" w:line="240" w:lineRule="auto"/>
        <w:rPr>
          <w:rFonts w:ascii="Times New Roman" w:hAnsi="Times New Roman" w:cs="Times New Roman"/>
          <w:sz w:val="24"/>
          <w:szCs w:val="24"/>
          <w:lang w:val="en-AU"/>
        </w:rPr>
      </w:pPr>
      <w:r w:rsidRPr="00171D0B">
        <w:rPr>
          <w:rFonts w:ascii="Times New Roman" w:hAnsi="Times New Roman" w:cs="Times New Roman"/>
          <w:sz w:val="24"/>
          <w:szCs w:val="24"/>
          <w:lang w:val="en-US"/>
        </w:rPr>
        <w:t>The</w:t>
      </w:r>
      <w:r w:rsidR="003B3B78" w:rsidRPr="00171D0B">
        <w:rPr>
          <w:rFonts w:ascii="Times New Roman" w:hAnsi="Times New Roman" w:cs="Times New Roman"/>
          <w:sz w:val="24"/>
          <w:szCs w:val="24"/>
          <w:lang w:val="en-US"/>
        </w:rPr>
        <w:t xml:space="preserve"> degre</w:t>
      </w:r>
      <w:r w:rsidRPr="00171D0B">
        <w:rPr>
          <w:rFonts w:ascii="Times New Roman" w:hAnsi="Times New Roman" w:cs="Times New Roman"/>
          <w:sz w:val="24"/>
          <w:szCs w:val="24"/>
          <w:lang w:val="en-US"/>
        </w:rPr>
        <w:t xml:space="preserve">e of automation and integration of all of the seven stages </w:t>
      </w:r>
      <w:r w:rsidR="003B3B78" w:rsidRPr="00171D0B">
        <w:rPr>
          <w:rFonts w:ascii="Times New Roman" w:hAnsi="Times New Roman" w:cs="Times New Roman"/>
          <w:sz w:val="24"/>
          <w:szCs w:val="24"/>
          <w:lang w:val="en-US"/>
        </w:rPr>
        <w:t>into a</w:t>
      </w:r>
      <w:r w:rsidRPr="00171D0B">
        <w:rPr>
          <w:rFonts w:ascii="Times New Roman" w:hAnsi="Times New Roman" w:cs="Times New Roman"/>
          <w:sz w:val="24"/>
          <w:szCs w:val="24"/>
          <w:lang w:val="en-US"/>
        </w:rPr>
        <w:t>n</w:t>
      </w:r>
      <w:r w:rsidR="003B3B78" w:rsidRPr="00171D0B">
        <w:rPr>
          <w:rFonts w:ascii="Times New Roman" w:hAnsi="Times New Roman" w:cs="Times New Roman"/>
          <w:sz w:val="24"/>
          <w:szCs w:val="24"/>
          <w:lang w:val="en-US"/>
        </w:rPr>
        <w:t xml:space="preserve"> FMIS </w:t>
      </w:r>
      <w:r w:rsidRPr="00171D0B">
        <w:rPr>
          <w:rFonts w:ascii="Times New Roman" w:hAnsi="Times New Roman" w:cs="Times New Roman"/>
          <w:sz w:val="24"/>
          <w:szCs w:val="24"/>
          <w:lang w:val="en-US"/>
        </w:rPr>
        <w:t>may be a useful area of focus. Does the lack integration and automation impact whether a country conforms to the proposed “good practice” model or not?</w:t>
      </w:r>
      <w:r w:rsidR="003B3B78" w:rsidRPr="00171D0B">
        <w:rPr>
          <w:rFonts w:ascii="Times New Roman" w:hAnsi="Times New Roman" w:cs="Times New Roman"/>
          <w:sz w:val="24"/>
          <w:szCs w:val="24"/>
          <w:lang w:val="en-US"/>
        </w:rPr>
        <w:t xml:space="preserve"> </w:t>
      </w:r>
    </w:p>
    <w:p w14:paraId="7DEE6F83" w14:textId="1CBAD2A6" w:rsidR="003B3B78" w:rsidRPr="00171D0B" w:rsidRDefault="003B3B78" w:rsidP="007658BA">
      <w:pPr>
        <w:pStyle w:val="ListParagraph"/>
        <w:numPr>
          <w:ilvl w:val="0"/>
          <w:numId w:val="32"/>
        </w:numPr>
        <w:spacing w:after="0" w:line="240" w:lineRule="auto"/>
        <w:rPr>
          <w:rFonts w:ascii="Times New Roman" w:hAnsi="Times New Roman" w:cs="Times New Roman"/>
          <w:sz w:val="24"/>
          <w:szCs w:val="24"/>
          <w:lang w:val="en-AU"/>
        </w:rPr>
      </w:pPr>
      <w:r w:rsidRPr="00171D0B">
        <w:rPr>
          <w:rFonts w:ascii="Times New Roman" w:hAnsi="Times New Roman" w:cs="Times New Roman"/>
          <w:sz w:val="24"/>
          <w:szCs w:val="24"/>
          <w:lang w:val="en-US"/>
        </w:rPr>
        <w:t xml:space="preserve">Has the move to adopting accrual basis IPSAS </w:t>
      </w:r>
      <w:r w:rsidR="00171D0B" w:rsidRPr="00171D0B">
        <w:rPr>
          <w:rFonts w:ascii="Times New Roman" w:hAnsi="Times New Roman" w:cs="Times New Roman"/>
          <w:sz w:val="24"/>
          <w:szCs w:val="24"/>
          <w:lang w:val="en-US"/>
        </w:rPr>
        <w:t>in TCOP countries had a positively impact on conforming to the “good practice” model</w:t>
      </w:r>
      <w:r w:rsidRPr="00171D0B">
        <w:rPr>
          <w:rFonts w:ascii="Times New Roman" w:hAnsi="Times New Roman" w:cs="Times New Roman"/>
          <w:sz w:val="24"/>
          <w:szCs w:val="24"/>
          <w:lang w:val="en-US"/>
        </w:rPr>
        <w:t>?</w:t>
      </w:r>
    </w:p>
    <w:p w14:paraId="0869D145" w14:textId="77777777" w:rsidR="00370EA8" w:rsidRPr="00171D0B" w:rsidRDefault="00370EA8">
      <w:pPr>
        <w:spacing w:after="0" w:line="240" w:lineRule="auto"/>
        <w:rPr>
          <w:rFonts w:ascii="Times New Roman" w:hAnsi="Times New Roman" w:cs="Times New Roman"/>
          <w:sz w:val="24"/>
          <w:szCs w:val="24"/>
        </w:rPr>
      </w:pPr>
    </w:p>
    <w:p w14:paraId="7B684913" w14:textId="0BD39137" w:rsidR="00C20587" w:rsidRPr="009326D3" w:rsidRDefault="00C20587">
      <w:pPr>
        <w:spacing w:after="0" w:line="240" w:lineRule="auto"/>
        <w:rPr>
          <w:rFonts w:ascii="Times New Roman" w:hAnsi="Times New Roman" w:cs="Times New Roman"/>
          <w:b/>
        </w:rPr>
      </w:pPr>
      <w:r w:rsidRPr="009326D3">
        <w:rPr>
          <w:rFonts w:ascii="Times New Roman" w:hAnsi="Times New Roman" w:cs="Times New Roman"/>
          <w:b/>
        </w:rPr>
        <w:br w:type="page"/>
      </w:r>
    </w:p>
    <w:p w14:paraId="6AC848D3" w14:textId="77777777" w:rsidR="008E727F" w:rsidRDefault="00C20587" w:rsidP="00C20587">
      <w:pPr>
        <w:jc w:val="center"/>
        <w:rPr>
          <w:b/>
          <w:color w:val="4F81BD" w:themeColor="accent1"/>
          <w:sz w:val="28"/>
          <w:szCs w:val="28"/>
        </w:rPr>
      </w:pPr>
      <w:r w:rsidRPr="00C20587">
        <w:rPr>
          <w:b/>
          <w:color w:val="4F81BD" w:themeColor="accent1"/>
          <w:sz w:val="28"/>
          <w:szCs w:val="28"/>
        </w:rPr>
        <w:lastRenderedPageBreak/>
        <w:t xml:space="preserve">Appendix </w:t>
      </w:r>
      <w:proofErr w:type="gramStart"/>
      <w:r w:rsidRPr="00C20587">
        <w:rPr>
          <w:b/>
          <w:color w:val="4F81BD" w:themeColor="accent1"/>
          <w:sz w:val="28"/>
          <w:szCs w:val="28"/>
        </w:rPr>
        <w:t>A</w:t>
      </w:r>
      <w:proofErr w:type="gramEnd"/>
      <w:r w:rsidRPr="00C20587">
        <w:rPr>
          <w:b/>
          <w:color w:val="4F81BD" w:themeColor="accent1"/>
          <w:sz w:val="28"/>
          <w:szCs w:val="28"/>
        </w:rPr>
        <w:t xml:space="preserve"> – Questionnaire</w:t>
      </w:r>
    </w:p>
    <w:p w14:paraId="209EA849" w14:textId="77777777" w:rsidR="00C20587" w:rsidRDefault="00C20587" w:rsidP="00C20587">
      <w:pPr>
        <w:jc w:val="center"/>
        <w:rPr>
          <w:b/>
          <w:color w:val="4F81BD" w:themeColor="accent1"/>
          <w:sz w:val="28"/>
          <w:szCs w:val="28"/>
        </w:rPr>
      </w:pPr>
    </w:p>
    <w:p w14:paraId="01AAC613" w14:textId="77777777" w:rsidR="00C20587" w:rsidRDefault="00C20587" w:rsidP="00C20587">
      <w:pPr>
        <w:rPr>
          <w:b/>
          <w:noProof/>
          <w:lang w:val="en-US"/>
        </w:rPr>
      </w:pPr>
      <w:r>
        <w:rPr>
          <w:b/>
          <w:noProof/>
          <w:lang w:val="en-US"/>
        </w:rPr>
        <w:t>Stage 1 - Pre-commitment</w:t>
      </w:r>
    </w:p>
    <w:p w14:paraId="0F7D7A4E" w14:textId="77777777" w:rsidR="00C20587" w:rsidRPr="00D13983" w:rsidRDefault="00C20587" w:rsidP="00C20587">
      <w:pPr>
        <w:pStyle w:val="ListParagraph"/>
        <w:numPr>
          <w:ilvl w:val="0"/>
          <w:numId w:val="2"/>
        </w:numPr>
        <w:spacing w:after="0" w:line="240" w:lineRule="auto"/>
        <w:rPr>
          <w:noProof/>
          <w:lang w:val="en-US"/>
        </w:rPr>
      </w:pPr>
      <w:r w:rsidRPr="00D13983">
        <w:rPr>
          <w:noProof/>
          <w:lang w:val="en-US"/>
        </w:rPr>
        <w:t>Does your country have a pre-commitment stage in the budget execution process? Y/N</w:t>
      </w:r>
    </w:p>
    <w:p w14:paraId="5BC9CD0A" w14:textId="77777777" w:rsidR="00C20587" w:rsidRDefault="00C20587" w:rsidP="00C20587">
      <w:pPr>
        <w:rPr>
          <w:noProof/>
          <w:lang w:val="en-US"/>
        </w:rPr>
      </w:pPr>
    </w:p>
    <w:p w14:paraId="67CBED25" w14:textId="77777777" w:rsidR="00C20587" w:rsidRPr="000A342A" w:rsidRDefault="00C20587" w:rsidP="00C20587">
      <w:pPr>
        <w:rPr>
          <w:i/>
          <w:noProof/>
          <w:lang w:val="en-US"/>
        </w:rPr>
      </w:pPr>
      <w:r w:rsidRPr="00D13983">
        <w:rPr>
          <w:i/>
          <w:noProof/>
          <w:lang w:val="en-US"/>
        </w:rPr>
        <w:t xml:space="preserve">If yes </w:t>
      </w:r>
      <w:r>
        <w:rPr>
          <w:i/>
          <w:noProof/>
          <w:lang w:val="en-US"/>
        </w:rPr>
        <w:t xml:space="preserve">please </w:t>
      </w:r>
      <w:r w:rsidRPr="00D13983">
        <w:rPr>
          <w:i/>
          <w:noProof/>
          <w:lang w:val="en-US"/>
        </w:rPr>
        <w:t xml:space="preserve">answer question 2 </w:t>
      </w:r>
      <w:r>
        <w:rPr>
          <w:i/>
          <w:noProof/>
          <w:lang w:val="en-US"/>
        </w:rPr>
        <w:t>to</w:t>
      </w:r>
      <w:r w:rsidRPr="00D13983">
        <w:rPr>
          <w:i/>
          <w:noProof/>
          <w:lang w:val="en-US"/>
        </w:rPr>
        <w:t xml:space="preserve"> </w:t>
      </w:r>
      <w:r>
        <w:rPr>
          <w:i/>
          <w:noProof/>
          <w:lang w:val="en-US"/>
        </w:rPr>
        <w:t>4</w:t>
      </w:r>
      <w:r w:rsidRPr="00D13983">
        <w:rPr>
          <w:i/>
          <w:noProof/>
          <w:lang w:val="en-US"/>
        </w:rPr>
        <w:t xml:space="preserve">, if  no proceed to </w:t>
      </w:r>
      <w:r>
        <w:rPr>
          <w:i/>
          <w:noProof/>
          <w:lang w:val="en-US"/>
        </w:rPr>
        <w:t>question 5.</w:t>
      </w:r>
    </w:p>
    <w:p w14:paraId="15558F97" w14:textId="77777777" w:rsidR="00C20587" w:rsidRDefault="00C20587" w:rsidP="00C20587">
      <w:pPr>
        <w:pStyle w:val="ListParagraph"/>
        <w:numPr>
          <w:ilvl w:val="0"/>
          <w:numId w:val="2"/>
        </w:numPr>
        <w:spacing w:after="0" w:line="240" w:lineRule="auto"/>
        <w:rPr>
          <w:noProof/>
          <w:lang w:val="en-US"/>
        </w:rPr>
      </w:pPr>
      <w:r>
        <w:rPr>
          <w:noProof/>
          <w:lang w:val="en-US"/>
        </w:rPr>
        <w:t xml:space="preserve">Where is the pre-commitment stage defined in your Public Financial Management Process? </w:t>
      </w:r>
    </w:p>
    <w:p w14:paraId="0E7263F5" w14:textId="77777777" w:rsidR="00C20587" w:rsidRPr="00D13983" w:rsidRDefault="00C20587" w:rsidP="00C20587">
      <w:pPr>
        <w:pStyle w:val="ListParagraph"/>
        <w:numPr>
          <w:ilvl w:val="1"/>
          <w:numId w:val="2"/>
        </w:numPr>
        <w:spacing w:after="0" w:line="240" w:lineRule="auto"/>
        <w:rPr>
          <w:noProof/>
          <w:lang w:val="en-US"/>
        </w:rPr>
      </w:pPr>
      <w:r>
        <w:rPr>
          <w:noProof/>
          <w:lang w:val="en-US"/>
        </w:rPr>
        <w:t xml:space="preserve">General Financial Law/Budget Law </w:t>
      </w:r>
    </w:p>
    <w:p w14:paraId="55716826" w14:textId="77777777" w:rsidR="00C20587" w:rsidRDefault="00C20587" w:rsidP="00C20587">
      <w:pPr>
        <w:pStyle w:val="ListParagraph"/>
        <w:numPr>
          <w:ilvl w:val="1"/>
          <w:numId w:val="2"/>
        </w:numPr>
        <w:spacing w:after="0" w:line="240" w:lineRule="auto"/>
        <w:rPr>
          <w:noProof/>
          <w:lang w:val="en-US"/>
        </w:rPr>
      </w:pPr>
      <w:r>
        <w:rPr>
          <w:noProof/>
          <w:lang w:val="en-US"/>
        </w:rPr>
        <w:t>Procurement Law</w:t>
      </w:r>
    </w:p>
    <w:p w14:paraId="7AB551D8" w14:textId="77777777" w:rsidR="00C20587" w:rsidRPr="00D13983" w:rsidRDefault="00C20587" w:rsidP="00C20587">
      <w:pPr>
        <w:pStyle w:val="ListParagraph"/>
        <w:numPr>
          <w:ilvl w:val="1"/>
          <w:numId w:val="2"/>
        </w:numPr>
        <w:spacing w:after="0" w:line="240" w:lineRule="auto"/>
        <w:rPr>
          <w:noProof/>
          <w:lang w:val="en-US"/>
        </w:rPr>
      </w:pPr>
      <w:r w:rsidRPr="00D13983">
        <w:rPr>
          <w:noProof/>
          <w:lang w:val="en-US"/>
        </w:rPr>
        <w:t xml:space="preserve">Other – please </w:t>
      </w:r>
      <w:r>
        <w:rPr>
          <w:noProof/>
          <w:lang w:val="en-US"/>
        </w:rPr>
        <w:t>specify</w:t>
      </w:r>
    </w:p>
    <w:p w14:paraId="1911B5B8" w14:textId="77777777" w:rsidR="00C20587" w:rsidRPr="00D13983" w:rsidRDefault="00C20587" w:rsidP="00C20587">
      <w:pPr>
        <w:rPr>
          <w:noProof/>
          <w:lang w:val="en-US"/>
        </w:rPr>
      </w:pPr>
    </w:p>
    <w:p w14:paraId="57751D33" w14:textId="77777777" w:rsidR="00C20587" w:rsidRDefault="00C20587" w:rsidP="00C20587">
      <w:pPr>
        <w:pStyle w:val="ListParagraph"/>
        <w:numPr>
          <w:ilvl w:val="0"/>
          <w:numId w:val="2"/>
        </w:numPr>
        <w:spacing w:after="0" w:line="240" w:lineRule="auto"/>
        <w:rPr>
          <w:noProof/>
          <w:lang w:val="en-US"/>
        </w:rPr>
      </w:pPr>
      <w:r>
        <w:rPr>
          <w:noProof/>
          <w:lang w:val="en-US"/>
        </w:rPr>
        <w:t xml:space="preserve">Where are MDAs required to register pre-commitments? </w:t>
      </w:r>
    </w:p>
    <w:p w14:paraId="42EE00B3" w14:textId="77777777" w:rsidR="00C20587" w:rsidRDefault="00C20587" w:rsidP="00C20587">
      <w:pPr>
        <w:pStyle w:val="ListParagraph"/>
        <w:numPr>
          <w:ilvl w:val="1"/>
          <w:numId w:val="2"/>
        </w:numPr>
        <w:spacing w:after="0" w:line="240" w:lineRule="auto"/>
        <w:rPr>
          <w:noProof/>
          <w:lang w:val="en-US"/>
        </w:rPr>
      </w:pPr>
      <w:r>
        <w:rPr>
          <w:noProof/>
          <w:lang w:val="en-US"/>
        </w:rPr>
        <w:t>Central FMIS</w:t>
      </w:r>
    </w:p>
    <w:p w14:paraId="3F9D9E55" w14:textId="77777777" w:rsidR="00C20587" w:rsidRDefault="00C20587" w:rsidP="00C20587">
      <w:pPr>
        <w:pStyle w:val="ListParagraph"/>
        <w:numPr>
          <w:ilvl w:val="1"/>
          <w:numId w:val="2"/>
        </w:numPr>
        <w:spacing w:after="0" w:line="240" w:lineRule="auto"/>
        <w:rPr>
          <w:noProof/>
          <w:lang w:val="en-US"/>
        </w:rPr>
      </w:pPr>
      <w:r>
        <w:rPr>
          <w:noProof/>
          <w:lang w:val="en-US"/>
        </w:rPr>
        <w:t>Procurement system/portal</w:t>
      </w:r>
    </w:p>
    <w:p w14:paraId="1CCFEB69" w14:textId="77777777" w:rsidR="00C20587" w:rsidRDefault="00C20587" w:rsidP="00C20587">
      <w:pPr>
        <w:pStyle w:val="ListParagraph"/>
        <w:numPr>
          <w:ilvl w:val="1"/>
          <w:numId w:val="2"/>
        </w:numPr>
        <w:spacing w:after="0" w:line="240" w:lineRule="auto"/>
        <w:rPr>
          <w:noProof/>
          <w:lang w:val="en-US"/>
        </w:rPr>
      </w:pPr>
      <w:r>
        <w:rPr>
          <w:noProof/>
          <w:lang w:val="en-US"/>
        </w:rPr>
        <w:t>In their own FMIS</w:t>
      </w:r>
    </w:p>
    <w:p w14:paraId="6F86EE63" w14:textId="77777777" w:rsidR="00C20587" w:rsidRDefault="00C20587" w:rsidP="00C20587">
      <w:pPr>
        <w:pStyle w:val="ListParagraph"/>
        <w:numPr>
          <w:ilvl w:val="1"/>
          <w:numId w:val="2"/>
        </w:numPr>
        <w:spacing w:after="0" w:line="240" w:lineRule="auto"/>
        <w:rPr>
          <w:noProof/>
          <w:lang w:val="en-US"/>
        </w:rPr>
      </w:pPr>
      <w:r>
        <w:rPr>
          <w:noProof/>
          <w:lang w:val="en-US"/>
        </w:rPr>
        <w:t>In a register within the MDA</w:t>
      </w:r>
    </w:p>
    <w:p w14:paraId="2674449A" w14:textId="77777777" w:rsidR="00C20587" w:rsidRPr="00D13983" w:rsidRDefault="00C20587" w:rsidP="00C20587">
      <w:pPr>
        <w:pStyle w:val="ListParagraph"/>
        <w:numPr>
          <w:ilvl w:val="1"/>
          <w:numId w:val="2"/>
        </w:numPr>
        <w:spacing w:after="0" w:line="240" w:lineRule="auto"/>
        <w:rPr>
          <w:noProof/>
          <w:lang w:val="en-US"/>
        </w:rPr>
      </w:pPr>
      <w:r>
        <w:rPr>
          <w:noProof/>
          <w:lang w:val="en-US"/>
        </w:rPr>
        <w:t>Other, please specify</w:t>
      </w:r>
    </w:p>
    <w:p w14:paraId="55788C81" w14:textId="77777777" w:rsidR="00C20587" w:rsidRDefault="00C20587" w:rsidP="00C20587">
      <w:pPr>
        <w:rPr>
          <w:b/>
          <w:noProof/>
          <w:lang w:val="en-US"/>
        </w:rPr>
      </w:pPr>
    </w:p>
    <w:p w14:paraId="0CB3126C" w14:textId="77777777" w:rsidR="00C20587" w:rsidRPr="00C20587" w:rsidRDefault="00C20587" w:rsidP="00C20587">
      <w:pPr>
        <w:rPr>
          <w:noProof/>
          <w:lang w:val="en-US"/>
        </w:rPr>
      </w:pPr>
      <w:r w:rsidRPr="004E0729">
        <w:rPr>
          <w:noProof/>
          <w:lang w:val="en-US"/>
        </w:rPr>
        <w:t xml:space="preserve">4. </w:t>
      </w:r>
      <w:r>
        <w:rPr>
          <w:noProof/>
          <w:lang w:val="en-US"/>
        </w:rPr>
        <w:t xml:space="preserve"> </w:t>
      </w:r>
      <w:r w:rsidRPr="004E0729">
        <w:rPr>
          <w:noProof/>
          <w:lang w:val="en-US"/>
        </w:rPr>
        <w:t>Briefly summarise what the pre-commitment stage requires in your country</w:t>
      </w:r>
    </w:p>
    <w:p w14:paraId="4CD67FBE" w14:textId="77777777" w:rsidR="00C20587" w:rsidRDefault="00C20587" w:rsidP="00C20587">
      <w:pPr>
        <w:rPr>
          <w:b/>
          <w:noProof/>
          <w:lang w:val="en-US"/>
        </w:rPr>
      </w:pPr>
      <w:r>
        <w:rPr>
          <w:b/>
          <w:noProof/>
          <w:lang w:val="en-US"/>
        </w:rPr>
        <w:t>Stage 2 - Commitments</w:t>
      </w:r>
    </w:p>
    <w:p w14:paraId="5BEF72F0" w14:textId="77777777" w:rsidR="00C20587" w:rsidRPr="00D13983" w:rsidRDefault="00C20587" w:rsidP="00C20587">
      <w:pPr>
        <w:pStyle w:val="ListParagraph"/>
        <w:numPr>
          <w:ilvl w:val="0"/>
          <w:numId w:val="5"/>
        </w:numPr>
        <w:spacing w:after="0" w:line="240" w:lineRule="auto"/>
        <w:rPr>
          <w:noProof/>
          <w:lang w:val="en-US"/>
        </w:rPr>
      </w:pPr>
      <w:r w:rsidRPr="00D13983">
        <w:rPr>
          <w:noProof/>
          <w:lang w:val="en-US"/>
        </w:rPr>
        <w:t>Does your country have a commitment stage in the budget execution process? Y/N</w:t>
      </w:r>
    </w:p>
    <w:p w14:paraId="0C195601" w14:textId="77777777" w:rsidR="00C20587" w:rsidRDefault="00C20587" w:rsidP="00C20587">
      <w:pPr>
        <w:rPr>
          <w:noProof/>
          <w:lang w:val="en-US"/>
        </w:rPr>
      </w:pPr>
    </w:p>
    <w:p w14:paraId="43051EA8" w14:textId="77777777" w:rsidR="00C20587" w:rsidRPr="00C20587" w:rsidRDefault="00C20587" w:rsidP="00C20587">
      <w:pPr>
        <w:rPr>
          <w:i/>
          <w:noProof/>
          <w:lang w:val="en-US"/>
        </w:rPr>
      </w:pPr>
      <w:r w:rsidRPr="00D13983">
        <w:rPr>
          <w:i/>
          <w:noProof/>
          <w:lang w:val="en-US"/>
        </w:rPr>
        <w:t xml:space="preserve">If yes </w:t>
      </w:r>
      <w:r>
        <w:rPr>
          <w:i/>
          <w:noProof/>
          <w:lang w:val="en-US"/>
        </w:rPr>
        <w:t xml:space="preserve">please </w:t>
      </w:r>
      <w:r w:rsidRPr="00D13983">
        <w:rPr>
          <w:i/>
          <w:noProof/>
          <w:lang w:val="en-US"/>
        </w:rPr>
        <w:t xml:space="preserve">answer question </w:t>
      </w:r>
      <w:r>
        <w:rPr>
          <w:i/>
          <w:noProof/>
          <w:lang w:val="en-US"/>
        </w:rPr>
        <w:t>6 to 13</w:t>
      </w:r>
      <w:r w:rsidRPr="00D13983">
        <w:rPr>
          <w:i/>
          <w:noProof/>
          <w:lang w:val="en-US"/>
        </w:rPr>
        <w:t xml:space="preserve"> , if  no proceed to </w:t>
      </w:r>
      <w:r>
        <w:rPr>
          <w:i/>
          <w:noProof/>
          <w:lang w:val="en-US"/>
        </w:rPr>
        <w:t>question 14</w:t>
      </w:r>
    </w:p>
    <w:p w14:paraId="3675F902" w14:textId="77777777" w:rsidR="00C20587" w:rsidRDefault="00C20587" w:rsidP="00C20587">
      <w:pPr>
        <w:pStyle w:val="ListParagraph"/>
        <w:numPr>
          <w:ilvl w:val="0"/>
          <w:numId w:val="5"/>
        </w:numPr>
        <w:spacing w:after="0" w:line="240" w:lineRule="auto"/>
        <w:rPr>
          <w:noProof/>
          <w:lang w:val="en-US"/>
        </w:rPr>
      </w:pPr>
      <w:r w:rsidRPr="000A342A">
        <w:rPr>
          <w:noProof/>
          <w:lang w:val="en-US"/>
        </w:rPr>
        <w:t xml:space="preserve">Where is the commitment stage defined in your Public Financial Management Process? </w:t>
      </w:r>
    </w:p>
    <w:p w14:paraId="66DEA3BB" w14:textId="77777777" w:rsidR="00C20587" w:rsidRPr="00D13983" w:rsidRDefault="00C20587" w:rsidP="00C20587">
      <w:pPr>
        <w:pStyle w:val="ListParagraph"/>
        <w:numPr>
          <w:ilvl w:val="1"/>
          <w:numId w:val="5"/>
        </w:numPr>
        <w:spacing w:after="0" w:line="240" w:lineRule="auto"/>
        <w:rPr>
          <w:noProof/>
          <w:lang w:val="en-US"/>
        </w:rPr>
      </w:pPr>
      <w:r>
        <w:rPr>
          <w:noProof/>
          <w:lang w:val="en-US"/>
        </w:rPr>
        <w:t xml:space="preserve">General Financial Law/Budget Law </w:t>
      </w:r>
    </w:p>
    <w:p w14:paraId="063C2D41" w14:textId="77777777" w:rsidR="00C20587" w:rsidRDefault="00C20587" w:rsidP="00C20587">
      <w:pPr>
        <w:pStyle w:val="ListParagraph"/>
        <w:numPr>
          <w:ilvl w:val="1"/>
          <w:numId w:val="5"/>
        </w:numPr>
        <w:spacing w:after="0" w:line="240" w:lineRule="auto"/>
        <w:rPr>
          <w:noProof/>
          <w:lang w:val="en-US"/>
        </w:rPr>
      </w:pPr>
      <w:r>
        <w:rPr>
          <w:noProof/>
          <w:lang w:val="en-US"/>
        </w:rPr>
        <w:t>Procurement Law</w:t>
      </w:r>
    </w:p>
    <w:p w14:paraId="4DA0D4CE" w14:textId="77777777" w:rsidR="00C20587" w:rsidRPr="000A342A" w:rsidRDefault="00C20587" w:rsidP="00C20587">
      <w:pPr>
        <w:pStyle w:val="ListParagraph"/>
        <w:numPr>
          <w:ilvl w:val="1"/>
          <w:numId w:val="5"/>
        </w:numPr>
        <w:spacing w:after="0" w:line="240" w:lineRule="auto"/>
        <w:rPr>
          <w:noProof/>
          <w:lang w:val="en-US"/>
        </w:rPr>
      </w:pPr>
      <w:r w:rsidRPr="00D13983">
        <w:rPr>
          <w:noProof/>
          <w:lang w:val="en-US"/>
        </w:rPr>
        <w:t>Other – please</w:t>
      </w:r>
    </w:p>
    <w:p w14:paraId="2E10B389" w14:textId="77777777" w:rsidR="00C20587" w:rsidRPr="000A342A" w:rsidRDefault="00C20587" w:rsidP="00C20587">
      <w:pPr>
        <w:pStyle w:val="ListParagraph"/>
        <w:ind w:left="360"/>
        <w:rPr>
          <w:noProof/>
          <w:lang w:val="en-US"/>
        </w:rPr>
      </w:pPr>
      <w:r w:rsidRPr="00D13983">
        <w:rPr>
          <w:noProof/>
          <w:lang w:val="en-US"/>
        </w:rPr>
        <w:t xml:space="preserve"> </w:t>
      </w:r>
    </w:p>
    <w:p w14:paraId="51C45A4C" w14:textId="77777777" w:rsidR="00C20587" w:rsidRDefault="00C20587" w:rsidP="00C20587">
      <w:pPr>
        <w:pStyle w:val="ListParagraph"/>
        <w:numPr>
          <w:ilvl w:val="0"/>
          <w:numId w:val="4"/>
        </w:numPr>
        <w:spacing w:after="0" w:line="240" w:lineRule="auto"/>
        <w:rPr>
          <w:noProof/>
          <w:lang w:val="en-US"/>
        </w:rPr>
      </w:pPr>
      <w:r>
        <w:rPr>
          <w:noProof/>
          <w:lang w:val="en-US"/>
        </w:rPr>
        <w:t>Does this definition closely align with the defintion reflected in stage 2 above? Y/N</w:t>
      </w:r>
    </w:p>
    <w:p w14:paraId="74C8F30B" w14:textId="77777777" w:rsidR="00C20587" w:rsidRPr="000A342A" w:rsidRDefault="00C20587" w:rsidP="00C20587">
      <w:pPr>
        <w:rPr>
          <w:noProof/>
          <w:lang w:val="en-US"/>
        </w:rPr>
      </w:pPr>
    </w:p>
    <w:p w14:paraId="5C20DA3D" w14:textId="77777777" w:rsidR="00C20587" w:rsidRPr="00D13983" w:rsidRDefault="00C20587" w:rsidP="00C20587">
      <w:pPr>
        <w:pStyle w:val="ListParagraph"/>
        <w:numPr>
          <w:ilvl w:val="0"/>
          <w:numId w:val="4"/>
        </w:numPr>
        <w:spacing w:after="0" w:line="240" w:lineRule="auto"/>
        <w:rPr>
          <w:noProof/>
          <w:lang w:val="en-US"/>
        </w:rPr>
      </w:pPr>
      <w:r>
        <w:rPr>
          <w:noProof/>
          <w:lang w:val="en-US"/>
        </w:rPr>
        <w:t xml:space="preserve">If no, what are the key differences in your country’s definition?  </w:t>
      </w:r>
    </w:p>
    <w:p w14:paraId="73615011" w14:textId="77777777" w:rsidR="00C20587" w:rsidRPr="00D13983" w:rsidRDefault="00C20587" w:rsidP="00C20587">
      <w:pPr>
        <w:rPr>
          <w:noProof/>
          <w:lang w:val="en-US"/>
        </w:rPr>
      </w:pPr>
    </w:p>
    <w:p w14:paraId="77498A51" w14:textId="77777777" w:rsidR="00C20587" w:rsidRPr="000A342A" w:rsidRDefault="00C20587" w:rsidP="00C20587">
      <w:pPr>
        <w:rPr>
          <w:noProof/>
          <w:lang w:val="en-US"/>
        </w:rPr>
      </w:pPr>
    </w:p>
    <w:p w14:paraId="5B4C463A" w14:textId="77777777" w:rsidR="00C20587" w:rsidRDefault="00C20587" w:rsidP="00C20587">
      <w:pPr>
        <w:pStyle w:val="ListParagraph"/>
        <w:numPr>
          <w:ilvl w:val="0"/>
          <w:numId w:val="4"/>
        </w:numPr>
        <w:spacing w:after="0" w:line="240" w:lineRule="auto"/>
        <w:rPr>
          <w:noProof/>
          <w:lang w:val="en-US"/>
        </w:rPr>
      </w:pPr>
      <w:r>
        <w:rPr>
          <w:noProof/>
          <w:lang w:val="en-US"/>
        </w:rPr>
        <w:t xml:space="preserve">Where are MDAs required to register commitments? </w:t>
      </w:r>
    </w:p>
    <w:p w14:paraId="182F0234" w14:textId="77777777" w:rsidR="00C20587" w:rsidRPr="00BE36D0" w:rsidRDefault="00C20587" w:rsidP="00C20587">
      <w:pPr>
        <w:pStyle w:val="ListParagraph"/>
        <w:numPr>
          <w:ilvl w:val="1"/>
          <w:numId w:val="7"/>
        </w:numPr>
        <w:spacing w:after="0" w:line="240" w:lineRule="auto"/>
        <w:rPr>
          <w:noProof/>
          <w:lang w:val="en-US"/>
        </w:rPr>
      </w:pPr>
      <w:r w:rsidRPr="00BE36D0">
        <w:rPr>
          <w:noProof/>
          <w:lang w:val="en-US"/>
        </w:rPr>
        <w:t xml:space="preserve">Central </w:t>
      </w:r>
      <w:r>
        <w:rPr>
          <w:noProof/>
          <w:lang w:val="en-US"/>
        </w:rPr>
        <w:t>FMIS</w:t>
      </w:r>
    </w:p>
    <w:p w14:paraId="5E744447" w14:textId="77777777" w:rsidR="00C20587" w:rsidRPr="00BE36D0" w:rsidRDefault="00C20587" w:rsidP="00C20587">
      <w:pPr>
        <w:pStyle w:val="ListParagraph"/>
        <w:numPr>
          <w:ilvl w:val="1"/>
          <w:numId w:val="7"/>
        </w:numPr>
        <w:spacing w:after="0" w:line="240" w:lineRule="auto"/>
        <w:rPr>
          <w:noProof/>
          <w:lang w:val="en-US"/>
        </w:rPr>
      </w:pPr>
      <w:r w:rsidRPr="00BE36D0">
        <w:rPr>
          <w:noProof/>
          <w:lang w:val="en-US"/>
        </w:rPr>
        <w:t>Procurement system/portal</w:t>
      </w:r>
    </w:p>
    <w:p w14:paraId="2D6C4B42" w14:textId="77777777" w:rsidR="00C20587" w:rsidRPr="00BE36D0" w:rsidRDefault="00C20587" w:rsidP="00C20587">
      <w:pPr>
        <w:pStyle w:val="ListParagraph"/>
        <w:numPr>
          <w:ilvl w:val="1"/>
          <w:numId w:val="7"/>
        </w:numPr>
        <w:spacing w:after="0" w:line="240" w:lineRule="auto"/>
        <w:rPr>
          <w:noProof/>
          <w:lang w:val="en-US"/>
        </w:rPr>
      </w:pPr>
      <w:r w:rsidRPr="00BE36D0">
        <w:rPr>
          <w:noProof/>
          <w:lang w:val="en-US"/>
        </w:rPr>
        <w:t xml:space="preserve">In </w:t>
      </w:r>
      <w:r>
        <w:rPr>
          <w:noProof/>
          <w:lang w:val="en-US"/>
        </w:rPr>
        <w:t>MDAs</w:t>
      </w:r>
      <w:r w:rsidRPr="00BE36D0">
        <w:rPr>
          <w:noProof/>
          <w:lang w:val="en-US"/>
        </w:rPr>
        <w:t xml:space="preserve"> own accounting system</w:t>
      </w:r>
    </w:p>
    <w:p w14:paraId="2E8FF94C" w14:textId="77777777" w:rsidR="00C20587" w:rsidRPr="00BE36D0" w:rsidRDefault="00C20587" w:rsidP="00C20587">
      <w:pPr>
        <w:pStyle w:val="ListParagraph"/>
        <w:numPr>
          <w:ilvl w:val="1"/>
          <w:numId w:val="7"/>
        </w:numPr>
        <w:spacing w:after="0" w:line="240" w:lineRule="auto"/>
        <w:rPr>
          <w:noProof/>
          <w:lang w:val="en-US"/>
        </w:rPr>
      </w:pPr>
      <w:r w:rsidRPr="00BE36D0">
        <w:rPr>
          <w:noProof/>
          <w:lang w:val="en-US"/>
        </w:rPr>
        <w:t>In a register within the MDA</w:t>
      </w:r>
    </w:p>
    <w:p w14:paraId="645B95AD" w14:textId="77777777" w:rsidR="00C20587" w:rsidRPr="00BE36D0" w:rsidRDefault="00C20587" w:rsidP="00C20587">
      <w:pPr>
        <w:pStyle w:val="ListParagraph"/>
        <w:numPr>
          <w:ilvl w:val="1"/>
          <w:numId w:val="7"/>
        </w:numPr>
        <w:spacing w:after="0" w:line="240" w:lineRule="auto"/>
        <w:rPr>
          <w:noProof/>
          <w:lang w:val="en-US"/>
        </w:rPr>
      </w:pPr>
      <w:r w:rsidRPr="00BE36D0">
        <w:rPr>
          <w:noProof/>
          <w:lang w:val="en-US"/>
        </w:rPr>
        <w:t>Other please specify</w:t>
      </w:r>
    </w:p>
    <w:p w14:paraId="2889E91D" w14:textId="77777777" w:rsidR="00C20587" w:rsidRDefault="00C20587" w:rsidP="00C20587">
      <w:pPr>
        <w:rPr>
          <w:b/>
          <w:noProof/>
          <w:lang w:val="en-US"/>
        </w:rPr>
      </w:pPr>
    </w:p>
    <w:p w14:paraId="4DC0BA27" w14:textId="77777777" w:rsidR="00C20587" w:rsidRDefault="00C20587" w:rsidP="00C20587">
      <w:pPr>
        <w:pStyle w:val="ListParagraph"/>
        <w:numPr>
          <w:ilvl w:val="0"/>
          <w:numId w:val="17"/>
        </w:numPr>
        <w:spacing w:after="0" w:line="240" w:lineRule="auto"/>
        <w:rPr>
          <w:noProof/>
          <w:lang w:val="en-US"/>
        </w:rPr>
      </w:pPr>
      <w:r>
        <w:rPr>
          <w:noProof/>
          <w:lang w:val="en-US"/>
        </w:rPr>
        <w:t>Commitments are required for (please tick or cross as appropriate):</w:t>
      </w:r>
    </w:p>
    <w:p w14:paraId="75B241FB" w14:textId="77777777" w:rsidR="00C20587" w:rsidRDefault="00C20587" w:rsidP="00C20587">
      <w:pPr>
        <w:pStyle w:val="ListParagraph"/>
        <w:numPr>
          <w:ilvl w:val="1"/>
          <w:numId w:val="3"/>
        </w:numPr>
        <w:spacing w:after="0" w:line="240" w:lineRule="auto"/>
        <w:rPr>
          <w:noProof/>
          <w:lang w:val="en-US"/>
        </w:rPr>
      </w:pPr>
      <w:r>
        <w:rPr>
          <w:noProof/>
          <w:lang w:val="en-US"/>
        </w:rPr>
        <w:lastRenderedPageBreak/>
        <w:t>Utilities</w:t>
      </w:r>
    </w:p>
    <w:p w14:paraId="529A35E4" w14:textId="77777777" w:rsidR="00C20587" w:rsidRDefault="00C20587" w:rsidP="00C20587">
      <w:pPr>
        <w:pStyle w:val="ListParagraph"/>
        <w:numPr>
          <w:ilvl w:val="1"/>
          <w:numId w:val="3"/>
        </w:numPr>
        <w:spacing w:after="0" w:line="240" w:lineRule="auto"/>
        <w:rPr>
          <w:noProof/>
          <w:lang w:val="en-US"/>
        </w:rPr>
      </w:pPr>
      <w:r>
        <w:rPr>
          <w:noProof/>
          <w:lang w:val="en-US"/>
        </w:rPr>
        <w:t xml:space="preserve">Other goods and services </w:t>
      </w:r>
    </w:p>
    <w:p w14:paraId="0112417A" w14:textId="77777777" w:rsidR="00C20587" w:rsidRDefault="00C20587" w:rsidP="00C20587">
      <w:pPr>
        <w:pStyle w:val="ListParagraph"/>
        <w:numPr>
          <w:ilvl w:val="1"/>
          <w:numId w:val="3"/>
        </w:numPr>
        <w:spacing w:after="0" w:line="240" w:lineRule="auto"/>
        <w:rPr>
          <w:noProof/>
          <w:lang w:val="en-US"/>
        </w:rPr>
      </w:pPr>
      <w:r>
        <w:rPr>
          <w:noProof/>
          <w:lang w:val="en-US"/>
        </w:rPr>
        <w:t>Capital spending</w:t>
      </w:r>
    </w:p>
    <w:p w14:paraId="34668A09" w14:textId="77777777" w:rsidR="00C20587" w:rsidRDefault="00C20587" w:rsidP="00C20587">
      <w:pPr>
        <w:pStyle w:val="ListParagraph"/>
        <w:numPr>
          <w:ilvl w:val="1"/>
          <w:numId w:val="3"/>
        </w:numPr>
        <w:spacing w:after="0" w:line="240" w:lineRule="auto"/>
        <w:rPr>
          <w:noProof/>
          <w:lang w:val="en-US"/>
        </w:rPr>
      </w:pPr>
      <w:r>
        <w:rPr>
          <w:noProof/>
          <w:lang w:val="en-US"/>
        </w:rPr>
        <w:t>Project spending</w:t>
      </w:r>
    </w:p>
    <w:p w14:paraId="5CCA5542" w14:textId="77777777" w:rsidR="00C20587" w:rsidRDefault="00C20587" w:rsidP="00C20587">
      <w:pPr>
        <w:pStyle w:val="ListParagraph"/>
        <w:numPr>
          <w:ilvl w:val="1"/>
          <w:numId w:val="3"/>
        </w:numPr>
        <w:spacing w:after="0" w:line="240" w:lineRule="auto"/>
        <w:rPr>
          <w:noProof/>
          <w:lang w:val="en-US"/>
        </w:rPr>
      </w:pPr>
      <w:r>
        <w:rPr>
          <w:noProof/>
          <w:lang w:val="en-US"/>
        </w:rPr>
        <w:t xml:space="preserve">Debt Servicing </w:t>
      </w:r>
    </w:p>
    <w:p w14:paraId="5935B016" w14:textId="77777777" w:rsidR="00C20587" w:rsidRDefault="00C20587" w:rsidP="00C20587">
      <w:pPr>
        <w:pStyle w:val="ListParagraph"/>
        <w:numPr>
          <w:ilvl w:val="1"/>
          <w:numId w:val="3"/>
        </w:numPr>
        <w:spacing w:after="0" w:line="240" w:lineRule="auto"/>
        <w:rPr>
          <w:noProof/>
          <w:lang w:val="en-US"/>
        </w:rPr>
      </w:pPr>
      <w:r>
        <w:rPr>
          <w:noProof/>
          <w:lang w:val="en-US"/>
        </w:rPr>
        <w:t>Other – please specify</w:t>
      </w:r>
    </w:p>
    <w:p w14:paraId="7BB11BBF" w14:textId="77777777" w:rsidR="00C20587" w:rsidRPr="000A342A" w:rsidRDefault="00C20587" w:rsidP="00C20587">
      <w:pPr>
        <w:rPr>
          <w:noProof/>
          <w:lang w:val="en-US"/>
        </w:rPr>
      </w:pPr>
    </w:p>
    <w:p w14:paraId="548273D5" w14:textId="77777777" w:rsidR="00C20587" w:rsidRPr="00BE36D0" w:rsidRDefault="00C20587" w:rsidP="00C20587">
      <w:pPr>
        <w:pStyle w:val="ListParagraph"/>
        <w:numPr>
          <w:ilvl w:val="0"/>
          <w:numId w:val="18"/>
        </w:numPr>
        <w:spacing w:after="0" w:line="240" w:lineRule="auto"/>
        <w:rPr>
          <w:noProof/>
          <w:lang w:val="en-US"/>
        </w:rPr>
      </w:pPr>
      <w:r w:rsidRPr="00BE36D0">
        <w:rPr>
          <w:noProof/>
          <w:lang w:val="en-US"/>
        </w:rPr>
        <w:t>Is a purchase order issued for all commitments?</w:t>
      </w:r>
    </w:p>
    <w:p w14:paraId="2BA29F8D" w14:textId="77777777" w:rsidR="00C20587" w:rsidRPr="00BE36D0" w:rsidRDefault="00C20587" w:rsidP="00C20587">
      <w:pPr>
        <w:ind w:firstLine="60"/>
        <w:rPr>
          <w:noProof/>
          <w:lang w:val="en-US"/>
        </w:rPr>
      </w:pPr>
    </w:p>
    <w:p w14:paraId="18CFB0A7" w14:textId="77777777" w:rsidR="00C20587" w:rsidRPr="00C20587" w:rsidRDefault="00C20587" w:rsidP="00C20587">
      <w:pPr>
        <w:pStyle w:val="ListParagraph"/>
        <w:numPr>
          <w:ilvl w:val="0"/>
          <w:numId w:val="18"/>
        </w:numPr>
        <w:spacing w:after="0" w:line="240" w:lineRule="auto"/>
        <w:rPr>
          <w:noProof/>
          <w:lang w:val="en-US"/>
        </w:rPr>
      </w:pPr>
      <w:r w:rsidRPr="00BE36D0">
        <w:rPr>
          <w:noProof/>
          <w:lang w:val="en-US"/>
        </w:rPr>
        <w:t xml:space="preserve">If yes is the purchase order issued from the same system that also controls spending against the budget and appropriations? </w:t>
      </w:r>
    </w:p>
    <w:p w14:paraId="72B8B4A2" w14:textId="77777777" w:rsidR="00C20587" w:rsidRPr="00BE36D0" w:rsidRDefault="00C20587" w:rsidP="00C20587">
      <w:pPr>
        <w:rPr>
          <w:noProof/>
          <w:lang w:val="en-US"/>
        </w:rPr>
      </w:pPr>
    </w:p>
    <w:p w14:paraId="32F68D02" w14:textId="77777777" w:rsidR="00C20587" w:rsidRPr="00BE36D0" w:rsidRDefault="00C20587" w:rsidP="00C20587">
      <w:pPr>
        <w:pStyle w:val="ListParagraph"/>
        <w:numPr>
          <w:ilvl w:val="0"/>
          <w:numId w:val="18"/>
        </w:numPr>
        <w:spacing w:after="0" w:line="240" w:lineRule="auto"/>
        <w:rPr>
          <w:noProof/>
          <w:lang w:val="en-US"/>
        </w:rPr>
      </w:pPr>
      <w:r>
        <w:rPr>
          <w:noProof/>
          <w:lang w:val="en-US"/>
        </w:rPr>
        <w:t>At what stage of the budget exe</w:t>
      </w:r>
      <w:r w:rsidRPr="00BE36D0">
        <w:rPr>
          <w:noProof/>
          <w:lang w:val="en-US"/>
        </w:rPr>
        <w:t>c</w:t>
      </w:r>
      <w:r>
        <w:rPr>
          <w:noProof/>
          <w:lang w:val="en-US"/>
        </w:rPr>
        <w:t>u</w:t>
      </w:r>
      <w:r w:rsidRPr="00BE36D0">
        <w:rPr>
          <w:noProof/>
          <w:lang w:val="en-US"/>
        </w:rPr>
        <w:t xml:space="preserve">tion process are commitments recorded? </w:t>
      </w:r>
    </w:p>
    <w:p w14:paraId="378C5DC5" w14:textId="77777777" w:rsidR="00C20587" w:rsidRPr="006002E8" w:rsidRDefault="00C20587" w:rsidP="00C20587">
      <w:pPr>
        <w:pStyle w:val="ListParagraph"/>
        <w:numPr>
          <w:ilvl w:val="0"/>
          <w:numId w:val="19"/>
        </w:numPr>
        <w:spacing w:after="0" w:line="240" w:lineRule="auto"/>
        <w:rPr>
          <w:noProof/>
          <w:lang w:val="en-US"/>
        </w:rPr>
      </w:pPr>
      <w:r w:rsidRPr="006002E8">
        <w:rPr>
          <w:noProof/>
          <w:lang w:val="en-US"/>
        </w:rPr>
        <w:t>Signing of the contract</w:t>
      </w:r>
    </w:p>
    <w:p w14:paraId="1EF61274" w14:textId="77777777" w:rsidR="00C20587" w:rsidRPr="006002E8" w:rsidRDefault="00C20587" w:rsidP="00C20587">
      <w:pPr>
        <w:pStyle w:val="ListParagraph"/>
        <w:numPr>
          <w:ilvl w:val="0"/>
          <w:numId w:val="19"/>
        </w:numPr>
        <w:spacing w:after="0" w:line="240" w:lineRule="auto"/>
        <w:rPr>
          <w:noProof/>
          <w:lang w:val="en-US"/>
        </w:rPr>
      </w:pPr>
      <w:r w:rsidRPr="006002E8">
        <w:rPr>
          <w:noProof/>
          <w:lang w:val="en-US"/>
        </w:rPr>
        <w:t>Issuing Purchase Order</w:t>
      </w:r>
    </w:p>
    <w:p w14:paraId="612EB558" w14:textId="77777777" w:rsidR="00C20587" w:rsidRPr="006002E8" w:rsidRDefault="00C20587" w:rsidP="00C20587">
      <w:pPr>
        <w:pStyle w:val="ListParagraph"/>
        <w:numPr>
          <w:ilvl w:val="0"/>
          <w:numId w:val="19"/>
        </w:numPr>
        <w:spacing w:after="0" w:line="240" w:lineRule="auto"/>
        <w:rPr>
          <w:noProof/>
          <w:lang w:val="en-US"/>
        </w:rPr>
      </w:pPr>
      <w:r w:rsidRPr="006002E8">
        <w:rPr>
          <w:noProof/>
          <w:lang w:val="en-US"/>
        </w:rPr>
        <w:t xml:space="preserve">Other </w:t>
      </w:r>
    </w:p>
    <w:p w14:paraId="57EFDC91" w14:textId="77777777" w:rsidR="00C20587" w:rsidRDefault="00C20587" w:rsidP="00C20587">
      <w:pPr>
        <w:rPr>
          <w:b/>
          <w:noProof/>
          <w:lang w:val="en-US"/>
        </w:rPr>
      </w:pPr>
    </w:p>
    <w:p w14:paraId="27ED7A39" w14:textId="77777777" w:rsidR="00C20587" w:rsidRDefault="00C20587" w:rsidP="00C20587">
      <w:pPr>
        <w:rPr>
          <w:b/>
          <w:noProof/>
          <w:lang w:val="en-US"/>
        </w:rPr>
      </w:pPr>
      <w:r>
        <w:rPr>
          <w:b/>
          <w:noProof/>
          <w:lang w:val="en-US"/>
        </w:rPr>
        <w:t>Stage 3 - Receipt of Goods and Services</w:t>
      </w:r>
    </w:p>
    <w:p w14:paraId="5C76A47D" w14:textId="77777777" w:rsidR="00C20587" w:rsidRDefault="00C20587" w:rsidP="00C20587">
      <w:pPr>
        <w:pStyle w:val="ListParagraph"/>
        <w:numPr>
          <w:ilvl w:val="0"/>
          <w:numId w:val="6"/>
        </w:numPr>
        <w:spacing w:after="0" w:line="240" w:lineRule="auto"/>
        <w:rPr>
          <w:noProof/>
          <w:lang w:val="en-US"/>
        </w:rPr>
      </w:pPr>
      <w:r w:rsidRPr="00BE36D0">
        <w:rPr>
          <w:noProof/>
          <w:lang w:val="en-US"/>
        </w:rPr>
        <w:t xml:space="preserve"> Does your country separately record receipt of goods and services</w:t>
      </w:r>
      <w:r>
        <w:rPr>
          <w:noProof/>
          <w:lang w:val="en-US"/>
        </w:rPr>
        <w:t xml:space="preserve"> (see stage 3)</w:t>
      </w:r>
      <w:r w:rsidRPr="00BE36D0">
        <w:rPr>
          <w:noProof/>
          <w:lang w:val="en-US"/>
        </w:rPr>
        <w:t>?</w:t>
      </w:r>
      <w:r>
        <w:rPr>
          <w:noProof/>
          <w:lang w:val="en-US"/>
        </w:rPr>
        <w:t xml:space="preserve"> Y/N</w:t>
      </w:r>
    </w:p>
    <w:p w14:paraId="4E9129B3" w14:textId="77777777" w:rsidR="00C20587" w:rsidRDefault="00C20587" w:rsidP="00C20587">
      <w:pPr>
        <w:rPr>
          <w:noProof/>
          <w:lang w:val="en-US"/>
        </w:rPr>
      </w:pPr>
    </w:p>
    <w:p w14:paraId="31F98D26" w14:textId="77777777" w:rsidR="00C20587" w:rsidRPr="00C20587" w:rsidRDefault="00C20587" w:rsidP="00C20587">
      <w:pPr>
        <w:rPr>
          <w:i/>
          <w:noProof/>
          <w:lang w:val="en-US"/>
        </w:rPr>
      </w:pPr>
      <w:r w:rsidRPr="00BE36D0">
        <w:rPr>
          <w:i/>
          <w:noProof/>
          <w:lang w:val="en-US"/>
        </w:rPr>
        <w:t>If Yes please answer question 15</w:t>
      </w:r>
      <w:r>
        <w:rPr>
          <w:i/>
          <w:noProof/>
          <w:lang w:val="en-US"/>
        </w:rPr>
        <w:t>,</w:t>
      </w:r>
      <w:r w:rsidRPr="00BE36D0">
        <w:rPr>
          <w:i/>
          <w:noProof/>
          <w:lang w:val="en-US"/>
        </w:rPr>
        <w:t xml:space="preserve"> if no proceed to question </w:t>
      </w:r>
      <w:r>
        <w:rPr>
          <w:i/>
          <w:noProof/>
          <w:lang w:val="en-US"/>
        </w:rPr>
        <w:t>16</w:t>
      </w:r>
    </w:p>
    <w:p w14:paraId="4DA8AB78" w14:textId="77777777" w:rsidR="00C20587" w:rsidRDefault="00C20587" w:rsidP="00C20587">
      <w:pPr>
        <w:pStyle w:val="ListParagraph"/>
        <w:numPr>
          <w:ilvl w:val="0"/>
          <w:numId w:val="6"/>
        </w:numPr>
        <w:spacing w:after="0" w:line="240" w:lineRule="auto"/>
        <w:rPr>
          <w:noProof/>
          <w:lang w:val="en-US"/>
        </w:rPr>
      </w:pPr>
      <w:r>
        <w:rPr>
          <w:noProof/>
          <w:lang w:val="en-US"/>
        </w:rPr>
        <w:t>Receipt of goods and services is recorded in the:</w:t>
      </w:r>
    </w:p>
    <w:p w14:paraId="5AC6EB11" w14:textId="77777777" w:rsidR="00C20587" w:rsidRPr="00BE36D0" w:rsidRDefault="00C20587" w:rsidP="00C20587">
      <w:pPr>
        <w:pStyle w:val="ListParagraph"/>
        <w:numPr>
          <w:ilvl w:val="1"/>
          <w:numId w:val="6"/>
        </w:numPr>
        <w:spacing w:after="0" w:line="240" w:lineRule="auto"/>
        <w:rPr>
          <w:noProof/>
          <w:lang w:val="en-US"/>
        </w:rPr>
      </w:pPr>
      <w:r w:rsidRPr="00BE36D0">
        <w:rPr>
          <w:noProof/>
          <w:lang w:val="en-US"/>
        </w:rPr>
        <w:t xml:space="preserve">Central </w:t>
      </w:r>
      <w:r>
        <w:rPr>
          <w:noProof/>
          <w:lang w:val="en-US"/>
        </w:rPr>
        <w:t>FMIS</w:t>
      </w:r>
    </w:p>
    <w:p w14:paraId="1C34C82A" w14:textId="77777777" w:rsidR="00C20587" w:rsidRPr="00BE36D0" w:rsidRDefault="00C20587" w:rsidP="00C20587">
      <w:pPr>
        <w:pStyle w:val="ListParagraph"/>
        <w:numPr>
          <w:ilvl w:val="1"/>
          <w:numId w:val="6"/>
        </w:numPr>
        <w:spacing w:after="0" w:line="240" w:lineRule="auto"/>
        <w:rPr>
          <w:noProof/>
          <w:lang w:val="en-US"/>
        </w:rPr>
      </w:pPr>
      <w:r w:rsidRPr="00BE36D0">
        <w:rPr>
          <w:noProof/>
          <w:lang w:val="en-US"/>
        </w:rPr>
        <w:t>Procurement system/portal</w:t>
      </w:r>
    </w:p>
    <w:p w14:paraId="2FEFB6B2" w14:textId="77777777" w:rsidR="00C20587" w:rsidRPr="00BE36D0" w:rsidRDefault="00C20587" w:rsidP="00C20587">
      <w:pPr>
        <w:pStyle w:val="ListParagraph"/>
        <w:numPr>
          <w:ilvl w:val="1"/>
          <w:numId w:val="6"/>
        </w:numPr>
        <w:spacing w:after="0" w:line="240" w:lineRule="auto"/>
        <w:rPr>
          <w:noProof/>
          <w:lang w:val="en-US"/>
        </w:rPr>
      </w:pPr>
      <w:r w:rsidRPr="00BE36D0">
        <w:rPr>
          <w:noProof/>
          <w:lang w:val="en-US"/>
        </w:rPr>
        <w:t xml:space="preserve">In </w:t>
      </w:r>
      <w:r>
        <w:rPr>
          <w:noProof/>
          <w:lang w:val="en-US"/>
        </w:rPr>
        <w:t>MDAs</w:t>
      </w:r>
      <w:r w:rsidRPr="00BE36D0">
        <w:rPr>
          <w:noProof/>
          <w:lang w:val="en-US"/>
        </w:rPr>
        <w:t xml:space="preserve"> own accounting system</w:t>
      </w:r>
    </w:p>
    <w:p w14:paraId="1A40906D" w14:textId="77777777" w:rsidR="00C20587" w:rsidRPr="00BE36D0" w:rsidRDefault="00C20587" w:rsidP="00C20587">
      <w:pPr>
        <w:pStyle w:val="ListParagraph"/>
        <w:numPr>
          <w:ilvl w:val="1"/>
          <w:numId w:val="6"/>
        </w:numPr>
        <w:spacing w:after="0" w:line="240" w:lineRule="auto"/>
        <w:rPr>
          <w:noProof/>
          <w:lang w:val="en-US"/>
        </w:rPr>
      </w:pPr>
      <w:r w:rsidRPr="00BE36D0">
        <w:rPr>
          <w:noProof/>
          <w:lang w:val="en-US"/>
        </w:rPr>
        <w:t>In a register within the MDA</w:t>
      </w:r>
    </w:p>
    <w:p w14:paraId="39F15D32" w14:textId="77777777" w:rsidR="00C20587" w:rsidRPr="00BE36D0" w:rsidRDefault="00C20587" w:rsidP="00C20587">
      <w:pPr>
        <w:pStyle w:val="ListParagraph"/>
        <w:numPr>
          <w:ilvl w:val="1"/>
          <w:numId w:val="6"/>
        </w:numPr>
        <w:spacing w:after="0" w:line="240" w:lineRule="auto"/>
        <w:rPr>
          <w:noProof/>
          <w:lang w:val="en-US"/>
        </w:rPr>
      </w:pPr>
      <w:r w:rsidRPr="00BE36D0">
        <w:rPr>
          <w:noProof/>
          <w:lang w:val="en-US"/>
        </w:rPr>
        <w:t>Other please specify</w:t>
      </w:r>
    </w:p>
    <w:p w14:paraId="7B911875" w14:textId="77777777" w:rsidR="00C20587" w:rsidRDefault="00C20587" w:rsidP="00C20587">
      <w:pPr>
        <w:rPr>
          <w:b/>
          <w:noProof/>
          <w:lang w:val="en-US"/>
        </w:rPr>
      </w:pPr>
    </w:p>
    <w:p w14:paraId="086443C8" w14:textId="77777777" w:rsidR="00C20587" w:rsidRDefault="00C20587" w:rsidP="00C20587">
      <w:pPr>
        <w:rPr>
          <w:b/>
          <w:noProof/>
          <w:lang w:val="en-US"/>
        </w:rPr>
      </w:pPr>
    </w:p>
    <w:p w14:paraId="09890C21" w14:textId="77777777" w:rsidR="00C20587" w:rsidRDefault="00C20587" w:rsidP="00C20587">
      <w:pPr>
        <w:rPr>
          <w:b/>
          <w:noProof/>
          <w:lang w:val="en-US"/>
        </w:rPr>
      </w:pPr>
      <w:r>
        <w:rPr>
          <w:b/>
          <w:noProof/>
          <w:lang w:val="en-US"/>
        </w:rPr>
        <w:t>Stage 4 - Receipt of Supplier Invoices</w:t>
      </w:r>
    </w:p>
    <w:p w14:paraId="69A2F181" w14:textId="77777777" w:rsidR="00C20587" w:rsidRDefault="00C20587" w:rsidP="00C20587">
      <w:pPr>
        <w:pStyle w:val="ListParagraph"/>
        <w:numPr>
          <w:ilvl w:val="0"/>
          <w:numId w:val="6"/>
        </w:numPr>
        <w:spacing w:after="0" w:line="240" w:lineRule="auto"/>
        <w:rPr>
          <w:noProof/>
          <w:lang w:val="en-US"/>
        </w:rPr>
      </w:pPr>
      <w:r w:rsidRPr="00BE36D0">
        <w:rPr>
          <w:noProof/>
          <w:lang w:val="en-US"/>
        </w:rPr>
        <w:t xml:space="preserve">Does your country separately record receipt of </w:t>
      </w:r>
      <w:r>
        <w:rPr>
          <w:noProof/>
          <w:lang w:val="en-US"/>
        </w:rPr>
        <w:t>suppliers invoices (see stage 4)</w:t>
      </w:r>
      <w:r w:rsidRPr="00BE36D0">
        <w:rPr>
          <w:noProof/>
          <w:lang w:val="en-US"/>
        </w:rPr>
        <w:t>?</w:t>
      </w:r>
      <w:r>
        <w:rPr>
          <w:noProof/>
          <w:lang w:val="en-US"/>
        </w:rPr>
        <w:t xml:space="preserve"> Y/N</w:t>
      </w:r>
    </w:p>
    <w:p w14:paraId="2B17BF73" w14:textId="77777777" w:rsidR="00C20587" w:rsidRPr="00191197" w:rsidRDefault="00C20587" w:rsidP="00C20587">
      <w:pPr>
        <w:rPr>
          <w:noProof/>
          <w:lang w:val="en-US"/>
        </w:rPr>
      </w:pPr>
    </w:p>
    <w:p w14:paraId="49187399" w14:textId="77777777" w:rsidR="00C20587" w:rsidRPr="00C20587" w:rsidRDefault="00C20587" w:rsidP="00C20587">
      <w:pPr>
        <w:rPr>
          <w:i/>
          <w:noProof/>
          <w:lang w:val="en-US"/>
        </w:rPr>
      </w:pPr>
      <w:r w:rsidRPr="00BE36D0">
        <w:rPr>
          <w:i/>
          <w:noProof/>
          <w:lang w:val="en-US"/>
        </w:rPr>
        <w:t>If Yes please answer question 1</w:t>
      </w:r>
      <w:r>
        <w:rPr>
          <w:i/>
          <w:noProof/>
          <w:lang w:val="en-US"/>
        </w:rPr>
        <w:t>7</w:t>
      </w:r>
      <w:r w:rsidRPr="00BE36D0">
        <w:rPr>
          <w:i/>
          <w:noProof/>
          <w:lang w:val="en-US"/>
        </w:rPr>
        <w:t xml:space="preserve"> </w:t>
      </w:r>
      <w:r>
        <w:rPr>
          <w:i/>
          <w:noProof/>
          <w:lang w:val="en-US"/>
        </w:rPr>
        <w:t xml:space="preserve">to 19, </w:t>
      </w:r>
      <w:r w:rsidRPr="00BE36D0">
        <w:rPr>
          <w:i/>
          <w:noProof/>
          <w:lang w:val="en-US"/>
        </w:rPr>
        <w:t xml:space="preserve">if no proceed to question </w:t>
      </w:r>
      <w:r>
        <w:rPr>
          <w:i/>
          <w:noProof/>
          <w:lang w:val="en-US"/>
        </w:rPr>
        <w:t>20</w:t>
      </w:r>
    </w:p>
    <w:p w14:paraId="4A177FBC" w14:textId="77777777" w:rsidR="00C20587" w:rsidRDefault="00C20587" w:rsidP="00C20587">
      <w:pPr>
        <w:pStyle w:val="ListParagraph"/>
        <w:numPr>
          <w:ilvl w:val="0"/>
          <w:numId w:val="6"/>
        </w:numPr>
        <w:spacing w:after="0" w:line="240" w:lineRule="auto"/>
        <w:rPr>
          <w:noProof/>
          <w:lang w:val="en-US"/>
        </w:rPr>
      </w:pPr>
      <w:r>
        <w:rPr>
          <w:noProof/>
          <w:lang w:val="en-US"/>
        </w:rPr>
        <w:t xml:space="preserve"> Receipt of a suppliers invoice is recorded in the:</w:t>
      </w:r>
    </w:p>
    <w:p w14:paraId="028C3042" w14:textId="77777777" w:rsidR="00C20587" w:rsidRPr="00BE36D0" w:rsidRDefault="00C20587" w:rsidP="00C20587">
      <w:pPr>
        <w:pStyle w:val="ListParagraph"/>
        <w:numPr>
          <w:ilvl w:val="1"/>
          <w:numId w:val="6"/>
        </w:numPr>
        <w:spacing w:after="0" w:line="240" w:lineRule="auto"/>
        <w:rPr>
          <w:noProof/>
          <w:lang w:val="en-US"/>
        </w:rPr>
      </w:pPr>
      <w:r w:rsidRPr="00BE36D0">
        <w:rPr>
          <w:noProof/>
          <w:lang w:val="en-US"/>
        </w:rPr>
        <w:t xml:space="preserve">Central </w:t>
      </w:r>
      <w:r>
        <w:rPr>
          <w:noProof/>
          <w:lang w:val="en-US"/>
        </w:rPr>
        <w:t>FMIS</w:t>
      </w:r>
    </w:p>
    <w:p w14:paraId="5724091A" w14:textId="77777777" w:rsidR="00C20587" w:rsidRPr="00BE36D0" w:rsidRDefault="00C20587" w:rsidP="00C20587">
      <w:pPr>
        <w:pStyle w:val="ListParagraph"/>
        <w:numPr>
          <w:ilvl w:val="1"/>
          <w:numId w:val="6"/>
        </w:numPr>
        <w:spacing w:after="0" w:line="240" w:lineRule="auto"/>
        <w:rPr>
          <w:noProof/>
          <w:lang w:val="en-US"/>
        </w:rPr>
      </w:pPr>
      <w:r w:rsidRPr="00BE36D0">
        <w:rPr>
          <w:noProof/>
          <w:lang w:val="en-US"/>
        </w:rPr>
        <w:t>Procurement system/portal</w:t>
      </w:r>
    </w:p>
    <w:p w14:paraId="1C7DFBF9" w14:textId="77777777" w:rsidR="00C20587" w:rsidRPr="00BE36D0" w:rsidRDefault="00C20587" w:rsidP="00C20587">
      <w:pPr>
        <w:pStyle w:val="ListParagraph"/>
        <w:numPr>
          <w:ilvl w:val="1"/>
          <w:numId w:val="6"/>
        </w:numPr>
        <w:spacing w:after="0" w:line="240" w:lineRule="auto"/>
        <w:rPr>
          <w:noProof/>
          <w:lang w:val="en-US"/>
        </w:rPr>
      </w:pPr>
      <w:r w:rsidRPr="00BE36D0">
        <w:rPr>
          <w:noProof/>
          <w:lang w:val="en-US"/>
        </w:rPr>
        <w:t xml:space="preserve">In </w:t>
      </w:r>
      <w:r>
        <w:rPr>
          <w:noProof/>
          <w:lang w:val="en-US"/>
        </w:rPr>
        <w:t>MDAs</w:t>
      </w:r>
      <w:r w:rsidRPr="00BE36D0">
        <w:rPr>
          <w:noProof/>
          <w:lang w:val="en-US"/>
        </w:rPr>
        <w:t xml:space="preserve"> own accounting system</w:t>
      </w:r>
    </w:p>
    <w:p w14:paraId="28383B8D" w14:textId="77777777" w:rsidR="00C20587" w:rsidRPr="00BE36D0" w:rsidRDefault="00C20587" w:rsidP="00C20587">
      <w:pPr>
        <w:pStyle w:val="ListParagraph"/>
        <w:numPr>
          <w:ilvl w:val="1"/>
          <w:numId w:val="6"/>
        </w:numPr>
        <w:spacing w:after="0" w:line="240" w:lineRule="auto"/>
        <w:rPr>
          <w:noProof/>
          <w:lang w:val="en-US"/>
        </w:rPr>
      </w:pPr>
      <w:r w:rsidRPr="00BE36D0">
        <w:rPr>
          <w:noProof/>
          <w:lang w:val="en-US"/>
        </w:rPr>
        <w:t>In a register within the MDA</w:t>
      </w:r>
    </w:p>
    <w:p w14:paraId="10515DA0" w14:textId="77777777" w:rsidR="00C20587" w:rsidRPr="00BE36D0" w:rsidRDefault="00C20587" w:rsidP="00C20587">
      <w:pPr>
        <w:pStyle w:val="ListParagraph"/>
        <w:numPr>
          <w:ilvl w:val="1"/>
          <w:numId w:val="6"/>
        </w:numPr>
        <w:spacing w:after="0" w:line="240" w:lineRule="auto"/>
        <w:rPr>
          <w:noProof/>
          <w:lang w:val="en-US"/>
        </w:rPr>
      </w:pPr>
      <w:r w:rsidRPr="00BE36D0">
        <w:rPr>
          <w:noProof/>
          <w:lang w:val="en-US"/>
        </w:rPr>
        <w:t>Other please specify</w:t>
      </w:r>
    </w:p>
    <w:p w14:paraId="1C818EF4" w14:textId="77777777" w:rsidR="00C20587" w:rsidRDefault="00C20587" w:rsidP="00C20587">
      <w:pPr>
        <w:rPr>
          <w:noProof/>
          <w:lang w:val="en-US"/>
        </w:rPr>
      </w:pPr>
    </w:p>
    <w:p w14:paraId="3155F996" w14:textId="77777777" w:rsidR="00C20587" w:rsidRDefault="00C20587" w:rsidP="00C20587">
      <w:pPr>
        <w:pStyle w:val="ListParagraph"/>
        <w:numPr>
          <w:ilvl w:val="0"/>
          <w:numId w:val="8"/>
        </w:numPr>
        <w:spacing w:after="0" w:line="240" w:lineRule="auto"/>
        <w:rPr>
          <w:noProof/>
          <w:lang w:val="en-US"/>
        </w:rPr>
      </w:pPr>
      <w:r>
        <w:rPr>
          <w:noProof/>
          <w:lang w:val="en-US"/>
        </w:rPr>
        <w:t xml:space="preserve"> Supplier invoices are matched to commitments when received Y/N</w:t>
      </w:r>
    </w:p>
    <w:p w14:paraId="4A54CC41" w14:textId="77777777" w:rsidR="00C20587" w:rsidRDefault="00C20587" w:rsidP="00C20587">
      <w:pPr>
        <w:pStyle w:val="ListParagraph"/>
        <w:ind w:left="360"/>
        <w:rPr>
          <w:noProof/>
          <w:lang w:val="en-US"/>
        </w:rPr>
      </w:pPr>
    </w:p>
    <w:p w14:paraId="322CAE82" w14:textId="77777777" w:rsidR="00C20587" w:rsidRDefault="00C20587" w:rsidP="00C20587">
      <w:pPr>
        <w:pStyle w:val="ListParagraph"/>
        <w:numPr>
          <w:ilvl w:val="0"/>
          <w:numId w:val="8"/>
        </w:numPr>
        <w:spacing w:after="0" w:line="240" w:lineRule="auto"/>
        <w:rPr>
          <w:noProof/>
          <w:lang w:val="en-US"/>
        </w:rPr>
      </w:pPr>
      <w:r>
        <w:rPr>
          <w:noProof/>
          <w:lang w:val="en-US"/>
        </w:rPr>
        <w:t>If no please explain how you verify the authenticity of the invoice.</w:t>
      </w:r>
    </w:p>
    <w:p w14:paraId="772F8358" w14:textId="77777777" w:rsidR="00C20587" w:rsidRPr="00191197" w:rsidRDefault="00C20587" w:rsidP="00C20587">
      <w:pPr>
        <w:rPr>
          <w:noProof/>
          <w:lang w:val="en-US"/>
        </w:rPr>
      </w:pPr>
    </w:p>
    <w:p w14:paraId="74CECA2A" w14:textId="77777777" w:rsidR="00C20587" w:rsidRPr="00C20587" w:rsidRDefault="00C20587" w:rsidP="00C20587">
      <w:pPr>
        <w:rPr>
          <w:b/>
          <w:noProof/>
          <w:lang w:val="en-US"/>
        </w:rPr>
      </w:pPr>
      <w:r>
        <w:rPr>
          <w:b/>
          <w:noProof/>
          <w:lang w:val="en-US"/>
        </w:rPr>
        <w:lastRenderedPageBreak/>
        <w:t xml:space="preserve">Stage 5 - </w:t>
      </w:r>
      <w:r w:rsidRPr="00191197">
        <w:rPr>
          <w:b/>
          <w:noProof/>
          <w:lang w:val="en-US"/>
        </w:rPr>
        <w:t>Accounts Payable</w:t>
      </w:r>
      <w:r>
        <w:rPr>
          <w:b/>
          <w:noProof/>
          <w:lang w:val="en-US"/>
        </w:rPr>
        <w:t xml:space="preserve"> in the Accounting System</w:t>
      </w:r>
    </w:p>
    <w:p w14:paraId="3C2EAF8F" w14:textId="77777777" w:rsidR="00C20587" w:rsidRDefault="00C20587" w:rsidP="00C20587">
      <w:pPr>
        <w:pStyle w:val="ListParagraph"/>
        <w:numPr>
          <w:ilvl w:val="0"/>
          <w:numId w:val="9"/>
        </w:numPr>
        <w:spacing w:after="0" w:line="240" w:lineRule="auto"/>
        <w:rPr>
          <w:noProof/>
          <w:lang w:val="en-US"/>
        </w:rPr>
      </w:pPr>
      <w:r w:rsidRPr="00BE36D0">
        <w:rPr>
          <w:noProof/>
          <w:lang w:val="en-US"/>
        </w:rPr>
        <w:t xml:space="preserve">Does your country </w:t>
      </w:r>
      <w:r>
        <w:rPr>
          <w:noProof/>
          <w:lang w:val="en-US"/>
        </w:rPr>
        <w:t>recognise accounts payable in the budget execution process? Y/N</w:t>
      </w:r>
    </w:p>
    <w:p w14:paraId="6611D5FE" w14:textId="77777777" w:rsidR="00C20587" w:rsidRDefault="00C20587" w:rsidP="00C20587">
      <w:pPr>
        <w:rPr>
          <w:noProof/>
          <w:lang w:val="en-US"/>
        </w:rPr>
      </w:pPr>
    </w:p>
    <w:p w14:paraId="554B5155" w14:textId="77777777" w:rsidR="00C20587" w:rsidRDefault="00C20587" w:rsidP="00C20587">
      <w:pPr>
        <w:rPr>
          <w:i/>
          <w:noProof/>
          <w:lang w:val="en-US"/>
        </w:rPr>
      </w:pPr>
      <w:r w:rsidRPr="00BE36D0">
        <w:rPr>
          <w:i/>
          <w:noProof/>
          <w:lang w:val="en-US"/>
        </w:rPr>
        <w:t xml:space="preserve">If Yes please answer question </w:t>
      </w:r>
      <w:r>
        <w:rPr>
          <w:i/>
          <w:noProof/>
          <w:lang w:val="en-US"/>
        </w:rPr>
        <w:t>21</w:t>
      </w:r>
      <w:r w:rsidRPr="00BE36D0">
        <w:rPr>
          <w:i/>
          <w:noProof/>
          <w:lang w:val="en-US"/>
        </w:rPr>
        <w:t xml:space="preserve"> </w:t>
      </w:r>
      <w:r>
        <w:rPr>
          <w:i/>
          <w:noProof/>
          <w:lang w:val="en-US"/>
        </w:rPr>
        <w:t xml:space="preserve">to 26, </w:t>
      </w:r>
      <w:r w:rsidRPr="00BE36D0">
        <w:rPr>
          <w:i/>
          <w:noProof/>
          <w:lang w:val="en-US"/>
        </w:rPr>
        <w:t xml:space="preserve">if no proceed to question </w:t>
      </w:r>
      <w:r>
        <w:rPr>
          <w:i/>
          <w:noProof/>
          <w:lang w:val="en-US"/>
        </w:rPr>
        <w:t>27</w:t>
      </w:r>
    </w:p>
    <w:p w14:paraId="457BFE79" w14:textId="77777777" w:rsidR="00C20587" w:rsidRPr="00BB0AB4" w:rsidRDefault="00C20587" w:rsidP="00C20587">
      <w:pPr>
        <w:pStyle w:val="ListParagraph"/>
        <w:numPr>
          <w:ilvl w:val="0"/>
          <w:numId w:val="9"/>
        </w:numPr>
        <w:spacing w:after="0" w:line="240" w:lineRule="auto"/>
        <w:rPr>
          <w:noProof/>
          <w:lang w:val="en-US"/>
        </w:rPr>
      </w:pPr>
      <w:r w:rsidRPr="00BB0AB4">
        <w:rPr>
          <w:noProof/>
          <w:lang w:val="en-US"/>
        </w:rPr>
        <w:t xml:space="preserve">Where is the recognition of accounts payable stage defined in your Public Financial Management Process? </w:t>
      </w:r>
    </w:p>
    <w:p w14:paraId="40DE4492" w14:textId="77777777" w:rsidR="00C20587" w:rsidRPr="00BB0AB4" w:rsidRDefault="00C20587" w:rsidP="00C20587">
      <w:pPr>
        <w:pStyle w:val="ListParagraph"/>
        <w:numPr>
          <w:ilvl w:val="1"/>
          <w:numId w:val="9"/>
        </w:numPr>
        <w:spacing w:after="0" w:line="240" w:lineRule="auto"/>
        <w:rPr>
          <w:noProof/>
          <w:lang w:val="en-US"/>
        </w:rPr>
      </w:pPr>
      <w:r w:rsidRPr="00BB0AB4">
        <w:rPr>
          <w:noProof/>
          <w:lang w:val="en-US"/>
        </w:rPr>
        <w:t xml:space="preserve">General Financial Law/Budget Law </w:t>
      </w:r>
    </w:p>
    <w:p w14:paraId="29F95BFF" w14:textId="77777777" w:rsidR="00C20587" w:rsidRPr="00BB0AB4" w:rsidRDefault="00C20587" w:rsidP="00C20587">
      <w:pPr>
        <w:pStyle w:val="ListParagraph"/>
        <w:numPr>
          <w:ilvl w:val="1"/>
          <w:numId w:val="9"/>
        </w:numPr>
        <w:spacing w:after="0" w:line="240" w:lineRule="auto"/>
        <w:rPr>
          <w:noProof/>
          <w:lang w:val="en-US"/>
        </w:rPr>
      </w:pPr>
      <w:r w:rsidRPr="00BB0AB4">
        <w:rPr>
          <w:noProof/>
          <w:lang w:val="en-US"/>
        </w:rPr>
        <w:t>Procurement Law</w:t>
      </w:r>
    </w:p>
    <w:p w14:paraId="5E4B2000" w14:textId="77777777" w:rsidR="00C20587" w:rsidRPr="00BB0AB4" w:rsidRDefault="00C20587" w:rsidP="00C20587">
      <w:pPr>
        <w:pStyle w:val="ListParagraph"/>
        <w:numPr>
          <w:ilvl w:val="1"/>
          <w:numId w:val="9"/>
        </w:numPr>
        <w:spacing w:after="0" w:line="240" w:lineRule="auto"/>
        <w:rPr>
          <w:noProof/>
          <w:lang w:val="en-US"/>
        </w:rPr>
      </w:pPr>
      <w:r w:rsidRPr="00BB0AB4">
        <w:rPr>
          <w:noProof/>
          <w:lang w:val="en-US"/>
        </w:rPr>
        <w:t>Other – please</w:t>
      </w:r>
    </w:p>
    <w:p w14:paraId="03177C17" w14:textId="77777777" w:rsidR="00C20587" w:rsidRPr="000A342A" w:rsidRDefault="00C20587" w:rsidP="00C20587">
      <w:pPr>
        <w:pStyle w:val="ListParagraph"/>
        <w:ind w:left="360"/>
        <w:rPr>
          <w:noProof/>
          <w:lang w:val="en-US"/>
        </w:rPr>
      </w:pPr>
      <w:r w:rsidRPr="00D13983">
        <w:rPr>
          <w:noProof/>
          <w:lang w:val="en-US"/>
        </w:rPr>
        <w:t xml:space="preserve"> </w:t>
      </w:r>
    </w:p>
    <w:p w14:paraId="37003AE6" w14:textId="77777777" w:rsidR="00C20587" w:rsidRDefault="00C20587" w:rsidP="00C20587">
      <w:pPr>
        <w:pStyle w:val="ListParagraph"/>
        <w:numPr>
          <w:ilvl w:val="0"/>
          <w:numId w:val="10"/>
        </w:numPr>
        <w:spacing w:after="0" w:line="240" w:lineRule="auto"/>
        <w:rPr>
          <w:noProof/>
          <w:lang w:val="en-US"/>
        </w:rPr>
      </w:pPr>
      <w:r>
        <w:rPr>
          <w:noProof/>
          <w:lang w:val="en-US"/>
        </w:rPr>
        <w:t>Does this definition closely align with the defintion reflected in stage 3-4 above? Y/N</w:t>
      </w:r>
    </w:p>
    <w:p w14:paraId="1EE05A68" w14:textId="77777777" w:rsidR="00C20587" w:rsidRPr="00BB0AB4" w:rsidRDefault="00C20587" w:rsidP="00C20587">
      <w:pPr>
        <w:rPr>
          <w:noProof/>
          <w:lang w:val="en-US"/>
        </w:rPr>
      </w:pPr>
    </w:p>
    <w:p w14:paraId="1FF911E3" w14:textId="77777777" w:rsidR="00C20587" w:rsidRPr="00D13983" w:rsidRDefault="00C20587" w:rsidP="00C20587">
      <w:pPr>
        <w:pStyle w:val="ListParagraph"/>
        <w:numPr>
          <w:ilvl w:val="0"/>
          <w:numId w:val="10"/>
        </w:numPr>
        <w:spacing w:after="0" w:line="240" w:lineRule="auto"/>
        <w:rPr>
          <w:noProof/>
          <w:lang w:val="en-US"/>
        </w:rPr>
      </w:pPr>
      <w:r>
        <w:rPr>
          <w:noProof/>
          <w:lang w:val="en-US"/>
        </w:rPr>
        <w:t xml:space="preserve">If no, what are the key differences in your country’s definition?  </w:t>
      </w:r>
    </w:p>
    <w:p w14:paraId="312FFD98" w14:textId="77777777" w:rsidR="00C20587" w:rsidRDefault="00C20587" w:rsidP="00C20587">
      <w:pPr>
        <w:rPr>
          <w:i/>
          <w:noProof/>
          <w:lang w:val="en-US"/>
        </w:rPr>
      </w:pPr>
    </w:p>
    <w:p w14:paraId="192078AD" w14:textId="77777777" w:rsidR="00C20587" w:rsidRPr="00BB0AB4" w:rsidRDefault="00C20587" w:rsidP="00C20587">
      <w:pPr>
        <w:pStyle w:val="ListParagraph"/>
        <w:numPr>
          <w:ilvl w:val="0"/>
          <w:numId w:val="10"/>
        </w:numPr>
        <w:spacing w:after="0" w:line="240" w:lineRule="auto"/>
        <w:rPr>
          <w:noProof/>
          <w:lang w:val="en-US"/>
        </w:rPr>
      </w:pPr>
      <w:r w:rsidRPr="00BB0AB4">
        <w:rPr>
          <w:noProof/>
          <w:lang w:val="en-US"/>
        </w:rPr>
        <w:t>An accounts payable is recognised when</w:t>
      </w:r>
      <w:r>
        <w:rPr>
          <w:noProof/>
          <w:lang w:val="en-US"/>
        </w:rPr>
        <w:t>:</w:t>
      </w:r>
    </w:p>
    <w:p w14:paraId="0DC25121" w14:textId="77777777" w:rsidR="00C20587" w:rsidRDefault="00C20587" w:rsidP="00C20587">
      <w:pPr>
        <w:pStyle w:val="ListParagraph"/>
        <w:numPr>
          <w:ilvl w:val="1"/>
          <w:numId w:val="11"/>
        </w:numPr>
        <w:spacing w:after="0" w:line="240" w:lineRule="auto"/>
        <w:rPr>
          <w:noProof/>
          <w:lang w:val="en-US"/>
        </w:rPr>
      </w:pPr>
      <w:r w:rsidRPr="00BB0AB4">
        <w:rPr>
          <w:noProof/>
          <w:lang w:val="en-US"/>
        </w:rPr>
        <w:t>Goods and services are received</w:t>
      </w:r>
    </w:p>
    <w:p w14:paraId="72AF0F04" w14:textId="77777777" w:rsidR="00C20587" w:rsidRDefault="00C20587" w:rsidP="00C20587">
      <w:pPr>
        <w:pStyle w:val="ListParagraph"/>
        <w:numPr>
          <w:ilvl w:val="1"/>
          <w:numId w:val="11"/>
        </w:numPr>
        <w:spacing w:after="0" w:line="240" w:lineRule="auto"/>
        <w:rPr>
          <w:noProof/>
          <w:lang w:val="en-US"/>
        </w:rPr>
      </w:pPr>
      <w:r>
        <w:rPr>
          <w:noProof/>
          <w:lang w:val="en-US"/>
        </w:rPr>
        <w:t>A correctly rendered invoice is received</w:t>
      </w:r>
    </w:p>
    <w:p w14:paraId="40DFF6DA" w14:textId="77777777" w:rsidR="00C20587" w:rsidRDefault="00C20587" w:rsidP="00C20587">
      <w:pPr>
        <w:pStyle w:val="ListParagraph"/>
        <w:numPr>
          <w:ilvl w:val="1"/>
          <w:numId w:val="11"/>
        </w:numPr>
        <w:spacing w:after="0" w:line="240" w:lineRule="auto"/>
        <w:rPr>
          <w:noProof/>
          <w:lang w:val="en-US"/>
        </w:rPr>
      </w:pPr>
      <w:r>
        <w:rPr>
          <w:noProof/>
          <w:lang w:val="en-US"/>
        </w:rPr>
        <w:t>Both (a) and (b) above</w:t>
      </w:r>
    </w:p>
    <w:p w14:paraId="6B0DE056" w14:textId="77777777" w:rsidR="00C20587" w:rsidRDefault="00C20587" w:rsidP="00C20587">
      <w:pPr>
        <w:pStyle w:val="ListParagraph"/>
        <w:numPr>
          <w:ilvl w:val="1"/>
          <w:numId w:val="11"/>
        </w:numPr>
        <w:spacing w:after="0" w:line="240" w:lineRule="auto"/>
        <w:rPr>
          <w:noProof/>
          <w:lang w:val="en-US"/>
        </w:rPr>
      </w:pPr>
      <w:r>
        <w:rPr>
          <w:noProof/>
          <w:lang w:val="en-US"/>
        </w:rPr>
        <w:t>When a payment request is received from an MDA</w:t>
      </w:r>
    </w:p>
    <w:p w14:paraId="0E64269A" w14:textId="77777777" w:rsidR="00C20587" w:rsidRDefault="00C20587" w:rsidP="00C20587">
      <w:pPr>
        <w:pStyle w:val="ListParagraph"/>
        <w:numPr>
          <w:ilvl w:val="1"/>
          <w:numId w:val="11"/>
        </w:numPr>
        <w:spacing w:after="0" w:line="240" w:lineRule="auto"/>
        <w:rPr>
          <w:noProof/>
          <w:lang w:val="en-US"/>
        </w:rPr>
      </w:pPr>
      <w:r>
        <w:rPr>
          <w:noProof/>
          <w:lang w:val="en-US"/>
        </w:rPr>
        <w:t>When payment is made to the supplier</w:t>
      </w:r>
    </w:p>
    <w:p w14:paraId="33299007" w14:textId="77777777" w:rsidR="00C20587" w:rsidRPr="00BB0AB4" w:rsidRDefault="00C20587" w:rsidP="00C20587">
      <w:pPr>
        <w:pStyle w:val="ListParagraph"/>
        <w:numPr>
          <w:ilvl w:val="1"/>
          <w:numId w:val="11"/>
        </w:numPr>
        <w:spacing w:after="0" w:line="240" w:lineRule="auto"/>
        <w:rPr>
          <w:noProof/>
          <w:lang w:val="en-US"/>
        </w:rPr>
      </w:pPr>
      <w:r>
        <w:rPr>
          <w:noProof/>
          <w:lang w:val="en-US"/>
        </w:rPr>
        <w:t xml:space="preserve">Other, please specify </w:t>
      </w:r>
    </w:p>
    <w:p w14:paraId="5C872B37" w14:textId="77777777" w:rsidR="00C20587" w:rsidRDefault="00C20587" w:rsidP="00C20587">
      <w:pPr>
        <w:rPr>
          <w:noProof/>
          <w:lang w:val="en-US"/>
        </w:rPr>
      </w:pPr>
    </w:p>
    <w:p w14:paraId="4891D28B" w14:textId="77777777" w:rsidR="00C20587" w:rsidRDefault="00C20587" w:rsidP="00C20587">
      <w:pPr>
        <w:pStyle w:val="ListParagraph"/>
        <w:numPr>
          <w:ilvl w:val="0"/>
          <w:numId w:val="12"/>
        </w:numPr>
        <w:spacing w:after="0" w:line="240" w:lineRule="auto"/>
        <w:rPr>
          <w:noProof/>
          <w:lang w:val="en-US"/>
        </w:rPr>
      </w:pPr>
      <w:r>
        <w:rPr>
          <w:noProof/>
          <w:lang w:val="en-US"/>
        </w:rPr>
        <w:t>Accounts payable is recorded in the:</w:t>
      </w:r>
    </w:p>
    <w:p w14:paraId="1D46F81D" w14:textId="77777777" w:rsidR="00C20587" w:rsidRPr="00BE36D0" w:rsidRDefault="00C20587" w:rsidP="00C20587">
      <w:pPr>
        <w:pStyle w:val="ListParagraph"/>
        <w:numPr>
          <w:ilvl w:val="1"/>
          <w:numId w:val="13"/>
        </w:numPr>
        <w:spacing w:after="0" w:line="240" w:lineRule="auto"/>
        <w:rPr>
          <w:noProof/>
          <w:lang w:val="en-US"/>
        </w:rPr>
      </w:pPr>
      <w:r w:rsidRPr="00BE36D0">
        <w:rPr>
          <w:noProof/>
          <w:lang w:val="en-US"/>
        </w:rPr>
        <w:t xml:space="preserve">Central </w:t>
      </w:r>
      <w:r>
        <w:rPr>
          <w:noProof/>
          <w:lang w:val="en-US"/>
        </w:rPr>
        <w:t>FMIS</w:t>
      </w:r>
    </w:p>
    <w:p w14:paraId="46A92D4D" w14:textId="77777777" w:rsidR="00C20587" w:rsidRPr="00BE36D0" w:rsidRDefault="00C20587" w:rsidP="00C20587">
      <w:pPr>
        <w:pStyle w:val="ListParagraph"/>
        <w:numPr>
          <w:ilvl w:val="1"/>
          <w:numId w:val="13"/>
        </w:numPr>
        <w:spacing w:after="0" w:line="240" w:lineRule="auto"/>
        <w:rPr>
          <w:noProof/>
          <w:lang w:val="en-US"/>
        </w:rPr>
      </w:pPr>
      <w:r w:rsidRPr="00BE36D0">
        <w:rPr>
          <w:noProof/>
          <w:lang w:val="en-US"/>
        </w:rPr>
        <w:t>Procurement system/portal</w:t>
      </w:r>
    </w:p>
    <w:p w14:paraId="633BC8B9" w14:textId="77777777" w:rsidR="00C20587" w:rsidRPr="00BE36D0" w:rsidRDefault="00C20587" w:rsidP="00C20587">
      <w:pPr>
        <w:pStyle w:val="ListParagraph"/>
        <w:numPr>
          <w:ilvl w:val="1"/>
          <w:numId w:val="13"/>
        </w:numPr>
        <w:spacing w:after="0" w:line="240" w:lineRule="auto"/>
        <w:rPr>
          <w:noProof/>
          <w:lang w:val="en-US"/>
        </w:rPr>
      </w:pPr>
      <w:r w:rsidRPr="00BE36D0">
        <w:rPr>
          <w:noProof/>
          <w:lang w:val="en-US"/>
        </w:rPr>
        <w:t xml:space="preserve">In </w:t>
      </w:r>
      <w:r>
        <w:rPr>
          <w:noProof/>
          <w:lang w:val="en-US"/>
        </w:rPr>
        <w:t>MDAs</w:t>
      </w:r>
      <w:r w:rsidRPr="00BE36D0">
        <w:rPr>
          <w:noProof/>
          <w:lang w:val="en-US"/>
        </w:rPr>
        <w:t xml:space="preserve"> own accounting system</w:t>
      </w:r>
    </w:p>
    <w:p w14:paraId="079054AD" w14:textId="77777777" w:rsidR="00C20587" w:rsidRPr="00BE36D0" w:rsidRDefault="00C20587" w:rsidP="00C20587">
      <w:pPr>
        <w:pStyle w:val="ListParagraph"/>
        <w:numPr>
          <w:ilvl w:val="1"/>
          <w:numId w:val="13"/>
        </w:numPr>
        <w:spacing w:after="0" w:line="240" w:lineRule="auto"/>
        <w:rPr>
          <w:noProof/>
          <w:lang w:val="en-US"/>
        </w:rPr>
      </w:pPr>
      <w:r w:rsidRPr="00BE36D0">
        <w:rPr>
          <w:noProof/>
          <w:lang w:val="en-US"/>
        </w:rPr>
        <w:t>In a register within the MDA</w:t>
      </w:r>
    </w:p>
    <w:p w14:paraId="470D20CD" w14:textId="77777777" w:rsidR="00C20587" w:rsidRPr="00BE36D0" w:rsidRDefault="00C20587" w:rsidP="00C20587">
      <w:pPr>
        <w:pStyle w:val="ListParagraph"/>
        <w:numPr>
          <w:ilvl w:val="1"/>
          <w:numId w:val="13"/>
        </w:numPr>
        <w:spacing w:after="0" w:line="240" w:lineRule="auto"/>
        <w:rPr>
          <w:noProof/>
          <w:lang w:val="en-US"/>
        </w:rPr>
      </w:pPr>
      <w:r w:rsidRPr="00BE36D0">
        <w:rPr>
          <w:noProof/>
          <w:lang w:val="en-US"/>
        </w:rPr>
        <w:t>Other please specify</w:t>
      </w:r>
    </w:p>
    <w:p w14:paraId="5DB03BE7" w14:textId="77777777" w:rsidR="00C20587" w:rsidRPr="00191197" w:rsidRDefault="00C20587" w:rsidP="00C20587">
      <w:pPr>
        <w:rPr>
          <w:noProof/>
          <w:lang w:val="en-US"/>
        </w:rPr>
      </w:pPr>
    </w:p>
    <w:p w14:paraId="4CF6E82E" w14:textId="77777777" w:rsidR="00C20587" w:rsidRDefault="00C20587" w:rsidP="00C20587">
      <w:pPr>
        <w:rPr>
          <w:b/>
          <w:noProof/>
          <w:lang w:val="en-US"/>
        </w:rPr>
      </w:pPr>
      <w:r>
        <w:rPr>
          <w:b/>
          <w:noProof/>
          <w:lang w:val="en-US"/>
        </w:rPr>
        <w:t xml:space="preserve">Stage 6 - Due Date </w:t>
      </w:r>
    </w:p>
    <w:p w14:paraId="37360FB1" w14:textId="77777777" w:rsidR="00C20587" w:rsidRPr="00BB0AB4" w:rsidRDefault="00C20587" w:rsidP="00C20587">
      <w:pPr>
        <w:pStyle w:val="ListParagraph"/>
        <w:numPr>
          <w:ilvl w:val="0"/>
          <w:numId w:val="14"/>
        </w:numPr>
        <w:spacing w:after="0" w:line="240" w:lineRule="auto"/>
        <w:rPr>
          <w:noProof/>
          <w:lang w:val="en-US"/>
        </w:rPr>
      </w:pPr>
      <w:r>
        <w:rPr>
          <w:noProof/>
          <w:lang w:val="en-US"/>
        </w:rPr>
        <w:t xml:space="preserve"> Does your country have a definition of Due Date? Yes/No </w:t>
      </w:r>
    </w:p>
    <w:p w14:paraId="3004D11E" w14:textId="77777777" w:rsidR="00C20587" w:rsidRDefault="00C20587" w:rsidP="00C20587">
      <w:pPr>
        <w:rPr>
          <w:b/>
          <w:noProof/>
          <w:lang w:val="en-US"/>
        </w:rPr>
      </w:pPr>
    </w:p>
    <w:p w14:paraId="43D7413E" w14:textId="77777777" w:rsidR="00C20587" w:rsidRDefault="00C20587" w:rsidP="00C20587">
      <w:pPr>
        <w:rPr>
          <w:i/>
          <w:noProof/>
          <w:lang w:val="en-US"/>
        </w:rPr>
      </w:pPr>
      <w:r w:rsidRPr="00BE36D0">
        <w:rPr>
          <w:i/>
          <w:noProof/>
          <w:lang w:val="en-US"/>
        </w:rPr>
        <w:t xml:space="preserve">If Yes please answer question </w:t>
      </w:r>
      <w:r>
        <w:rPr>
          <w:i/>
          <w:noProof/>
          <w:lang w:val="en-US"/>
        </w:rPr>
        <w:t>28</w:t>
      </w:r>
      <w:r w:rsidRPr="00BE36D0">
        <w:rPr>
          <w:i/>
          <w:noProof/>
          <w:lang w:val="en-US"/>
        </w:rPr>
        <w:t xml:space="preserve"> </w:t>
      </w:r>
      <w:r>
        <w:rPr>
          <w:i/>
          <w:noProof/>
          <w:lang w:val="en-US"/>
        </w:rPr>
        <w:t xml:space="preserve">to 31, </w:t>
      </w:r>
      <w:r w:rsidRPr="00BE36D0">
        <w:rPr>
          <w:i/>
          <w:noProof/>
          <w:lang w:val="en-US"/>
        </w:rPr>
        <w:t xml:space="preserve">if no proceed to question </w:t>
      </w:r>
      <w:r>
        <w:rPr>
          <w:i/>
          <w:noProof/>
          <w:lang w:val="en-US"/>
        </w:rPr>
        <w:t>32</w:t>
      </w:r>
    </w:p>
    <w:p w14:paraId="33EEBD18" w14:textId="77777777" w:rsidR="00C20587" w:rsidRDefault="00C20587" w:rsidP="00C20587">
      <w:pPr>
        <w:rPr>
          <w:b/>
          <w:noProof/>
          <w:lang w:val="en-US"/>
        </w:rPr>
      </w:pPr>
    </w:p>
    <w:p w14:paraId="68D905D4" w14:textId="77777777" w:rsidR="00C20587" w:rsidRDefault="00C20587" w:rsidP="00C20587">
      <w:pPr>
        <w:pStyle w:val="ListParagraph"/>
        <w:numPr>
          <w:ilvl w:val="0"/>
          <w:numId w:val="15"/>
        </w:numPr>
        <w:spacing w:after="0" w:line="240" w:lineRule="auto"/>
        <w:rPr>
          <w:noProof/>
          <w:lang w:val="en-US"/>
        </w:rPr>
      </w:pPr>
      <w:r>
        <w:rPr>
          <w:noProof/>
          <w:lang w:val="en-US"/>
        </w:rPr>
        <w:t>Does this definition closely align with the defintion reflected in stage 5 above? Y/N</w:t>
      </w:r>
    </w:p>
    <w:p w14:paraId="68C17420" w14:textId="77777777" w:rsidR="00C20587" w:rsidRPr="000A342A" w:rsidRDefault="00C20587" w:rsidP="00C20587">
      <w:pPr>
        <w:rPr>
          <w:noProof/>
          <w:lang w:val="en-US"/>
        </w:rPr>
      </w:pPr>
    </w:p>
    <w:p w14:paraId="6090CEDB" w14:textId="77777777" w:rsidR="00C20587" w:rsidRDefault="00C20587" w:rsidP="00C20587">
      <w:pPr>
        <w:pStyle w:val="ListParagraph"/>
        <w:numPr>
          <w:ilvl w:val="0"/>
          <w:numId w:val="15"/>
        </w:numPr>
        <w:spacing w:after="0" w:line="240" w:lineRule="auto"/>
        <w:rPr>
          <w:noProof/>
          <w:lang w:val="en-US"/>
        </w:rPr>
      </w:pPr>
      <w:r>
        <w:rPr>
          <w:noProof/>
          <w:lang w:val="en-US"/>
        </w:rPr>
        <w:t xml:space="preserve">If no, what are the key differences in your country’s definition?  </w:t>
      </w:r>
    </w:p>
    <w:p w14:paraId="2E5CA298" w14:textId="77777777" w:rsidR="00C20587" w:rsidRPr="00AE6B1E" w:rsidRDefault="00C20587" w:rsidP="00C20587">
      <w:pPr>
        <w:rPr>
          <w:noProof/>
          <w:lang w:val="en-US"/>
        </w:rPr>
      </w:pPr>
    </w:p>
    <w:p w14:paraId="32D65E70" w14:textId="77777777" w:rsidR="00C20587" w:rsidRDefault="00C20587" w:rsidP="00C20587">
      <w:pPr>
        <w:pStyle w:val="ListParagraph"/>
        <w:numPr>
          <w:ilvl w:val="0"/>
          <w:numId w:val="15"/>
        </w:numPr>
        <w:spacing w:after="0" w:line="240" w:lineRule="auto"/>
        <w:rPr>
          <w:noProof/>
          <w:lang w:val="en-US"/>
        </w:rPr>
      </w:pPr>
      <w:r>
        <w:rPr>
          <w:noProof/>
          <w:lang w:val="en-US"/>
        </w:rPr>
        <w:t xml:space="preserve">What are your countries terms of trade or payment due date? </w:t>
      </w:r>
    </w:p>
    <w:p w14:paraId="64F1B186" w14:textId="77777777" w:rsidR="00C20587" w:rsidRPr="00AE6B1E" w:rsidRDefault="00C20587" w:rsidP="00C20587">
      <w:pPr>
        <w:rPr>
          <w:noProof/>
          <w:lang w:val="en-US"/>
        </w:rPr>
      </w:pPr>
    </w:p>
    <w:p w14:paraId="27343C6B" w14:textId="77777777" w:rsidR="00C20587" w:rsidRDefault="00C20587" w:rsidP="00C20587">
      <w:pPr>
        <w:pStyle w:val="ListParagraph"/>
        <w:numPr>
          <w:ilvl w:val="1"/>
          <w:numId w:val="15"/>
        </w:numPr>
        <w:spacing w:after="0" w:line="240" w:lineRule="auto"/>
        <w:rPr>
          <w:noProof/>
          <w:lang w:val="en-US"/>
        </w:rPr>
      </w:pPr>
      <w:r>
        <w:rPr>
          <w:noProof/>
          <w:lang w:val="en-US"/>
        </w:rPr>
        <w:t>15 days</w:t>
      </w:r>
    </w:p>
    <w:p w14:paraId="19FEAD70" w14:textId="77777777" w:rsidR="00C20587" w:rsidRDefault="00C20587" w:rsidP="00C20587">
      <w:pPr>
        <w:pStyle w:val="ListParagraph"/>
        <w:numPr>
          <w:ilvl w:val="1"/>
          <w:numId w:val="15"/>
        </w:numPr>
        <w:spacing w:after="0" w:line="240" w:lineRule="auto"/>
        <w:rPr>
          <w:noProof/>
          <w:lang w:val="en-US"/>
        </w:rPr>
      </w:pPr>
      <w:r>
        <w:rPr>
          <w:noProof/>
          <w:lang w:val="en-US"/>
        </w:rPr>
        <w:t>30 Days</w:t>
      </w:r>
    </w:p>
    <w:p w14:paraId="5A506FFC" w14:textId="77777777" w:rsidR="00C20587" w:rsidRDefault="00C20587" w:rsidP="00C20587">
      <w:pPr>
        <w:pStyle w:val="ListParagraph"/>
        <w:numPr>
          <w:ilvl w:val="1"/>
          <w:numId w:val="15"/>
        </w:numPr>
        <w:spacing w:after="0" w:line="240" w:lineRule="auto"/>
        <w:rPr>
          <w:noProof/>
          <w:lang w:val="en-US"/>
        </w:rPr>
      </w:pPr>
      <w:r>
        <w:rPr>
          <w:noProof/>
          <w:lang w:val="en-US"/>
        </w:rPr>
        <w:t>Other  please specify</w:t>
      </w:r>
    </w:p>
    <w:p w14:paraId="5AE50FA1" w14:textId="77777777" w:rsidR="00C20587" w:rsidRDefault="00C20587" w:rsidP="00C20587">
      <w:pPr>
        <w:pStyle w:val="ListParagraph"/>
        <w:ind w:left="1440"/>
        <w:rPr>
          <w:noProof/>
          <w:lang w:val="en-US"/>
        </w:rPr>
      </w:pPr>
    </w:p>
    <w:p w14:paraId="209581B6" w14:textId="77777777" w:rsidR="00C20587" w:rsidRDefault="00C20587" w:rsidP="00C20587">
      <w:pPr>
        <w:pStyle w:val="ListParagraph"/>
        <w:numPr>
          <w:ilvl w:val="0"/>
          <w:numId w:val="15"/>
        </w:numPr>
        <w:spacing w:after="0" w:line="240" w:lineRule="auto"/>
        <w:rPr>
          <w:noProof/>
          <w:lang w:val="en-US"/>
        </w:rPr>
      </w:pPr>
      <w:r>
        <w:rPr>
          <w:noProof/>
          <w:lang w:val="en-US"/>
        </w:rPr>
        <w:t>Can the payment due date be varied? Yes/ No</w:t>
      </w:r>
    </w:p>
    <w:p w14:paraId="229DDE03" w14:textId="77777777" w:rsidR="00C20587" w:rsidRPr="00AE6B1E" w:rsidRDefault="00C20587" w:rsidP="00C20587">
      <w:pPr>
        <w:rPr>
          <w:noProof/>
          <w:lang w:val="en-US"/>
        </w:rPr>
      </w:pPr>
    </w:p>
    <w:p w14:paraId="1D5AEA17" w14:textId="77777777" w:rsidR="00C20587" w:rsidRDefault="00C20587" w:rsidP="00C20587">
      <w:pPr>
        <w:pStyle w:val="ListParagraph"/>
        <w:numPr>
          <w:ilvl w:val="0"/>
          <w:numId w:val="15"/>
        </w:numPr>
        <w:spacing w:after="0" w:line="240" w:lineRule="auto"/>
        <w:rPr>
          <w:noProof/>
          <w:lang w:val="en-US"/>
        </w:rPr>
      </w:pPr>
      <w:r>
        <w:rPr>
          <w:noProof/>
          <w:lang w:val="en-US"/>
        </w:rPr>
        <w:t>If yes the reasons for variation are:</w:t>
      </w:r>
    </w:p>
    <w:p w14:paraId="43D33565" w14:textId="77777777" w:rsidR="00C20587" w:rsidRPr="00AE6B1E" w:rsidRDefault="00C20587" w:rsidP="00C20587">
      <w:pPr>
        <w:rPr>
          <w:noProof/>
          <w:lang w:val="en-US"/>
        </w:rPr>
      </w:pPr>
    </w:p>
    <w:p w14:paraId="18B430A5" w14:textId="77777777" w:rsidR="00C20587" w:rsidRDefault="00C20587" w:rsidP="00C20587">
      <w:pPr>
        <w:pStyle w:val="ListParagraph"/>
        <w:numPr>
          <w:ilvl w:val="1"/>
          <w:numId w:val="15"/>
        </w:numPr>
        <w:spacing w:after="0" w:line="240" w:lineRule="auto"/>
        <w:rPr>
          <w:noProof/>
          <w:lang w:val="en-US"/>
        </w:rPr>
      </w:pPr>
      <w:r>
        <w:rPr>
          <w:noProof/>
          <w:lang w:val="en-US"/>
        </w:rPr>
        <w:t>Discount from supplier Y/N</w:t>
      </w:r>
    </w:p>
    <w:p w14:paraId="53BAF252" w14:textId="77777777" w:rsidR="00C20587" w:rsidRDefault="00C20587" w:rsidP="00C20587">
      <w:pPr>
        <w:pStyle w:val="ListParagraph"/>
        <w:numPr>
          <w:ilvl w:val="1"/>
          <w:numId w:val="15"/>
        </w:numPr>
        <w:spacing w:after="0" w:line="240" w:lineRule="auto"/>
        <w:rPr>
          <w:noProof/>
          <w:lang w:val="en-US"/>
        </w:rPr>
      </w:pPr>
      <w:r>
        <w:rPr>
          <w:noProof/>
          <w:lang w:val="en-US"/>
        </w:rPr>
        <w:t>Defined in the contract Y/N</w:t>
      </w:r>
    </w:p>
    <w:p w14:paraId="45EF1F76" w14:textId="77777777" w:rsidR="00C20587" w:rsidRDefault="00C20587" w:rsidP="00C20587">
      <w:pPr>
        <w:pStyle w:val="ListParagraph"/>
        <w:numPr>
          <w:ilvl w:val="1"/>
          <w:numId w:val="15"/>
        </w:numPr>
        <w:spacing w:after="0" w:line="240" w:lineRule="auto"/>
        <w:rPr>
          <w:noProof/>
          <w:lang w:val="en-US"/>
        </w:rPr>
      </w:pPr>
      <w:r>
        <w:rPr>
          <w:noProof/>
          <w:lang w:val="en-US"/>
        </w:rPr>
        <w:t>Insufficient funds  Y/N</w:t>
      </w:r>
    </w:p>
    <w:p w14:paraId="0196CC62" w14:textId="77777777" w:rsidR="00C20587" w:rsidRDefault="00C20587" w:rsidP="00C20587">
      <w:pPr>
        <w:pStyle w:val="ListParagraph"/>
        <w:numPr>
          <w:ilvl w:val="1"/>
          <w:numId w:val="15"/>
        </w:numPr>
        <w:spacing w:after="0" w:line="240" w:lineRule="auto"/>
        <w:rPr>
          <w:noProof/>
          <w:lang w:val="en-US"/>
        </w:rPr>
      </w:pPr>
      <w:r>
        <w:rPr>
          <w:noProof/>
          <w:lang w:val="en-US"/>
        </w:rPr>
        <w:t>At discretion of MDA Y/N</w:t>
      </w:r>
    </w:p>
    <w:p w14:paraId="112B8F44" w14:textId="77777777" w:rsidR="00C20587" w:rsidRDefault="00C20587" w:rsidP="00C20587">
      <w:pPr>
        <w:pStyle w:val="ListParagraph"/>
        <w:numPr>
          <w:ilvl w:val="1"/>
          <w:numId w:val="15"/>
        </w:numPr>
        <w:spacing w:after="0" w:line="240" w:lineRule="auto"/>
        <w:rPr>
          <w:noProof/>
          <w:lang w:val="en-US"/>
        </w:rPr>
      </w:pPr>
      <w:r>
        <w:rPr>
          <w:noProof/>
          <w:lang w:val="en-US"/>
        </w:rPr>
        <w:t>At discretion of Treasury  Y/N</w:t>
      </w:r>
    </w:p>
    <w:p w14:paraId="4F23D801" w14:textId="77777777" w:rsidR="00C20587" w:rsidRPr="006002E8" w:rsidRDefault="00C20587" w:rsidP="00C20587">
      <w:pPr>
        <w:pStyle w:val="ListParagraph"/>
        <w:numPr>
          <w:ilvl w:val="1"/>
          <w:numId w:val="15"/>
        </w:numPr>
        <w:spacing w:after="0" w:line="240" w:lineRule="auto"/>
        <w:rPr>
          <w:noProof/>
          <w:lang w:val="en-US"/>
        </w:rPr>
      </w:pPr>
      <w:r>
        <w:rPr>
          <w:noProof/>
          <w:lang w:val="en-US"/>
        </w:rPr>
        <w:t>Other please specify</w:t>
      </w:r>
    </w:p>
    <w:p w14:paraId="2D227B77" w14:textId="77777777" w:rsidR="00C20587" w:rsidRPr="00AE6B1E" w:rsidRDefault="00C20587" w:rsidP="00C20587">
      <w:pPr>
        <w:rPr>
          <w:b/>
          <w:noProof/>
          <w:lang w:val="en-US"/>
        </w:rPr>
      </w:pPr>
    </w:p>
    <w:p w14:paraId="1EE73EFA" w14:textId="77777777" w:rsidR="00C20587" w:rsidRDefault="00C20587" w:rsidP="00C20587">
      <w:pPr>
        <w:rPr>
          <w:b/>
          <w:noProof/>
          <w:lang w:val="en-US"/>
        </w:rPr>
      </w:pPr>
    </w:p>
    <w:p w14:paraId="2867BFE2" w14:textId="77777777" w:rsidR="00C20587" w:rsidRPr="00C20587" w:rsidRDefault="00C20587" w:rsidP="00C20587">
      <w:pPr>
        <w:rPr>
          <w:b/>
          <w:noProof/>
          <w:lang w:val="en-US"/>
        </w:rPr>
      </w:pPr>
      <w:r>
        <w:rPr>
          <w:b/>
          <w:noProof/>
          <w:lang w:val="en-US"/>
        </w:rPr>
        <w:t xml:space="preserve">Stage 7 - Arrears </w:t>
      </w:r>
    </w:p>
    <w:p w14:paraId="2F390A62" w14:textId="77777777" w:rsidR="00C20587" w:rsidRDefault="00C20587" w:rsidP="00C20587">
      <w:pPr>
        <w:pStyle w:val="ListParagraph"/>
        <w:numPr>
          <w:ilvl w:val="0"/>
          <w:numId w:val="20"/>
        </w:numPr>
        <w:spacing w:after="0" w:line="240" w:lineRule="auto"/>
        <w:rPr>
          <w:noProof/>
          <w:lang w:val="en-US"/>
        </w:rPr>
      </w:pPr>
      <w:r>
        <w:rPr>
          <w:noProof/>
          <w:lang w:val="en-US"/>
        </w:rPr>
        <w:t>Does your country define budgetary expenditure arrears? Yes/No</w:t>
      </w:r>
    </w:p>
    <w:p w14:paraId="3A501DCE" w14:textId="77777777" w:rsidR="00C20587" w:rsidRDefault="00C20587" w:rsidP="00C20587">
      <w:pPr>
        <w:pStyle w:val="ListParagraph"/>
        <w:ind w:left="360"/>
        <w:rPr>
          <w:noProof/>
          <w:lang w:val="en-US"/>
        </w:rPr>
      </w:pPr>
    </w:p>
    <w:p w14:paraId="2E943743" w14:textId="77777777" w:rsidR="00C20587" w:rsidRDefault="00C20587" w:rsidP="00C20587">
      <w:pPr>
        <w:pStyle w:val="ListParagraph"/>
        <w:numPr>
          <w:ilvl w:val="0"/>
          <w:numId w:val="21"/>
        </w:numPr>
        <w:spacing w:after="0" w:line="240" w:lineRule="auto"/>
        <w:rPr>
          <w:noProof/>
          <w:lang w:val="en-US"/>
        </w:rPr>
      </w:pPr>
      <w:r w:rsidRPr="000A342A">
        <w:rPr>
          <w:noProof/>
          <w:lang w:val="en-US"/>
        </w:rPr>
        <w:t xml:space="preserve">Where </w:t>
      </w:r>
      <w:r>
        <w:rPr>
          <w:noProof/>
          <w:lang w:val="en-US"/>
        </w:rPr>
        <w:t>are arrears</w:t>
      </w:r>
      <w:r w:rsidRPr="000A342A">
        <w:rPr>
          <w:noProof/>
          <w:lang w:val="en-US"/>
        </w:rPr>
        <w:t xml:space="preserve"> defined in your Public Financial Management Process? </w:t>
      </w:r>
    </w:p>
    <w:p w14:paraId="0718CD80" w14:textId="77777777" w:rsidR="00C20587" w:rsidRPr="00D13983" w:rsidRDefault="00C20587" w:rsidP="00C20587">
      <w:pPr>
        <w:pStyle w:val="ListParagraph"/>
        <w:numPr>
          <w:ilvl w:val="1"/>
          <w:numId w:val="5"/>
        </w:numPr>
        <w:spacing w:after="0" w:line="240" w:lineRule="auto"/>
        <w:rPr>
          <w:noProof/>
          <w:lang w:val="en-US"/>
        </w:rPr>
      </w:pPr>
      <w:r>
        <w:rPr>
          <w:noProof/>
          <w:lang w:val="en-US"/>
        </w:rPr>
        <w:t xml:space="preserve">General Financial Law/Budget Law </w:t>
      </w:r>
    </w:p>
    <w:p w14:paraId="5D9057E7" w14:textId="77777777" w:rsidR="00C20587" w:rsidRDefault="00C20587" w:rsidP="00C20587">
      <w:pPr>
        <w:pStyle w:val="ListParagraph"/>
        <w:numPr>
          <w:ilvl w:val="1"/>
          <w:numId w:val="5"/>
        </w:numPr>
        <w:spacing w:after="0" w:line="240" w:lineRule="auto"/>
        <w:rPr>
          <w:noProof/>
          <w:lang w:val="en-US"/>
        </w:rPr>
      </w:pPr>
      <w:r>
        <w:rPr>
          <w:noProof/>
          <w:lang w:val="en-US"/>
        </w:rPr>
        <w:t>Procurement Law</w:t>
      </w:r>
    </w:p>
    <w:p w14:paraId="05891FCC" w14:textId="77777777" w:rsidR="00C20587" w:rsidRPr="000A342A" w:rsidRDefault="00C20587" w:rsidP="00C20587">
      <w:pPr>
        <w:pStyle w:val="ListParagraph"/>
        <w:numPr>
          <w:ilvl w:val="1"/>
          <w:numId w:val="5"/>
        </w:numPr>
        <w:spacing w:after="0" w:line="240" w:lineRule="auto"/>
        <w:rPr>
          <w:noProof/>
          <w:lang w:val="en-US"/>
        </w:rPr>
      </w:pPr>
      <w:r w:rsidRPr="00D13983">
        <w:rPr>
          <w:noProof/>
          <w:lang w:val="en-US"/>
        </w:rPr>
        <w:t>Other – please</w:t>
      </w:r>
    </w:p>
    <w:p w14:paraId="789597A4" w14:textId="77777777" w:rsidR="00C20587" w:rsidRPr="000A342A" w:rsidRDefault="00C20587" w:rsidP="00C20587">
      <w:pPr>
        <w:pStyle w:val="ListParagraph"/>
        <w:ind w:left="360" w:firstLine="60"/>
        <w:rPr>
          <w:noProof/>
          <w:lang w:val="en-US"/>
        </w:rPr>
      </w:pPr>
    </w:p>
    <w:p w14:paraId="1DE77A2C" w14:textId="77777777" w:rsidR="00C20587" w:rsidRDefault="00C20587" w:rsidP="00C20587">
      <w:pPr>
        <w:pStyle w:val="ListParagraph"/>
        <w:numPr>
          <w:ilvl w:val="0"/>
          <w:numId w:val="22"/>
        </w:numPr>
        <w:spacing w:after="0" w:line="240" w:lineRule="auto"/>
        <w:rPr>
          <w:noProof/>
          <w:lang w:val="en-US"/>
        </w:rPr>
      </w:pPr>
      <w:r>
        <w:rPr>
          <w:noProof/>
          <w:lang w:val="en-US"/>
        </w:rPr>
        <w:t>Does this definition closely align with the defintion reflected in stage 7 above? Y/N</w:t>
      </w:r>
    </w:p>
    <w:p w14:paraId="5446ACBF" w14:textId="77777777" w:rsidR="00C20587" w:rsidRPr="000A342A" w:rsidRDefault="00C20587" w:rsidP="00C20587">
      <w:pPr>
        <w:rPr>
          <w:noProof/>
          <w:lang w:val="en-US"/>
        </w:rPr>
      </w:pPr>
    </w:p>
    <w:p w14:paraId="365DEF28" w14:textId="77777777" w:rsidR="00C20587" w:rsidRPr="00D13983" w:rsidRDefault="00C20587" w:rsidP="00C20587">
      <w:pPr>
        <w:pStyle w:val="ListParagraph"/>
        <w:numPr>
          <w:ilvl w:val="0"/>
          <w:numId w:val="22"/>
        </w:numPr>
        <w:spacing w:after="0" w:line="240" w:lineRule="auto"/>
        <w:rPr>
          <w:noProof/>
          <w:lang w:val="en-US"/>
        </w:rPr>
      </w:pPr>
      <w:r>
        <w:rPr>
          <w:noProof/>
          <w:lang w:val="en-US"/>
        </w:rPr>
        <w:t xml:space="preserve">If no, what are the key differences in your country’s definition?  </w:t>
      </w:r>
    </w:p>
    <w:p w14:paraId="4CACAE38" w14:textId="77777777" w:rsidR="00C20587" w:rsidRPr="00D13983" w:rsidRDefault="00C20587" w:rsidP="00C20587">
      <w:pPr>
        <w:rPr>
          <w:noProof/>
          <w:lang w:val="en-US"/>
        </w:rPr>
      </w:pPr>
    </w:p>
    <w:p w14:paraId="17A46846" w14:textId="77777777" w:rsidR="00C20587" w:rsidRPr="000A342A" w:rsidRDefault="00C20587" w:rsidP="00C20587">
      <w:pPr>
        <w:rPr>
          <w:noProof/>
          <w:lang w:val="en-US"/>
        </w:rPr>
      </w:pPr>
    </w:p>
    <w:p w14:paraId="1940F550" w14:textId="77777777" w:rsidR="00C20587" w:rsidRDefault="00C20587" w:rsidP="00C20587">
      <w:pPr>
        <w:pStyle w:val="ListParagraph"/>
        <w:numPr>
          <w:ilvl w:val="0"/>
          <w:numId w:val="22"/>
        </w:numPr>
        <w:spacing w:after="0" w:line="240" w:lineRule="auto"/>
        <w:rPr>
          <w:noProof/>
          <w:lang w:val="en-US"/>
        </w:rPr>
      </w:pPr>
      <w:r w:rsidRPr="00BE36D0">
        <w:rPr>
          <w:noProof/>
          <w:lang w:val="en-US"/>
        </w:rPr>
        <w:t xml:space="preserve">Does your country </w:t>
      </w:r>
      <w:r>
        <w:rPr>
          <w:noProof/>
          <w:lang w:val="en-US"/>
        </w:rPr>
        <w:t>report arrears (please indicate all of the options that apply in your country):</w:t>
      </w:r>
    </w:p>
    <w:p w14:paraId="6C0FB429" w14:textId="77777777" w:rsidR="00C20587" w:rsidRDefault="00C20587" w:rsidP="00C20587">
      <w:pPr>
        <w:pStyle w:val="ListParagraph"/>
        <w:numPr>
          <w:ilvl w:val="1"/>
          <w:numId w:val="23"/>
        </w:numPr>
        <w:spacing w:after="0" w:line="240" w:lineRule="auto"/>
        <w:rPr>
          <w:noProof/>
          <w:lang w:val="en-US"/>
        </w:rPr>
      </w:pPr>
      <w:r>
        <w:rPr>
          <w:noProof/>
          <w:lang w:val="en-US"/>
        </w:rPr>
        <w:t>On the financial statements as accounts payable</w:t>
      </w:r>
    </w:p>
    <w:p w14:paraId="317F6848" w14:textId="77777777" w:rsidR="00C20587" w:rsidRDefault="00C20587" w:rsidP="00C20587">
      <w:pPr>
        <w:pStyle w:val="ListParagraph"/>
        <w:numPr>
          <w:ilvl w:val="1"/>
          <w:numId w:val="23"/>
        </w:numPr>
        <w:spacing w:after="0" w:line="240" w:lineRule="auto"/>
        <w:rPr>
          <w:noProof/>
          <w:lang w:val="en-US"/>
        </w:rPr>
      </w:pPr>
      <w:r>
        <w:rPr>
          <w:noProof/>
          <w:lang w:val="en-US"/>
        </w:rPr>
        <w:t>In the notes to financial statements as accounts payable</w:t>
      </w:r>
    </w:p>
    <w:p w14:paraId="7FD04E78" w14:textId="77777777" w:rsidR="00C20587" w:rsidRDefault="00C20587" w:rsidP="00C20587">
      <w:pPr>
        <w:pStyle w:val="ListParagraph"/>
        <w:numPr>
          <w:ilvl w:val="1"/>
          <w:numId w:val="23"/>
        </w:numPr>
        <w:spacing w:after="0" w:line="240" w:lineRule="auto"/>
        <w:rPr>
          <w:noProof/>
          <w:lang w:val="en-US"/>
        </w:rPr>
      </w:pPr>
      <w:r>
        <w:rPr>
          <w:noProof/>
          <w:lang w:val="en-US"/>
        </w:rPr>
        <w:t>Quarterly reports on budget execution</w:t>
      </w:r>
    </w:p>
    <w:p w14:paraId="755F5A43" w14:textId="77777777" w:rsidR="00C20587" w:rsidRDefault="00C20587" w:rsidP="00C20587">
      <w:pPr>
        <w:pStyle w:val="ListParagraph"/>
        <w:numPr>
          <w:ilvl w:val="1"/>
          <w:numId w:val="23"/>
        </w:numPr>
        <w:spacing w:after="0" w:line="240" w:lineRule="auto"/>
        <w:rPr>
          <w:noProof/>
          <w:lang w:val="en-US"/>
        </w:rPr>
      </w:pPr>
      <w:r>
        <w:rPr>
          <w:noProof/>
          <w:lang w:val="en-US"/>
        </w:rPr>
        <w:t>Monthly Reports on budget execution</w:t>
      </w:r>
    </w:p>
    <w:p w14:paraId="6616A22A" w14:textId="77777777" w:rsidR="00C20587" w:rsidRDefault="00C20587" w:rsidP="00C20587">
      <w:pPr>
        <w:pStyle w:val="ListParagraph"/>
        <w:numPr>
          <w:ilvl w:val="1"/>
          <w:numId w:val="23"/>
        </w:numPr>
        <w:spacing w:after="0" w:line="240" w:lineRule="auto"/>
        <w:rPr>
          <w:noProof/>
          <w:lang w:val="en-US"/>
        </w:rPr>
      </w:pPr>
      <w:r>
        <w:rPr>
          <w:noProof/>
          <w:lang w:val="en-US"/>
        </w:rPr>
        <w:t xml:space="preserve">We do not report arrears </w:t>
      </w:r>
    </w:p>
    <w:p w14:paraId="0D581FC5" w14:textId="77777777" w:rsidR="00C20587" w:rsidRDefault="00C20587" w:rsidP="00C20587">
      <w:pPr>
        <w:pStyle w:val="ListParagraph"/>
        <w:numPr>
          <w:ilvl w:val="1"/>
          <w:numId w:val="23"/>
        </w:numPr>
        <w:spacing w:after="0" w:line="240" w:lineRule="auto"/>
        <w:rPr>
          <w:noProof/>
          <w:lang w:val="en-US"/>
        </w:rPr>
      </w:pPr>
      <w:r>
        <w:rPr>
          <w:noProof/>
          <w:lang w:val="en-US"/>
        </w:rPr>
        <w:t>Other please specify</w:t>
      </w:r>
    </w:p>
    <w:p w14:paraId="08C77B5F" w14:textId="77777777" w:rsidR="00C20587" w:rsidRPr="00DE6078" w:rsidRDefault="00C20587" w:rsidP="00C20587">
      <w:pPr>
        <w:pStyle w:val="ListParagraph"/>
        <w:ind w:left="1440"/>
        <w:rPr>
          <w:noProof/>
          <w:lang w:val="en-US"/>
        </w:rPr>
      </w:pPr>
    </w:p>
    <w:p w14:paraId="67D4A4D4" w14:textId="77777777" w:rsidR="00C20587" w:rsidRPr="00191197" w:rsidRDefault="00C20587" w:rsidP="00C20587">
      <w:pPr>
        <w:rPr>
          <w:noProof/>
          <w:lang w:val="en-US"/>
        </w:rPr>
      </w:pPr>
    </w:p>
    <w:p w14:paraId="63C4577E" w14:textId="77777777" w:rsidR="00C20587" w:rsidRDefault="00C20587" w:rsidP="00C20587">
      <w:pPr>
        <w:pStyle w:val="ListParagraph"/>
        <w:numPr>
          <w:ilvl w:val="0"/>
          <w:numId w:val="16"/>
        </w:numPr>
        <w:spacing w:after="0" w:line="240" w:lineRule="auto"/>
        <w:rPr>
          <w:noProof/>
          <w:lang w:val="en-US"/>
        </w:rPr>
      </w:pPr>
      <w:r>
        <w:rPr>
          <w:noProof/>
          <w:lang w:val="en-US"/>
        </w:rPr>
        <w:t>Are suppliers entitled to compensation where payments are delayed? Y/N</w:t>
      </w:r>
    </w:p>
    <w:p w14:paraId="7E5D6DFD" w14:textId="77777777" w:rsidR="00C20587" w:rsidRDefault="00C20587" w:rsidP="00C20587">
      <w:pPr>
        <w:pStyle w:val="ListParagraph"/>
        <w:numPr>
          <w:ilvl w:val="0"/>
          <w:numId w:val="16"/>
        </w:numPr>
        <w:spacing w:after="0" w:line="240" w:lineRule="auto"/>
        <w:rPr>
          <w:noProof/>
          <w:lang w:val="en-US"/>
        </w:rPr>
      </w:pPr>
      <w:r>
        <w:rPr>
          <w:noProof/>
          <w:lang w:val="en-US"/>
        </w:rPr>
        <w:t>If yes please specify the way the compensation is determined</w:t>
      </w:r>
    </w:p>
    <w:p w14:paraId="61516E5B" w14:textId="77777777" w:rsidR="00C20587" w:rsidRDefault="00C20587" w:rsidP="00C20587">
      <w:pPr>
        <w:pStyle w:val="ListParagraph"/>
        <w:numPr>
          <w:ilvl w:val="0"/>
          <w:numId w:val="16"/>
        </w:numPr>
        <w:spacing w:after="0" w:line="240" w:lineRule="auto"/>
        <w:rPr>
          <w:noProof/>
          <w:lang w:val="en-US"/>
        </w:rPr>
      </w:pPr>
      <w:r>
        <w:rPr>
          <w:noProof/>
          <w:lang w:val="en-US"/>
        </w:rPr>
        <w:t xml:space="preserve"> Does your country currently, or in the past, have a strategy for systematically reducing budget arrears Y/N  </w:t>
      </w:r>
    </w:p>
    <w:p w14:paraId="0C03852F" w14:textId="77777777" w:rsidR="00C20587" w:rsidRPr="00DE6078" w:rsidRDefault="00C20587" w:rsidP="00C20587">
      <w:pPr>
        <w:pStyle w:val="ListParagraph"/>
        <w:numPr>
          <w:ilvl w:val="0"/>
          <w:numId w:val="16"/>
        </w:numPr>
        <w:spacing w:after="0" w:line="240" w:lineRule="auto"/>
        <w:rPr>
          <w:noProof/>
          <w:lang w:val="en-US"/>
        </w:rPr>
      </w:pPr>
      <w:r>
        <w:rPr>
          <w:noProof/>
          <w:lang w:val="en-US"/>
        </w:rPr>
        <w:t xml:space="preserve">If yes please provide a brief summary of this process   </w:t>
      </w:r>
    </w:p>
    <w:p w14:paraId="7E1913AB" w14:textId="77777777" w:rsidR="00C20587" w:rsidRPr="00C20587" w:rsidRDefault="00C20587" w:rsidP="00C20587">
      <w:pPr>
        <w:jc w:val="center"/>
        <w:rPr>
          <w:b/>
          <w:color w:val="4F81BD" w:themeColor="accent1"/>
          <w:sz w:val="28"/>
          <w:szCs w:val="28"/>
        </w:rPr>
      </w:pPr>
    </w:p>
    <w:sectPr w:rsidR="00C20587" w:rsidRPr="00C20587" w:rsidSect="00131F9B">
      <w:pgSz w:w="11900" w:h="16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06FFD" w14:textId="77777777" w:rsidR="00A7528C" w:rsidRDefault="00A7528C" w:rsidP="001015CF">
      <w:pPr>
        <w:spacing w:after="0" w:line="240" w:lineRule="auto"/>
      </w:pPr>
      <w:r>
        <w:separator/>
      </w:r>
    </w:p>
  </w:endnote>
  <w:endnote w:type="continuationSeparator" w:id="0">
    <w:p w14:paraId="34EBBDD4" w14:textId="77777777" w:rsidR="00A7528C" w:rsidRDefault="00A7528C" w:rsidP="0010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Times New Roman"/>
    <w:charset w:val="00"/>
    <w:family w:val="auto"/>
    <w:pitch w:val="variable"/>
    <w:sig w:usb0="E1000AEF" w:usb1="5000A1FF" w:usb2="00000000" w:usb3="00000000" w:csb0="000001BF"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59032" w14:textId="77777777" w:rsidR="00A7528C" w:rsidRDefault="00A7528C" w:rsidP="001015CF">
      <w:pPr>
        <w:spacing w:after="0" w:line="240" w:lineRule="auto"/>
      </w:pPr>
      <w:r>
        <w:separator/>
      </w:r>
    </w:p>
  </w:footnote>
  <w:footnote w:type="continuationSeparator" w:id="0">
    <w:p w14:paraId="56DED046" w14:textId="77777777" w:rsidR="00A7528C" w:rsidRDefault="00A7528C" w:rsidP="001015CF">
      <w:pPr>
        <w:spacing w:after="0" w:line="240" w:lineRule="auto"/>
      </w:pPr>
      <w:r>
        <w:continuationSeparator/>
      </w:r>
    </w:p>
  </w:footnote>
  <w:footnote w:id="1">
    <w:p w14:paraId="056797EF" w14:textId="511EB11F" w:rsidR="007A34A5" w:rsidRPr="007A34A5" w:rsidRDefault="007A34A5">
      <w:pPr>
        <w:pStyle w:val="FootnoteText"/>
      </w:pPr>
      <w:r>
        <w:rPr>
          <w:rStyle w:val="FootnoteReference"/>
        </w:rPr>
        <w:footnoteRef/>
      </w:r>
      <w:r>
        <w:t xml:space="preserve"> Albania, Azerbaijan, Belarus, Croatia, Georgia, Kazakhstan, Kyrgyzstan, Montenegro, Moldova, Russian Federation, Tajikistan, Turkey, Ukraine</w:t>
      </w:r>
    </w:p>
  </w:footnote>
  <w:footnote w:id="2">
    <w:p w14:paraId="3900886F" w14:textId="77777777" w:rsidR="00B84C20" w:rsidRPr="00545837" w:rsidRDefault="00B84C20" w:rsidP="00697BE4">
      <w:pPr>
        <w:spacing w:before="240" w:line="360" w:lineRule="auto"/>
        <w:rPr>
          <w:rFonts w:ascii="Times New Roman" w:hAnsi="Times New Roman" w:cs="Times New Roman"/>
          <w:sz w:val="16"/>
          <w:szCs w:val="16"/>
          <w:lang w:val="en-US"/>
        </w:rPr>
      </w:pPr>
      <w:r w:rsidRPr="00545837">
        <w:rPr>
          <w:rStyle w:val="FootnoteReference"/>
          <w:rFonts w:ascii="Times New Roman" w:hAnsi="Times New Roman" w:cs="Times New Roman"/>
          <w:sz w:val="16"/>
          <w:szCs w:val="16"/>
        </w:rPr>
        <w:footnoteRef/>
      </w:r>
      <w:r w:rsidRPr="00545837">
        <w:rPr>
          <w:rFonts w:ascii="Times New Roman" w:hAnsi="Times New Roman" w:cs="Times New Roman"/>
          <w:sz w:val="16"/>
          <w:szCs w:val="16"/>
        </w:rPr>
        <w:t xml:space="preserve"> </w:t>
      </w:r>
      <w:r w:rsidRPr="00545837">
        <w:rPr>
          <w:rFonts w:ascii="Times New Roman" w:hAnsi="Times New Roman" w:cs="Times New Roman"/>
          <w:sz w:val="16"/>
          <w:szCs w:val="16"/>
          <w:lang w:val="en-US"/>
        </w:rPr>
        <w:t xml:space="preserve">Link to online version of the survey - BCS - </w:t>
      </w:r>
      <w:hyperlink r:id="rId1" w:history="1">
        <w:r w:rsidRPr="00545837">
          <w:rPr>
            <w:rFonts w:ascii="Times New Roman" w:hAnsi="Times New Roman" w:cs="Times New Roman"/>
            <w:sz w:val="16"/>
            <w:szCs w:val="16"/>
            <w:lang w:val="en-US"/>
          </w:rPr>
          <w:t xml:space="preserve"> English - </w:t>
        </w:r>
        <w:hyperlink r:id="rId2" w:history="1">
          <w:r w:rsidRPr="00545837">
            <w:rPr>
              <w:rStyle w:val="Hyperlink"/>
              <w:rFonts w:ascii="Times New Roman" w:hAnsi="Times New Roman" w:cs="Times New Roman"/>
              <w:sz w:val="16"/>
              <w:szCs w:val="16"/>
              <w:lang w:val="en-US"/>
            </w:rPr>
            <w:t>https://ru.surveymonkey.com/r/JD7JTQT</w:t>
          </w:r>
        </w:hyperlink>
        <w:r w:rsidRPr="00545837">
          <w:rPr>
            <w:rStyle w:val="Hyperlink"/>
            <w:rFonts w:ascii="Times New Roman" w:hAnsi="Times New Roman" w:cs="Times New Roman"/>
            <w:sz w:val="16"/>
            <w:szCs w:val="16"/>
            <w:lang w:val="en-US"/>
          </w:rPr>
          <w:t xml:space="preserve">; </w:t>
        </w:r>
        <w:r w:rsidRPr="00545837">
          <w:rPr>
            <w:rFonts w:ascii="Times New Roman" w:hAnsi="Times New Roman" w:cs="Times New Roman"/>
            <w:sz w:val="16"/>
            <w:szCs w:val="16"/>
            <w:lang w:val="en-US"/>
          </w:rPr>
          <w:t xml:space="preserve">Russian - </w:t>
        </w:r>
        <w:hyperlink r:id="rId3" w:history="1">
          <w:r w:rsidRPr="00545837">
            <w:rPr>
              <w:rStyle w:val="Hyperlink"/>
              <w:rFonts w:ascii="Times New Roman" w:hAnsi="Times New Roman" w:cs="Times New Roman"/>
              <w:sz w:val="16"/>
              <w:szCs w:val="16"/>
              <w:lang w:val="en-US"/>
            </w:rPr>
            <w:t>https://ru.surveymonkey.com/r/SS7858H</w:t>
          </w:r>
        </w:hyperlink>
        <w:r w:rsidRPr="00545837">
          <w:rPr>
            <w:rFonts w:ascii="Times New Roman" w:hAnsi="Times New Roman" w:cs="Times New Roman"/>
            <w:sz w:val="16"/>
            <w:szCs w:val="16"/>
            <w:lang w:val="en-US"/>
          </w:rPr>
          <w:t xml:space="preserve"> ;</w:t>
        </w:r>
        <w:r w:rsidRPr="00545837">
          <w:rPr>
            <w:rStyle w:val="Hyperlink"/>
            <w:rFonts w:ascii="Times New Roman" w:hAnsi="Times New Roman" w:cs="Times New Roman"/>
            <w:sz w:val="16"/>
            <w:szCs w:val="16"/>
            <w:lang w:val="en-US"/>
          </w:rPr>
          <w:t>https://ru.surveymonkey.com/r/23YX6VWS</w:t>
        </w:r>
      </w:hyperlink>
    </w:p>
  </w:footnote>
  <w:footnote w:id="3">
    <w:p w14:paraId="647ECD9C" w14:textId="77777777" w:rsidR="00B84C20" w:rsidRPr="00545837" w:rsidRDefault="00B84C20" w:rsidP="00697BE4">
      <w:pPr>
        <w:spacing w:before="240" w:line="360" w:lineRule="auto"/>
        <w:rPr>
          <w:rFonts w:ascii="Times New Roman" w:hAnsi="Times New Roman" w:cs="Times New Roman"/>
          <w:sz w:val="16"/>
          <w:szCs w:val="16"/>
          <w:lang w:val="en-US"/>
        </w:rPr>
      </w:pPr>
      <w:r w:rsidRPr="00545837">
        <w:rPr>
          <w:rStyle w:val="FootnoteReference"/>
          <w:rFonts w:ascii="Times New Roman" w:hAnsi="Times New Roman" w:cs="Times New Roman"/>
          <w:sz w:val="16"/>
          <w:szCs w:val="16"/>
        </w:rPr>
        <w:footnoteRef/>
      </w:r>
      <w:r w:rsidRPr="00545837">
        <w:rPr>
          <w:rFonts w:ascii="Times New Roman" w:hAnsi="Times New Roman" w:cs="Times New Roman"/>
          <w:sz w:val="16"/>
          <w:szCs w:val="16"/>
        </w:rPr>
        <w:t xml:space="preserve"> </w:t>
      </w:r>
      <w:proofErr w:type="gramStart"/>
      <w:r w:rsidRPr="00545837">
        <w:rPr>
          <w:rFonts w:ascii="Times New Roman" w:hAnsi="Times New Roman" w:cs="Times New Roman"/>
          <w:sz w:val="16"/>
          <w:szCs w:val="16"/>
          <w:lang w:val="en-US"/>
        </w:rPr>
        <w:t>Albania, Azerbaijan, Belarus, Croatia, Georgia, Kazakhstan, Kyrgyz Republic, Macedonia, Moldova, Montenegro, Russia, Tajikistan, Turkey, and Ukraine.</w:t>
      </w:r>
      <w:proofErr w:type="gramEnd"/>
    </w:p>
    <w:p w14:paraId="6FA2B7DB" w14:textId="77777777" w:rsidR="00B84C20" w:rsidRDefault="00B84C20">
      <w:pPr>
        <w:pStyle w:val="FootnoteText"/>
      </w:pPr>
    </w:p>
  </w:footnote>
  <w:footnote w:id="4">
    <w:p w14:paraId="6C4A8F68" w14:textId="5182F2D7" w:rsidR="00B84C20" w:rsidRPr="00D9731B" w:rsidRDefault="00B84C20">
      <w:pPr>
        <w:pStyle w:val="FootnoteText"/>
        <w:rPr>
          <w:sz w:val="18"/>
          <w:szCs w:val="18"/>
        </w:rPr>
      </w:pPr>
      <w:r w:rsidRPr="00D9731B">
        <w:rPr>
          <w:rStyle w:val="FootnoteReference"/>
          <w:sz w:val="18"/>
          <w:szCs w:val="18"/>
        </w:rPr>
        <w:footnoteRef/>
      </w:r>
      <w:r w:rsidRPr="00D9731B">
        <w:rPr>
          <w:sz w:val="18"/>
          <w:szCs w:val="18"/>
        </w:rPr>
        <w:t xml:space="preserve"> The “good practice” is based on common practice in OECD countries such as Australia, wh</w:t>
      </w:r>
      <w:r w:rsidR="0090758C" w:rsidRPr="00D9731B">
        <w:rPr>
          <w:sz w:val="18"/>
          <w:szCs w:val="18"/>
        </w:rPr>
        <w:t xml:space="preserve">ich </w:t>
      </w:r>
      <w:r w:rsidRPr="00D9731B">
        <w:rPr>
          <w:sz w:val="18"/>
          <w:szCs w:val="18"/>
        </w:rPr>
        <w:t xml:space="preserve">typically include an integrated control framework within an IFMIS. Similar process flows can also be seen in the Treasury Reference Model, jointly published by the World Bank and the IMF. </w:t>
      </w:r>
    </w:p>
  </w:footnote>
  <w:footnote w:id="5">
    <w:p w14:paraId="507432C3" w14:textId="66FCC3BB" w:rsidR="00B84C20" w:rsidRPr="009C79DB" w:rsidRDefault="00B84C20" w:rsidP="00C20587">
      <w:pPr>
        <w:pStyle w:val="FootnoteText"/>
        <w:rPr>
          <w:sz w:val="16"/>
          <w:szCs w:val="16"/>
        </w:rPr>
      </w:pPr>
      <w:r w:rsidRPr="009C79DB">
        <w:rPr>
          <w:rStyle w:val="FootnoteReference"/>
          <w:sz w:val="16"/>
          <w:szCs w:val="16"/>
        </w:rPr>
        <w:footnoteRef/>
      </w:r>
      <w:r w:rsidRPr="009C79DB">
        <w:rPr>
          <w:sz w:val="16"/>
          <w:szCs w:val="16"/>
        </w:rPr>
        <w:t xml:space="preserve"> An alternative option </w:t>
      </w:r>
      <w:r>
        <w:rPr>
          <w:sz w:val="16"/>
          <w:szCs w:val="16"/>
        </w:rPr>
        <w:t xml:space="preserve">where systems are not fully automated </w:t>
      </w:r>
      <w:r w:rsidRPr="009C79DB">
        <w:rPr>
          <w:sz w:val="16"/>
          <w:szCs w:val="16"/>
        </w:rPr>
        <w:t xml:space="preserve">is to ensure </w:t>
      </w:r>
      <w:r>
        <w:rPr>
          <w:sz w:val="16"/>
          <w:szCs w:val="16"/>
        </w:rPr>
        <w:t xml:space="preserve">that </w:t>
      </w:r>
      <w:r w:rsidRPr="009C79DB">
        <w:rPr>
          <w:sz w:val="16"/>
          <w:szCs w:val="16"/>
        </w:rPr>
        <w:t>the majority</w:t>
      </w:r>
      <w:r>
        <w:rPr>
          <w:sz w:val="16"/>
          <w:szCs w:val="16"/>
        </w:rPr>
        <w:t xml:space="preserve">, not all </w:t>
      </w:r>
      <w:r w:rsidRPr="009C79DB">
        <w:rPr>
          <w:sz w:val="16"/>
          <w:szCs w:val="16"/>
        </w:rPr>
        <w:t>expenditures</w:t>
      </w:r>
      <w:r>
        <w:rPr>
          <w:sz w:val="16"/>
          <w:szCs w:val="16"/>
        </w:rPr>
        <w:t>,</w:t>
      </w:r>
      <w:r w:rsidRPr="009C79DB">
        <w:rPr>
          <w:sz w:val="16"/>
          <w:szCs w:val="16"/>
        </w:rPr>
        <w:t xml:space="preserve"> are controlled through commitments and this can be achieved by </w:t>
      </w:r>
      <w:r>
        <w:rPr>
          <w:sz w:val="16"/>
          <w:szCs w:val="16"/>
        </w:rPr>
        <w:t xml:space="preserve">requiring </w:t>
      </w:r>
      <w:r w:rsidRPr="009C79DB">
        <w:rPr>
          <w:sz w:val="16"/>
          <w:szCs w:val="16"/>
        </w:rPr>
        <w:t>commit</w:t>
      </w:r>
      <w:r>
        <w:rPr>
          <w:sz w:val="16"/>
          <w:szCs w:val="16"/>
        </w:rPr>
        <w:t>ment</w:t>
      </w:r>
      <w:r w:rsidRPr="009C79DB">
        <w:rPr>
          <w:sz w:val="16"/>
          <w:szCs w:val="16"/>
        </w:rPr>
        <w:t xml:space="preserve"> </w:t>
      </w:r>
      <w:r>
        <w:rPr>
          <w:sz w:val="16"/>
          <w:szCs w:val="16"/>
        </w:rPr>
        <w:t xml:space="preserve">for </w:t>
      </w:r>
      <w:r w:rsidRPr="009C79DB">
        <w:rPr>
          <w:sz w:val="16"/>
          <w:szCs w:val="16"/>
        </w:rPr>
        <w:t>all contracts or planned spending on</w:t>
      </w:r>
      <w:r>
        <w:t xml:space="preserve"> </w:t>
      </w:r>
      <w:r w:rsidRPr="009C79DB">
        <w:rPr>
          <w:sz w:val="16"/>
          <w:szCs w:val="16"/>
        </w:rPr>
        <w:t xml:space="preserve">capital and goods and services above a certain threshold. </w:t>
      </w:r>
      <w:r>
        <w:rPr>
          <w:sz w:val="16"/>
          <w:szCs w:val="16"/>
        </w:rPr>
        <w:t xml:space="preserve">The principle here is that most (90%) of the value of all spending on goods and services and capital will be recorded by capturing just the top 10% of all payments  </w:t>
      </w:r>
    </w:p>
  </w:footnote>
  <w:footnote w:id="6">
    <w:p w14:paraId="14CC3364" w14:textId="0C6D5B62" w:rsidR="00B84C20" w:rsidRPr="00CE00A4" w:rsidRDefault="00B84C20" w:rsidP="00C20587">
      <w:pPr>
        <w:pStyle w:val="FootnoteText"/>
        <w:rPr>
          <w:sz w:val="16"/>
          <w:szCs w:val="16"/>
        </w:rPr>
      </w:pPr>
      <w:r w:rsidRPr="00CE00A4">
        <w:rPr>
          <w:rStyle w:val="FootnoteReference"/>
          <w:sz w:val="16"/>
          <w:szCs w:val="16"/>
        </w:rPr>
        <w:footnoteRef/>
      </w:r>
      <w:r w:rsidRPr="00CE00A4">
        <w:rPr>
          <w:sz w:val="16"/>
          <w:szCs w:val="16"/>
        </w:rPr>
        <w:t xml:space="preserve"> Not all payments require commitments, however, allowing direct payments without commitments for goods and services and capital spending will undermine the integrity of the commitment control framework, and </w:t>
      </w:r>
      <w:r>
        <w:rPr>
          <w:sz w:val="16"/>
          <w:szCs w:val="16"/>
        </w:rPr>
        <w:t xml:space="preserve">can </w:t>
      </w:r>
      <w:r w:rsidRPr="00CE00A4">
        <w:rPr>
          <w:sz w:val="16"/>
          <w:szCs w:val="16"/>
        </w:rPr>
        <w:t xml:space="preserve">also reduce the effectiveness of this stage for cash management and forecasting </w:t>
      </w:r>
    </w:p>
  </w:footnote>
  <w:footnote w:id="7">
    <w:p w14:paraId="78DC40EB" w14:textId="77777777" w:rsidR="00B84C20" w:rsidRPr="00CE00A4" w:rsidRDefault="00B84C20" w:rsidP="00C20587">
      <w:pPr>
        <w:pStyle w:val="FootnoteText"/>
        <w:rPr>
          <w:sz w:val="16"/>
          <w:szCs w:val="16"/>
        </w:rPr>
      </w:pPr>
      <w:r w:rsidRPr="00CE00A4">
        <w:rPr>
          <w:rStyle w:val="FootnoteReference"/>
          <w:sz w:val="16"/>
          <w:szCs w:val="16"/>
        </w:rPr>
        <w:footnoteRef/>
      </w:r>
      <w:r w:rsidRPr="00CE00A4">
        <w:rPr>
          <w:sz w:val="16"/>
          <w:szCs w:val="16"/>
        </w:rPr>
        <w:t xml:space="preserve"> a small percentage difference may be allowed without further approval in some circumstances </w:t>
      </w:r>
    </w:p>
  </w:footnote>
  <w:footnote w:id="8">
    <w:p w14:paraId="34B35D0D" w14:textId="77777777" w:rsidR="00B84C20" w:rsidRPr="007852B2" w:rsidRDefault="00B84C20" w:rsidP="00C20587">
      <w:pPr>
        <w:pStyle w:val="FootnoteText"/>
        <w:rPr>
          <w:sz w:val="18"/>
          <w:szCs w:val="18"/>
        </w:rPr>
      </w:pPr>
      <w:r w:rsidRPr="00CE00A4">
        <w:rPr>
          <w:rStyle w:val="FootnoteReference"/>
          <w:sz w:val="16"/>
          <w:szCs w:val="16"/>
        </w:rPr>
        <w:footnoteRef/>
      </w:r>
      <w:r w:rsidRPr="00CE00A4">
        <w:rPr>
          <w:sz w:val="16"/>
          <w:szCs w:val="16"/>
        </w:rPr>
        <w:t xml:space="preserve"> 30 days is a common period used by governments, however, it is an example only, and could be determined by the country based on usual periods of payment</w:t>
      </w:r>
      <w:r w:rsidRPr="007852B2">
        <w:rPr>
          <w:sz w:val="18"/>
          <w:szCs w:val="18"/>
        </w:rPr>
        <w:t xml:space="preserve"> </w:t>
      </w:r>
    </w:p>
  </w:footnote>
  <w:footnote w:id="9">
    <w:p w14:paraId="600581EE" w14:textId="77777777" w:rsidR="00B84C20" w:rsidRPr="00024200" w:rsidRDefault="00B84C20" w:rsidP="00C20587">
      <w:pPr>
        <w:pStyle w:val="FootnoteText"/>
        <w:rPr>
          <w:sz w:val="16"/>
          <w:szCs w:val="16"/>
        </w:rPr>
      </w:pPr>
      <w:r w:rsidRPr="00024200">
        <w:rPr>
          <w:rStyle w:val="FootnoteReference"/>
          <w:sz w:val="16"/>
          <w:szCs w:val="16"/>
        </w:rPr>
        <w:footnoteRef/>
      </w:r>
      <w:r w:rsidRPr="00024200">
        <w:rPr>
          <w:sz w:val="16"/>
          <w:szCs w:val="16"/>
        </w:rPr>
        <w:t xml:space="preserve"> Modern treasuries using automated FMIS are in a strong position to actively manage liquidity ensuring that cash is available “just in time” to make budget payments each day. This generally involves strong forecasting of </w:t>
      </w:r>
      <w:proofErr w:type="spellStart"/>
      <w:r w:rsidRPr="00024200">
        <w:rPr>
          <w:sz w:val="16"/>
          <w:szCs w:val="16"/>
        </w:rPr>
        <w:t>cashflows</w:t>
      </w:r>
      <w:proofErr w:type="spellEnd"/>
      <w:r w:rsidRPr="00024200">
        <w:rPr>
          <w:sz w:val="16"/>
          <w:szCs w:val="16"/>
        </w:rPr>
        <w:t xml:space="preserve"> and active cash management, including smoothing cash flows and using instrument such as treasury securities to fund any shortfalls. This is preferred to cash rationing which effectively delays payments to suppliers, and represents a forced borrowing from these suppliers.    </w:t>
      </w:r>
    </w:p>
  </w:footnote>
  <w:footnote w:id="10">
    <w:p w14:paraId="6B0F3B00" w14:textId="0E33A868" w:rsidR="00B84C20" w:rsidRPr="00024200" w:rsidRDefault="00B84C20">
      <w:pPr>
        <w:pStyle w:val="FootnoteText"/>
        <w:rPr>
          <w:sz w:val="16"/>
          <w:szCs w:val="16"/>
        </w:rPr>
      </w:pPr>
      <w:r w:rsidRPr="00024200">
        <w:rPr>
          <w:rStyle w:val="FootnoteReference"/>
          <w:sz w:val="16"/>
          <w:szCs w:val="16"/>
        </w:rPr>
        <w:footnoteRef/>
      </w:r>
      <w:r w:rsidRPr="00024200">
        <w:rPr>
          <w:sz w:val="16"/>
          <w:szCs w:val="16"/>
        </w:rPr>
        <w:t xml:space="preserve"> Question </w:t>
      </w:r>
      <w:r>
        <w:rPr>
          <w:sz w:val="16"/>
          <w:szCs w:val="16"/>
        </w:rPr>
        <w:t>one</w:t>
      </w:r>
      <w:r w:rsidRPr="00024200">
        <w:rPr>
          <w:sz w:val="16"/>
          <w:szCs w:val="16"/>
        </w:rPr>
        <w:t xml:space="preserve"> </w:t>
      </w:r>
      <w:r>
        <w:rPr>
          <w:sz w:val="16"/>
          <w:szCs w:val="16"/>
        </w:rPr>
        <w:t xml:space="preserve">in the actual survey </w:t>
      </w:r>
      <w:r w:rsidRPr="00024200">
        <w:rPr>
          <w:sz w:val="16"/>
          <w:szCs w:val="16"/>
        </w:rPr>
        <w:t>sought details on the survey respondent</w:t>
      </w:r>
      <w:r>
        <w:rPr>
          <w:sz w:val="16"/>
          <w:szCs w:val="16"/>
        </w:rPr>
        <w:t xml:space="preserve"> and has therefore been excluded in this summary report </w:t>
      </w:r>
    </w:p>
  </w:footnote>
  <w:footnote w:id="11">
    <w:p w14:paraId="024E272C" w14:textId="088402C7" w:rsidR="00B84C20" w:rsidRPr="00024200" w:rsidRDefault="00B84C20">
      <w:pPr>
        <w:pStyle w:val="FootnoteText"/>
        <w:rPr>
          <w:sz w:val="16"/>
          <w:szCs w:val="16"/>
        </w:rPr>
      </w:pPr>
      <w:r w:rsidRPr="00024200">
        <w:rPr>
          <w:rStyle w:val="FootnoteReference"/>
          <w:sz w:val="16"/>
          <w:szCs w:val="16"/>
        </w:rPr>
        <w:footnoteRef/>
      </w:r>
      <w:r w:rsidRPr="00024200">
        <w:rPr>
          <w:sz w:val="16"/>
          <w:szCs w:val="16"/>
        </w:rPr>
        <w:t xml:space="preserve"> There is a definitional issue in that the response from Croatia refers to contingent liabilities. Pre-commitments are not conting</w:t>
      </w:r>
      <w:r>
        <w:rPr>
          <w:sz w:val="16"/>
          <w:szCs w:val="16"/>
        </w:rPr>
        <w:t>ent liabilities nor liabilities but a form of budget control and management</w:t>
      </w:r>
    </w:p>
  </w:footnote>
  <w:footnote w:id="12">
    <w:p w14:paraId="712F9E66" w14:textId="4EED45A0" w:rsidR="00B84C20" w:rsidRDefault="00B84C20">
      <w:pPr>
        <w:pStyle w:val="FootnoteText"/>
      </w:pPr>
      <w:r>
        <w:rPr>
          <w:rStyle w:val="FootnoteReference"/>
        </w:rPr>
        <w:footnoteRef/>
      </w:r>
      <w:r>
        <w:t xml:space="preserve"> </w:t>
      </w:r>
      <w:r w:rsidRPr="002D7B4B">
        <w:rPr>
          <w:sz w:val="16"/>
          <w:szCs w:val="16"/>
        </w:rPr>
        <w:t xml:space="preserve">Predictable recurrent spending such as salaries and pensions should be included in </w:t>
      </w:r>
      <w:proofErr w:type="spellStart"/>
      <w:r w:rsidRPr="002D7B4B">
        <w:rPr>
          <w:sz w:val="16"/>
          <w:szCs w:val="16"/>
        </w:rPr>
        <w:t>cashflow</w:t>
      </w:r>
      <w:proofErr w:type="spellEnd"/>
      <w:r w:rsidRPr="002D7B4B">
        <w:rPr>
          <w:sz w:val="16"/>
          <w:szCs w:val="16"/>
        </w:rPr>
        <w:t xml:space="preserve"> plans but w</w:t>
      </w:r>
      <w:r>
        <w:rPr>
          <w:sz w:val="16"/>
          <w:szCs w:val="16"/>
        </w:rPr>
        <w:t xml:space="preserve">ould normally not be subject to </w:t>
      </w:r>
      <w:r w:rsidRPr="002D7B4B">
        <w:rPr>
          <w:sz w:val="16"/>
          <w:szCs w:val="16"/>
        </w:rPr>
        <w:t>commitment</w:t>
      </w:r>
      <w:r>
        <w:rPr>
          <w:sz w:val="16"/>
          <w:szCs w:val="16"/>
        </w:rPr>
        <w:t xml:space="preserve"> controls. However, irregular or one off payments in these areas must also be included in any plans. </w:t>
      </w:r>
    </w:p>
  </w:footnote>
  <w:footnote w:id="13">
    <w:p w14:paraId="1FB3ECF9" w14:textId="5C4C3355" w:rsidR="00B84C20" w:rsidRPr="009326D3" w:rsidRDefault="00B84C20">
      <w:pPr>
        <w:pStyle w:val="FootnoteText"/>
        <w:rPr>
          <w:sz w:val="16"/>
          <w:szCs w:val="16"/>
        </w:rPr>
      </w:pPr>
      <w:r w:rsidRPr="009326D3">
        <w:rPr>
          <w:rStyle w:val="FootnoteReference"/>
          <w:sz w:val="16"/>
          <w:szCs w:val="16"/>
        </w:rPr>
        <w:footnoteRef/>
      </w:r>
      <w:r w:rsidRPr="009326D3">
        <w:rPr>
          <w:sz w:val="16"/>
          <w:szCs w:val="16"/>
        </w:rPr>
        <w:t xml:space="preserve"> The one country </w:t>
      </w:r>
      <w:proofErr w:type="gramStart"/>
      <w:r w:rsidRPr="009326D3">
        <w:rPr>
          <w:sz w:val="16"/>
          <w:szCs w:val="16"/>
        </w:rPr>
        <w:t>Macedonia,</w:t>
      </w:r>
      <w:proofErr w:type="gramEnd"/>
      <w:r w:rsidRPr="009326D3">
        <w:rPr>
          <w:sz w:val="16"/>
          <w:szCs w:val="16"/>
        </w:rPr>
        <w:t xml:space="preserve"> may warrant further discussion regarding responses. Macedonia originally implemented commitment controls in 2003 in the same system that controlled expenditures. PEMPAL understands that the same system operates today, suggesting that this response should be yes.    </w:t>
      </w:r>
    </w:p>
  </w:footnote>
  <w:footnote w:id="14">
    <w:p w14:paraId="734571F6" w14:textId="4F423544" w:rsidR="00B84C20" w:rsidRPr="00C50A4C" w:rsidRDefault="00B84C20">
      <w:pPr>
        <w:pStyle w:val="FootnoteText"/>
        <w:rPr>
          <w:rStyle w:val="FootnoteReference"/>
          <w:sz w:val="16"/>
        </w:rPr>
      </w:pPr>
      <w:r w:rsidRPr="00C50A4C">
        <w:rPr>
          <w:rStyle w:val="FootnoteReference"/>
          <w:sz w:val="16"/>
          <w:szCs w:val="16"/>
        </w:rPr>
        <w:footnoteRef/>
      </w:r>
      <w:r w:rsidRPr="00C50A4C">
        <w:rPr>
          <w:sz w:val="16"/>
          <w:szCs w:val="16"/>
        </w:rPr>
        <w:t xml:space="preserve"> There is an argument that payment within one or three days also represents government “terms of trade” or due date.</w:t>
      </w:r>
      <w:r>
        <w:rPr>
          <w:sz w:val="16"/>
          <w:szCs w:val="16"/>
        </w:rPr>
        <w:t xml:space="preserve"> </w:t>
      </w:r>
      <w:proofErr w:type="gramStart"/>
      <w:r>
        <w:rPr>
          <w:sz w:val="16"/>
          <w:szCs w:val="16"/>
        </w:rPr>
        <w:t>However this ignores the cost to government of such short due date.</w:t>
      </w:r>
      <w:proofErr w:type="gramEnd"/>
      <w:r>
        <w:rPr>
          <w:sz w:val="16"/>
          <w:szCs w:val="16"/>
        </w:rPr>
        <w:t xml:space="preserve"> It also places countries in a more challenging position regarding arrears, if these are defined to be any payment not made by the due date.    </w:t>
      </w:r>
      <w:r w:rsidRPr="00C50A4C">
        <w:rPr>
          <w:sz w:val="16"/>
          <w:szCs w:val="16"/>
        </w:rPr>
        <w:t xml:space="preserve"> </w:t>
      </w:r>
      <w:r w:rsidRPr="00C50A4C">
        <w:rPr>
          <w:rStyle w:val="FootnoteReference"/>
          <w:sz w:val="16"/>
        </w:rPr>
        <w:t xml:space="preserve"> </w:t>
      </w:r>
    </w:p>
  </w:footnote>
  <w:footnote w:id="15">
    <w:p w14:paraId="7E2A6A14" w14:textId="400A2482" w:rsidR="00B84C20" w:rsidRPr="003918CE" w:rsidRDefault="00B84C20">
      <w:pPr>
        <w:pStyle w:val="FootnoteText"/>
        <w:rPr>
          <w:sz w:val="16"/>
          <w:szCs w:val="16"/>
        </w:rPr>
      </w:pPr>
      <w:r w:rsidRPr="003918CE">
        <w:rPr>
          <w:rStyle w:val="FootnoteReference"/>
          <w:sz w:val="16"/>
          <w:szCs w:val="16"/>
        </w:rPr>
        <w:footnoteRef/>
      </w:r>
      <w:r w:rsidRPr="003918CE">
        <w:rPr>
          <w:sz w:val="16"/>
          <w:szCs w:val="16"/>
        </w:rPr>
        <w:t xml:space="preserve"> This appears to be at odds with recent discussions with Macedonia regarding problems with a growing level of budgetary arrears. </w:t>
      </w:r>
    </w:p>
  </w:footnote>
  <w:footnote w:id="16">
    <w:p w14:paraId="44E47C5F" w14:textId="72636D7A" w:rsidR="00B84C20" w:rsidRPr="009326D3" w:rsidRDefault="00B84C20">
      <w:pPr>
        <w:pStyle w:val="FootnoteText"/>
        <w:rPr>
          <w:sz w:val="16"/>
          <w:szCs w:val="16"/>
        </w:rPr>
      </w:pPr>
      <w:r w:rsidRPr="009326D3">
        <w:rPr>
          <w:rStyle w:val="FootnoteReference"/>
          <w:sz w:val="16"/>
          <w:szCs w:val="16"/>
        </w:rPr>
        <w:footnoteRef/>
      </w:r>
      <w:r w:rsidRPr="009326D3">
        <w:rPr>
          <w:sz w:val="16"/>
          <w:szCs w:val="16"/>
        </w:rPr>
        <w:t xml:space="preserve"> Many other countries will have undertaken a specific process for reducing arrears in the past, for example Macedonia in 2003/04, however, respondents to the survey may not be familiar with the strategy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0CA"/>
    <w:multiLevelType w:val="hybridMultilevel"/>
    <w:tmpl w:val="70F83404"/>
    <w:lvl w:ilvl="0" w:tplc="2D8A7BF0">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7E5BB1"/>
    <w:multiLevelType w:val="hybridMultilevel"/>
    <w:tmpl w:val="AE9C2FDA"/>
    <w:lvl w:ilvl="0" w:tplc="08090001">
      <w:start w:val="1"/>
      <w:numFmt w:val="bullet"/>
      <w:pStyle w:val="ParagraphNumbering"/>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B355F0"/>
    <w:multiLevelType w:val="hybridMultilevel"/>
    <w:tmpl w:val="3BAEE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847079"/>
    <w:multiLevelType w:val="hybridMultilevel"/>
    <w:tmpl w:val="31642210"/>
    <w:lvl w:ilvl="0" w:tplc="A2FE903E">
      <w:start w:val="20"/>
      <w:numFmt w:val="decimal"/>
      <w:lvlText w:val="%1."/>
      <w:lvlJc w:val="left"/>
      <w:pPr>
        <w:ind w:left="36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252835"/>
    <w:multiLevelType w:val="hybridMultilevel"/>
    <w:tmpl w:val="6ECAA536"/>
    <w:lvl w:ilvl="0" w:tplc="F7447594">
      <w:start w:val="35"/>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CC056FD"/>
    <w:multiLevelType w:val="hybridMultilevel"/>
    <w:tmpl w:val="E80CB0B4"/>
    <w:lvl w:ilvl="0" w:tplc="201E6E22">
      <w:start w:val="14"/>
      <w:numFmt w:val="decimal"/>
      <w:lvlText w:val="%1."/>
      <w:lvlJc w:val="left"/>
      <w:pPr>
        <w:ind w:left="360" w:hanging="360"/>
      </w:pPr>
      <w:rPr>
        <w:rFonts w:hint="default"/>
      </w:rPr>
    </w:lvl>
    <w:lvl w:ilvl="1" w:tplc="72B86A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474BCD"/>
    <w:multiLevelType w:val="hybridMultilevel"/>
    <w:tmpl w:val="69B26DC4"/>
    <w:lvl w:ilvl="0" w:tplc="21B2F4B4">
      <w:start w:val="28"/>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9F6E8E"/>
    <w:multiLevelType w:val="hybridMultilevel"/>
    <w:tmpl w:val="10C47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6E3DE4"/>
    <w:multiLevelType w:val="hybridMultilevel"/>
    <w:tmpl w:val="620A9A02"/>
    <w:lvl w:ilvl="0" w:tplc="BCA49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90C0E90"/>
    <w:multiLevelType w:val="hybridMultilevel"/>
    <w:tmpl w:val="93F806D8"/>
    <w:lvl w:ilvl="0" w:tplc="F0CA374E">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521C43"/>
    <w:multiLevelType w:val="hybridMultilevel"/>
    <w:tmpl w:val="C77EC6EE"/>
    <w:lvl w:ilvl="0" w:tplc="ACCCAEE2">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64561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1024C06"/>
    <w:multiLevelType w:val="multilevel"/>
    <w:tmpl w:val="5EE88420"/>
    <w:lvl w:ilvl="0">
      <w:start w:val="18"/>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93275E2"/>
    <w:multiLevelType w:val="hybridMultilevel"/>
    <w:tmpl w:val="780E3718"/>
    <w:lvl w:ilvl="0" w:tplc="A2FE903E">
      <w:start w:val="20"/>
      <w:numFmt w:val="decimal"/>
      <w:lvlText w:val="%1."/>
      <w:lvlJc w:val="left"/>
      <w:pPr>
        <w:ind w:left="360" w:hanging="360"/>
      </w:pPr>
      <w:rPr>
        <w:rFonts w:hint="default"/>
      </w:rPr>
    </w:lvl>
    <w:lvl w:ilvl="1" w:tplc="384C37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1F2D3C"/>
    <w:multiLevelType w:val="hybridMultilevel"/>
    <w:tmpl w:val="25DE3388"/>
    <w:lvl w:ilvl="0" w:tplc="688A15D8">
      <w:start w:val="1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883457"/>
    <w:multiLevelType w:val="hybridMultilevel"/>
    <w:tmpl w:val="66507062"/>
    <w:lvl w:ilvl="0" w:tplc="CD0E1ACE">
      <w:start w:val="1"/>
      <w:numFmt w:val="bullet"/>
      <w:lvlText w:val="•"/>
      <w:lvlJc w:val="left"/>
      <w:pPr>
        <w:tabs>
          <w:tab w:val="num" w:pos="360"/>
        </w:tabs>
        <w:ind w:left="360" w:hanging="360"/>
      </w:pPr>
      <w:rPr>
        <w:rFonts w:ascii="Arial" w:hAnsi="Arial" w:hint="default"/>
      </w:rPr>
    </w:lvl>
    <w:lvl w:ilvl="1" w:tplc="C66A5F8E" w:tentative="1">
      <w:start w:val="1"/>
      <w:numFmt w:val="bullet"/>
      <w:lvlText w:val="•"/>
      <w:lvlJc w:val="left"/>
      <w:pPr>
        <w:tabs>
          <w:tab w:val="num" w:pos="1080"/>
        </w:tabs>
        <w:ind w:left="1080" w:hanging="360"/>
      </w:pPr>
      <w:rPr>
        <w:rFonts w:ascii="Arial" w:hAnsi="Arial" w:hint="default"/>
      </w:rPr>
    </w:lvl>
    <w:lvl w:ilvl="2" w:tplc="1F60094E" w:tentative="1">
      <w:start w:val="1"/>
      <w:numFmt w:val="bullet"/>
      <w:lvlText w:val="•"/>
      <w:lvlJc w:val="left"/>
      <w:pPr>
        <w:tabs>
          <w:tab w:val="num" w:pos="1800"/>
        </w:tabs>
        <w:ind w:left="1800" w:hanging="360"/>
      </w:pPr>
      <w:rPr>
        <w:rFonts w:ascii="Arial" w:hAnsi="Arial" w:hint="default"/>
      </w:rPr>
    </w:lvl>
    <w:lvl w:ilvl="3" w:tplc="35AED986" w:tentative="1">
      <w:start w:val="1"/>
      <w:numFmt w:val="bullet"/>
      <w:lvlText w:val="•"/>
      <w:lvlJc w:val="left"/>
      <w:pPr>
        <w:tabs>
          <w:tab w:val="num" w:pos="2520"/>
        </w:tabs>
        <w:ind w:left="2520" w:hanging="360"/>
      </w:pPr>
      <w:rPr>
        <w:rFonts w:ascii="Arial" w:hAnsi="Arial" w:hint="default"/>
      </w:rPr>
    </w:lvl>
    <w:lvl w:ilvl="4" w:tplc="706AF35E" w:tentative="1">
      <w:start w:val="1"/>
      <w:numFmt w:val="bullet"/>
      <w:lvlText w:val="•"/>
      <w:lvlJc w:val="left"/>
      <w:pPr>
        <w:tabs>
          <w:tab w:val="num" w:pos="3240"/>
        </w:tabs>
        <w:ind w:left="3240" w:hanging="360"/>
      </w:pPr>
      <w:rPr>
        <w:rFonts w:ascii="Arial" w:hAnsi="Arial" w:hint="default"/>
      </w:rPr>
    </w:lvl>
    <w:lvl w:ilvl="5" w:tplc="FEEC2BCA" w:tentative="1">
      <w:start w:val="1"/>
      <w:numFmt w:val="bullet"/>
      <w:lvlText w:val="•"/>
      <w:lvlJc w:val="left"/>
      <w:pPr>
        <w:tabs>
          <w:tab w:val="num" w:pos="3960"/>
        </w:tabs>
        <w:ind w:left="3960" w:hanging="360"/>
      </w:pPr>
      <w:rPr>
        <w:rFonts w:ascii="Arial" w:hAnsi="Arial" w:hint="default"/>
      </w:rPr>
    </w:lvl>
    <w:lvl w:ilvl="6" w:tplc="656A287A" w:tentative="1">
      <w:start w:val="1"/>
      <w:numFmt w:val="bullet"/>
      <w:lvlText w:val="•"/>
      <w:lvlJc w:val="left"/>
      <w:pPr>
        <w:tabs>
          <w:tab w:val="num" w:pos="4680"/>
        </w:tabs>
        <w:ind w:left="4680" w:hanging="360"/>
      </w:pPr>
      <w:rPr>
        <w:rFonts w:ascii="Arial" w:hAnsi="Arial" w:hint="default"/>
      </w:rPr>
    </w:lvl>
    <w:lvl w:ilvl="7" w:tplc="4FE42CC8" w:tentative="1">
      <w:start w:val="1"/>
      <w:numFmt w:val="bullet"/>
      <w:lvlText w:val="•"/>
      <w:lvlJc w:val="left"/>
      <w:pPr>
        <w:tabs>
          <w:tab w:val="num" w:pos="5400"/>
        </w:tabs>
        <w:ind w:left="5400" w:hanging="360"/>
      </w:pPr>
      <w:rPr>
        <w:rFonts w:ascii="Arial" w:hAnsi="Arial" w:hint="default"/>
      </w:rPr>
    </w:lvl>
    <w:lvl w:ilvl="8" w:tplc="7AD4B07E" w:tentative="1">
      <w:start w:val="1"/>
      <w:numFmt w:val="bullet"/>
      <w:lvlText w:val="•"/>
      <w:lvlJc w:val="left"/>
      <w:pPr>
        <w:tabs>
          <w:tab w:val="num" w:pos="6120"/>
        </w:tabs>
        <w:ind w:left="6120" w:hanging="360"/>
      </w:pPr>
      <w:rPr>
        <w:rFonts w:ascii="Arial" w:hAnsi="Arial" w:hint="default"/>
      </w:rPr>
    </w:lvl>
  </w:abstractNum>
  <w:abstractNum w:abstractNumId="16">
    <w:nsid w:val="3ED06198"/>
    <w:multiLevelType w:val="hybridMultilevel"/>
    <w:tmpl w:val="8DF2E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E628EA"/>
    <w:multiLevelType w:val="hybridMultilevel"/>
    <w:tmpl w:val="A5FAEF18"/>
    <w:lvl w:ilvl="0" w:tplc="B5B43B4E">
      <w:start w:val="5"/>
      <w:numFmt w:val="decimal"/>
      <w:lvlText w:val="%1."/>
      <w:lvlJc w:val="left"/>
      <w:pPr>
        <w:ind w:left="360" w:hanging="360"/>
      </w:pPr>
      <w:rPr>
        <w:rFonts w:hint="default"/>
      </w:rPr>
    </w:lvl>
    <w:lvl w:ilvl="1" w:tplc="EFBCA51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5877D50"/>
    <w:multiLevelType w:val="hybridMultilevel"/>
    <w:tmpl w:val="87124CDE"/>
    <w:lvl w:ilvl="0" w:tplc="D1A412D4">
      <w:start w:val="33"/>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59E73A2"/>
    <w:multiLevelType w:val="hybridMultilevel"/>
    <w:tmpl w:val="813C57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1C66D2E"/>
    <w:multiLevelType w:val="hybridMultilevel"/>
    <w:tmpl w:val="DAF0D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4CA06BA"/>
    <w:multiLevelType w:val="hybridMultilevel"/>
    <w:tmpl w:val="98D0C8D6"/>
    <w:lvl w:ilvl="0" w:tplc="E6CE0CC2">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1D635D"/>
    <w:multiLevelType w:val="hybridMultilevel"/>
    <w:tmpl w:val="6BD8A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ACC08A5"/>
    <w:multiLevelType w:val="hybridMultilevel"/>
    <w:tmpl w:val="A8DEC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7A02453"/>
    <w:multiLevelType w:val="hybridMultilevel"/>
    <w:tmpl w:val="924049BC"/>
    <w:lvl w:ilvl="0" w:tplc="3318AC8A">
      <w:start w:val="26"/>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4C4811"/>
    <w:multiLevelType w:val="hybridMultilevel"/>
    <w:tmpl w:val="7098167A"/>
    <w:lvl w:ilvl="0" w:tplc="B5B43B4E">
      <w:start w:val="5"/>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AF168EF"/>
    <w:multiLevelType w:val="hybridMultilevel"/>
    <w:tmpl w:val="D46CD0A2"/>
    <w:lvl w:ilvl="0" w:tplc="4E2C69D6">
      <w:start w:val="4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030FC7"/>
    <w:multiLevelType w:val="hybridMultilevel"/>
    <w:tmpl w:val="6186B032"/>
    <w:lvl w:ilvl="0" w:tplc="822A202A">
      <w:start w:val="27"/>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nsid w:val="6FF55D90"/>
    <w:multiLevelType w:val="multilevel"/>
    <w:tmpl w:val="97BCB59E"/>
    <w:lvl w:ilvl="0">
      <w:start w:val="7"/>
      <w:numFmt w:val="decimal"/>
      <w:lvlText w:val="%1."/>
      <w:lvlJc w:val="left"/>
      <w:pPr>
        <w:ind w:left="360" w:hanging="360"/>
      </w:pPr>
      <w:rPr>
        <w:rFonts w:hint="default"/>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E2E7F4E"/>
    <w:multiLevelType w:val="hybridMultilevel"/>
    <w:tmpl w:val="3CD65BFC"/>
    <w:lvl w:ilvl="0" w:tplc="E5A809DE">
      <w:start w:val="34"/>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7F9F485E"/>
    <w:multiLevelType w:val="hybridMultilevel"/>
    <w:tmpl w:val="5248EEE4"/>
    <w:lvl w:ilvl="0" w:tplc="201E6E22">
      <w:start w:val="1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C4612E"/>
    <w:multiLevelType w:val="hybridMultilevel"/>
    <w:tmpl w:val="CA68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0"/>
  </w:num>
  <w:num w:numId="4">
    <w:abstractNumId w:val="28"/>
  </w:num>
  <w:num w:numId="5">
    <w:abstractNumId w:val="25"/>
  </w:num>
  <w:num w:numId="6">
    <w:abstractNumId w:val="30"/>
  </w:num>
  <w:num w:numId="7">
    <w:abstractNumId w:val="11"/>
  </w:num>
  <w:num w:numId="8">
    <w:abstractNumId w:val="12"/>
  </w:num>
  <w:num w:numId="9">
    <w:abstractNumId w:val="3"/>
  </w:num>
  <w:num w:numId="10">
    <w:abstractNumId w:val="9"/>
  </w:num>
  <w:num w:numId="11">
    <w:abstractNumId w:val="13"/>
  </w:num>
  <w:num w:numId="12">
    <w:abstractNumId w:val="24"/>
  </w:num>
  <w:num w:numId="13">
    <w:abstractNumId w:val="5"/>
  </w:num>
  <w:num w:numId="14">
    <w:abstractNumId w:val="27"/>
  </w:num>
  <w:num w:numId="15">
    <w:abstractNumId w:val="6"/>
  </w:num>
  <w:num w:numId="16">
    <w:abstractNumId w:val="26"/>
  </w:num>
  <w:num w:numId="17">
    <w:abstractNumId w:val="21"/>
  </w:num>
  <w:num w:numId="18">
    <w:abstractNumId w:val="14"/>
  </w:num>
  <w:num w:numId="19">
    <w:abstractNumId w:val="0"/>
  </w:num>
  <w:num w:numId="20">
    <w:abstractNumId w:val="18"/>
  </w:num>
  <w:num w:numId="21">
    <w:abstractNumId w:val="29"/>
  </w:num>
  <w:num w:numId="22">
    <w:abstractNumId w:val="4"/>
  </w:num>
  <w:num w:numId="23">
    <w:abstractNumId w:val="17"/>
  </w:num>
  <w:num w:numId="24">
    <w:abstractNumId w:val="31"/>
  </w:num>
  <w:num w:numId="25">
    <w:abstractNumId w:val="15"/>
  </w:num>
  <w:num w:numId="26">
    <w:abstractNumId w:val="2"/>
  </w:num>
  <w:num w:numId="27">
    <w:abstractNumId w:val="7"/>
  </w:num>
  <w:num w:numId="28">
    <w:abstractNumId w:val="20"/>
  </w:num>
  <w:num w:numId="29">
    <w:abstractNumId w:val="16"/>
  </w:num>
  <w:num w:numId="30">
    <w:abstractNumId w:val="23"/>
  </w:num>
  <w:num w:numId="31">
    <w:abstractNumId w:val="2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5CF"/>
    <w:rsid w:val="00004B1D"/>
    <w:rsid w:val="00017DBE"/>
    <w:rsid w:val="00021998"/>
    <w:rsid w:val="00024200"/>
    <w:rsid w:val="00036CE1"/>
    <w:rsid w:val="000772E9"/>
    <w:rsid w:val="000811AC"/>
    <w:rsid w:val="000B57C0"/>
    <w:rsid w:val="000C04A8"/>
    <w:rsid w:val="001015CF"/>
    <w:rsid w:val="00111CFF"/>
    <w:rsid w:val="00112846"/>
    <w:rsid w:val="00123276"/>
    <w:rsid w:val="00131337"/>
    <w:rsid w:val="00131F9B"/>
    <w:rsid w:val="00145DE3"/>
    <w:rsid w:val="00171D0B"/>
    <w:rsid w:val="00181647"/>
    <w:rsid w:val="00185A04"/>
    <w:rsid w:val="00194528"/>
    <w:rsid w:val="001A23F3"/>
    <w:rsid w:val="001A3ABD"/>
    <w:rsid w:val="001A7353"/>
    <w:rsid w:val="001B4892"/>
    <w:rsid w:val="001E280B"/>
    <w:rsid w:val="00202706"/>
    <w:rsid w:val="00247033"/>
    <w:rsid w:val="002A260F"/>
    <w:rsid w:val="002B0D1B"/>
    <w:rsid w:val="002D7B4B"/>
    <w:rsid w:val="00307D04"/>
    <w:rsid w:val="00345003"/>
    <w:rsid w:val="00370EA8"/>
    <w:rsid w:val="003711D5"/>
    <w:rsid w:val="003918CE"/>
    <w:rsid w:val="003A4910"/>
    <w:rsid w:val="003B3B78"/>
    <w:rsid w:val="003C4945"/>
    <w:rsid w:val="003E3C1A"/>
    <w:rsid w:val="003F0492"/>
    <w:rsid w:val="00451CA4"/>
    <w:rsid w:val="004824E1"/>
    <w:rsid w:val="004910B4"/>
    <w:rsid w:val="004D7A5E"/>
    <w:rsid w:val="004E62D2"/>
    <w:rsid w:val="00545837"/>
    <w:rsid w:val="005D364E"/>
    <w:rsid w:val="0061534E"/>
    <w:rsid w:val="00641EC2"/>
    <w:rsid w:val="006569A7"/>
    <w:rsid w:val="00663AFC"/>
    <w:rsid w:val="00690DC3"/>
    <w:rsid w:val="00697BE4"/>
    <w:rsid w:val="0076318B"/>
    <w:rsid w:val="007658BA"/>
    <w:rsid w:val="00767980"/>
    <w:rsid w:val="007779D2"/>
    <w:rsid w:val="007A171E"/>
    <w:rsid w:val="007A34A5"/>
    <w:rsid w:val="007B6C22"/>
    <w:rsid w:val="00811194"/>
    <w:rsid w:val="008201A3"/>
    <w:rsid w:val="008342A6"/>
    <w:rsid w:val="008405F8"/>
    <w:rsid w:val="008438D4"/>
    <w:rsid w:val="00850D86"/>
    <w:rsid w:val="008525DD"/>
    <w:rsid w:val="00871B64"/>
    <w:rsid w:val="00873292"/>
    <w:rsid w:val="008912DF"/>
    <w:rsid w:val="008A7117"/>
    <w:rsid w:val="008D6FF8"/>
    <w:rsid w:val="008E51DB"/>
    <w:rsid w:val="008E727F"/>
    <w:rsid w:val="00904B6B"/>
    <w:rsid w:val="0090758C"/>
    <w:rsid w:val="00916D4B"/>
    <w:rsid w:val="00931F19"/>
    <w:rsid w:val="009326D3"/>
    <w:rsid w:val="00935283"/>
    <w:rsid w:val="00951535"/>
    <w:rsid w:val="00996EF7"/>
    <w:rsid w:val="009B51FD"/>
    <w:rsid w:val="009D2DE7"/>
    <w:rsid w:val="009E6DA5"/>
    <w:rsid w:val="009F12F9"/>
    <w:rsid w:val="00A5559E"/>
    <w:rsid w:val="00A62540"/>
    <w:rsid w:val="00A67361"/>
    <w:rsid w:val="00A7528C"/>
    <w:rsid w:val="00A81E14"/>
    <w:rsid w:val="00AB15A2"/>
    <w:rsid w:val="00AF160C"/>
    <w:rsid w:val="00B06F82"/>
    <w:rsid w:val="00B331F9"/>
    <w:rsid w:val="00B84C20"/>
    <w:rsid w:val="00BB6B00"/>
    <w:rsid w:val="00BC305F"/>
    <w:rsid w:val="00C20587"/>
    <w:rsid w:val="00C30A6E"/>
    <w:rsid w:val="00C3214D"/>
    <w:rsid w:val="00C32720"/>
    <w:rsid w:val="00C447BD"/>
    <w:rsid w:val="00C50A4C"/>
    <w:rsid w:val="00CE00A4"/>
    <w:rsid w:val="00D06DDE"/>
    <w:rsid w:val="00D63DFD"/>
    <w:rsid w:val="00D66F45"/>
    <w:rsid w:val="00D71F1B"/>
    <w:rsid w:val="00D757D7"/>
    <w:rsid w:val="00D9731B"/>
    <w:rsid w:val="00DD47C2"/>
    <w:rsid w:val="00E10B47"/>
    <w:rsid w:val="00E610FE"/>
    <w:rsid w:val="00E6626B"/>
    <w:rsid w:val="00E75BAC"/>
    <w:rsid w:val="00E8372F"/>
    <w:rsid w:val="00E925E7"/>
    <w:rsid w:val="00E955BD"/>
    <w:rsid w:val="00EA11C8"/>
    <w:rsid w:val="00EA44EE"/>
    <w:rsid w:val="00EB1A33"/>
    <w:rsid w:val="00F0085C"/>
    <w:rsid w:val="00F06D3A"/>
    <w:rsid w:val="00F16FD0"/>
    <w:rsid w:val="00F42A8A"/>
    <w:rsid w:val="00F8754B"/>
    <w:rsid w:val="00F96B3D"/>
    <w:rsid w:val="00FA4947"/>
    <w:rsid w:val="00FC526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792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5CF"/>
    <w:pPr>
      <w:spacing w:after="200" w:line="276" w:lineRule="auto"/>
    </w:pPr>
    <w:rPr>
      <w:rFonts w:eastAsiaTheme="minorHAnsi"/>
      <w:sz w:val="22"/>
      <w:szCs w:val="22"/>
      <w:lang w:val="en-GB"/>
    </w:rPr>
  </w:style>
  <w:style w:type="paragraph" w:styleId="Heading1">
    <w:name w:val="heading 1"/>
    <w:basedOn w:val="Normal"/>
    <w:next w:val="Normal"/>
    <w:link w:val="Heading1Char"/>
    <w:uiPriority w:val="9"/>
    <w:qFormat/>
    <w:rsid w:val="001015C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015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5CF"/>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1015CF"/>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1015CF"/>
    <w:pPr>
      <w:ind w:left="720"/>
      <w:contextualSpacing/>
    </w:pPr>
  </w:style>
  <w:style w:type="paragraph" w:styleId="FootnoteText">
    <w:name w:val="footnote text"/>
    <w:aliases w:val="FOOTNOTES,fn,single space,ft,Texto nota pie Car,ft Car,ft Car Car,Texto nota pie2,ft1,ft Car Car Car1,Texto nota pie Car2,ft Car Car2,ft Car Car Car,ADB,Footnote,footnote text,Footnote Text Char Car Char,single space1,footnote text1,fn1"/>
    <w:basedOn w:val="Normal"/>
    <w:link w:val="FootnoteTextChar1"/>
    <w:uiPriority w:val="99"/>
    <w:rsid w:val="001015CF"/>
    <w:pPr>
      <w:spacing w:line="264" w:lineRule="auto"/>
    </w:pPr>
    <w:rPr>
      <w:rFonts w:ascii="Times New Roman" w:eastAsia="SimSun" w:hAnsi="Times New Roman" w:cs="Times New Roman"/>
      <w:sz w:val="20"/>
      <w:szCs w:val="20"/>
      <w:lang w:val="en-US"/>
    </w:rPr>
  </w:style>
  <w:style w:type="character" w:customStyle="1" w:styleId="FootnoteTextChar">
    <w:name w:val="Footnote Text Char"/>
    <w:basedOn w:val="DefaultParagraphFont"/>
    <w:uiPriority w:val="99"/>
    <w:rsid w:val="001015CF"/>
    <w:rPr>
      <w:rFonts w:eastAsiaTheme="minorHAnsi"/>
      <w:lang w:val="en-GB"/>
    </w:rPr>
  </w:style>
  <w:style w:type="character" w:customStyle="1" w:styleId="FootnoteTextChar1">
    <w:name w:val="Footnote Text Char1"/>
    <w:aliases w:val="FOOTNOTES Char,fn Char,single space Char,ft Char,Texto nota pie Car Char,ft Car Char,ft Car Car Char,Texto nota pie2 Char,ft1 Char,ft Car Car Car1 Char,Texto nota pie Car2 Char,ft Car Car2 Char,ft Car Car Car Char,ADB Char,fn1 Char"/>
    <w:link w:val="FootnoteText"/>
    <w:uiPriority w:val="99"/>
    <w:locked/>
    <w:rsid w:val="001015CF"/>
    <w:rPr>
      <w:rFonts w:ascii="Times New Roman" w:eastAsia="SimSun" w:hAnsi="Times New Roman" w:cs="Times New Roman"/>
      <w:sz w:val="20"/>
      <w:szCs w:val="20"/>
      <w:lang w:val="en-US"/>
    </w:rPr>
  </w:style>
  <w:style w:type="character" w:styleId="FootnoteReference">
    <w:name w:val="footnote reference"/>
    <w:aliases w:val="ftref"/>
    <w:uiPriority w:val="99"/>
    <w:rsid w:val="001015CF"/>
    <w:rPr>
      <w:sz w:val="20"/>
      <w:vertAlign w:val="superscript"/>
    </w:rPr>
  </w:style>
  <w:style w:type="character" w:styleId="Hyperlink">
    <w:name w:val="Hyperlink"/>
    <w:rsid w:val="001015CF"/>
    <w:rPr>
      <w:color w:val="0000FF"/>
      <w:u w:val="single"/>
    </w:rPr>
  </w:style>
  <w:style w:type="paragraph" w:customStyle="1" w:styleId="ParagraphNumbering">
    <w:name w:val="Paragraph Numbering"/>
    <w:basedOn w:val="Normal"/>
    <w:uiPriority w:val="99"/>
    <w:qFormat/>
    <w:rsid w:val="001015CF"/>
    <w:pPr>
      <w:numPr>
        <w:numId w:val="1"/>
      </w:numPr>
      <w:spacing w:after="240" w:line="264" w:lineRule="auto"/>
    </w:pPr>
    <w:rPr>
      <w:rFonts w:ascii="Times New Roman" w:eastAsia="SimSun" w:hAnsi="Times New Roman" w:cs="Times New Roman"/>
      <w:sz w:val="24"/>
      <w:szCs w:val="20"/>
      <w:lang w:val="x-none" w:eastAsia="x-none"/>
    </w:rPr>
  </w:style>
  <w:style w:type="character" w:styleId="Strong">
    <w:name w:val="Strong"/>
    <w:basedOn w:val="DefaultParagraphFont"/>
    <w:uiPriority w:val="22"/>
    <w:qFormat/>
    <w:rsid w:val="001015CF"/>
    <w:rPr>
      <w:b/>
      <w:bCs/>
    </w:rPr>
  </w:style>
  <w:style w:type="character" w:styleId="CommentReference">
    <w:name w:val="annotation reference"/>
    <w:basedOn w:val="DefaultParagraphFont"/>
    <w:uiPriority w:val="99"/>
    <w:semiHidden/>
    <w:unhideWhenUsed/>
    <w:rsid w:val="00C20587"/>
    <w:rPr>
      <w:sz w:val="18"/>
      <w:szCs w:val="18"/>
    </w:rPr>
  </w:style>
  <w:style w:type="paragraph" w:styleId="CommentText">
    <w:name w:val="annotation text"/>
    <w:basedOn w:val="Normal"/>
    <w:link w:val="CommentTextChar"/>
    <w:uiPriority w:val="99"/>
    <w:semiHidden/>
    <w:unhideWhenUsed/>
    <w:rsid w:val="00C20587"/>
    <w:pPr>
      <w:spacing w:line="240" w:lineRule="auto"/>
    </w:pPr>
    <w:rPr>
      <w:sz w:val="24"/>
      <w:szCs w:val="24"/>
    </w:rPr>
  </w:style>
  <w:style w:type="character" w:customStyle="1" w:styleId="CommentTextChar">
    <w:name w:val="Comment Text Char"/>
    <w:basedOn w:val="DefaultParagraphFont"/>
    <w:link w:val="CommentText"/>
    <w:uiPriority w:val="99"/>
    <w:semiHidden/>
    <w:rsid w:val="00C20587"/>
    <w:rPr>
      <w:rFonts w:eastAsiaTheme="minorHAnsi"/>
      <w:lang w:val="en-GB"/>
    </w:rPr>
  </w:style>
  <w:style w:type="paragraph" w:styleId="CommentSubject">
    <w:name w:val="annotation subject"/>
    <w:basedOn w:val="CommentText"/>
    <w:next w:val="CommentText"/>
    <w:link w:val="CommentSubjectChar"/>
    <w:uiPriority w:val="99"/>
    <w:semiHidden/>
    <w:unhideWhenUsed/>
    <w:rsid w:val="00C20587"/>
    <w:rPr>
      <w:b/>
      <w:bCs/>
      <w:sz w:val="20"/>
      <w:szCs w:val="20"/>
    </w:rPr>
  </w:style>
  <w:style w:type="character" w:customStyle="1" w:styleId="CommentSubjectChar">
    <w:name w:val="Comment Subject Char"/>
    <w:basedOn w:val="CommentTextChar"/>
    <w:link w:val="CommentSubject"/>
    <w:uiPriority w:val="99"/>
    <w:semiHidden/>
    <w:rsid w:val="00C20587"/>
    <w:rPr>
      <w:rFonts w:eastAsiaTheme="minorHAnsi"/>
      <w:b/>
      <w:bCs/>
      <w:sz w:val="20"/>
      <w:szCs w:val="20"/>
      <w:lang w:val="en-GB"/>
    </w:rPr>
  </w:style>
  <w:style w:type="paragraph" w:styleId="BalloonText">
    <w:name w:val="Balloon Text"/>
    <w:basedOn w:val="Normal"/>
    <w:link w:val="BalloonTextChar"/>
    <w:uiPriority w:val="99"/>
    <w:semiHidden/>
    <w:unhideWhenUsed/>
    <w:rsid w:val="00C2058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0587"/>
    <w:rPr>
      <w:rFonts w:ascii="Lucida Grande" w:eastAsiaTheme="minorHAnsi" w:hAnsi="Lucida Grande" w:cs="Lucida Grande"/>
      <w:sz w:val="18"/>
      <w:szCs w:val="18"/>
      <w:lang w:val="en-GB"/>
    </w:rPr>
  </w:style>
  <w:style w:type="character" w:styleId="FollowedHyperlink">
    <w:name w:val="FollowedHyperlink"/>
    <w:basedOn w:val="DefaultParagraphFont"/>
    <w:uiPriority w:val="99"/>
    <w:semiHidden/>
    <w:unhideWhenUsed/>
    <w:rsid w:val="00697BE4"/>
    <w:rPr>
      <w:color w:val="800080" w:themeColor="followedHyperlink"/>
      <w:u w:val="single"/>
    </w:rPr>
  </w:style>
  <w:style w:type="table" w:styleId="TableGrid">
    <w:name w:val="Table Grid"/>
    <w:basedOn w:val="TableNormal"/>
    <w:uiPriority w:val="59"/>
    <w:rsid w:val="00763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82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5CF"/>
    <w:pPr>
      <w:spacing w:after="200" w:line="276" w:lineRule="auto"/>
    </w:pPr>
    <w:rPr>
      <w:rFonts w:eastAsiaTheme="minorHAnsi"/>
      <w:sz w:val="22"/>
      <w:szCs w:val="22"/>
      <w:lang w:val="en-GB"/>
    </w:rPr>
  </w:style>
  <w:style w:type="paragraph" w:styleId="Heading1">
    <w:name w:val="heading 1"/>
    <w:basedOn w:val="Normal"/>
    <w:next w:val="Normal"/>
    <w:link w:val="Heading1Char"/>
    <w:uiPriority w:val="9"/>
    <w:qFormat/>
    <w:rsid w:val="001015C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015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5CF"/>
    <w:rPr>
      <w:rFonts w:asciiTheme="majorHAnsi" w:eastAsiaTheme="majorEastAsia" w:hAnsiTheme="majorHAnsi" w:cstheme="majorBidi"/>
      <w:b/>
      <w:bCs/>
      <w:color w:val="345A8A" w:themeColor="accent1" w:themeShade="B5"/>
      <w:sz w:val="32"/>
      <w:szCs w:val="32"/>
      <w:lang w:val="en-GB"/>
    </w:rPr>
  </w:style>
  <w:style w:type="character" w:customStyle="1" w:styleId="Heading2Char">
    <w:name w:val="Heading 2 Char"/>
    <w:basedOn w:val="DefaultParagraphFont"/>
    <w:link w:val="Heading2"/>
    <w:uiPriority w:val="9"/>
    <w:rsid w:val="001015CF"/>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1015CF"/>
    <w:pPr>
      <w:ind w:left="720"/>
      <w:contextualSpacing/>
    </w:pPr>
  </w:style>
  <w:style w:type="paragraph" w:styleId="FootnoteText">
    <w:name w:val="footnote text"/>
    <w:aliases w:val="FOOTNOTES,fn,single space,ft,Texto nota pie Car,ft Car,ft Car Car,Texto nota pie2,ft1,ft Car Car Car1,Texto nota pie Car2,ft Car Car2,ft Car Car Car,ADB,Footnote,footnote text,Footnote Text Char Car Char,single space1,footnote text1,fn1"/>
    <w:basedOn w:val="Normal"/>
    <w:link w:val="FootnoteTextChar1"/>
    <w:uiPriority w:val="99"/>
    <w:rsid w:val="001015CF"/>
    <w:pPr>
      <w:spacing w:line="264" w:lineRule="auto"/>
    </w:pPr>
    <w:rPr>
      <w:rFonts w:ascii="Times New Roman" w:eastAsia="SimSun" w:hAnsi="Times New Roman" w:cs="Times New Roman"/>
      <w:sz w:val="20"/>
      <w:szCs w:val="20"/>
      <w:lang w:val="en-US"/>
    </w:rPr>
  </w:style>
  <w:style w:type="character" w:customStyle="1" w:styleId="FootnoteTextChar">
    <w:name w:val="Footnote Text Char"/>
    <w:basedOn w:val="DefaultParagraphFont"/>
    <w:uiPriority w:val="99"/>
    <w:rsid w:val="001015CF"/>
    <w:rPr>
      <w:rFonts w:eastAsiaTheme="minorHAnsi"/>
      <w:lang w:val="en-GB"/>
    </w:rPr>
  </w:style>
  <w:style w:type="character" w:customStyle="1" w:styleId="FootnoteTextChar1">
    <w:name w:val="Footnote Text Char1"/>
    <w:aliases w:val="FOOTNOTES Char,fn Char,single space Char,ft Char,Texto nota pie Car Char,ft Car Char,ft Car Car Char,Texto nota pie2 Char,ft1 Char,ft Car Car Car1 Char,Texto nota pie Car2 Char,ft Car Car2 Char,ft Car Car Car Char,ADB Char,fn1 Char"/>
    <w:link w:val="FootnoteText"/>
    <w:uiPriority w:val="99"/>
    <w:locked/>
    <w:rsid w:val="001015CF"/>
    <w:rPr>
      <w:rFonts w:ascii="Times New Roman" w:eastAsia="SimSun" w:hAnsi="Times New Roman" w:cs="Times New Roman"/>
      <w:sz w:val="20"/>
      <w:szCs w:val="20"/>
      <w:lang w:val="en-US"/>
    </w:rPr>
  </w:style>
  <w:style w:type="character" w:styleId="FootnoteReference">
    <w:name w:val="footnote reference"/>
    <w:aliases w:val="ftref"/>
    <w:uiPriority w:val="99"/>
    <w:rsid w:val="001015CF"/>
    <w:rPr>
      <w:sz w:val="20"/>
      <w:vertAlign w:val="superscript"/>
    </w:rPr>
  </w:style>
  <w:style w:type="character" w:styleId="Hyperlink">
    <w:name w:val="Hyperlink"/>
    <w:rsid w:val="001015CF"/>
    <w:rPr>
      <w:color w:val="0000FF"/>
      <w:u w:val="single"/>
    </w:rPr>
  </w:style>
  <w:style w:type="paragraph" w:customStyle="1" w:styleId="ParagraphNumbering">
    <w:name w:val="Paragraph Numbering"/>
    <w:basedOn w:val="Normal"/>
    <w:uiPriority w:val="99"/>
    <w:qFormat/>
    <w:rsid w:val="001015CF"/>
    <w:pPr>
      <w:numPr>
        <w:numId w:val="1"/>
      </w:numPr>
      <w:spacing w:after="240" w:line="264" w:lineRule="auto"/>
    </w:pPr>
    <w:rPr>
      <w:rFonts w:ascii="Times New Roman" w:eastAsia="SimSun" w:hAnsi="Times New Roman" w:cs="Times New Roman"/>
      <w:sz w:val="24"/>
      <w:szCs w:val="20"/>
      <w:lang w:val="x-none" w:eastAsia="x-none"/>
    </w:rPr>
  </w:style>
  <w:style w:type="character" w:styleId="Strong">
    <w:name w:val="Strong"/>
    <w:basedOn w:val="DefaultParagraphFont"/>
    <w:uiPriority w:val="22"/>
    <w:qFormat/>
    <w:rsid w:val="001015CF"/>
    <w:rPr>
      <w:b/>
      <w:bCs/>
    </w:rPr>
  </w:style>
  <w:style w:type="character" w:styleId="CommentReference">
    <w:name w:val="annotation reference"/>
    <w:basedOn w:val="DefaultParagraphFont"/>
    <w:uiPriority w:val="99"/>
    <w:semiHidden/>
    <w:unhideWhenUsed/>
    <w:rsid w:val="00C20587"/>
    <w:rPr>
      <w:sz w:val="18"/>
      <w:szCs w:val="18"/>
    </w:rPr>
  </w:style>
  <w:style w:type="paragraph" w:styleId="CommentText">
    <w:name w:val="annotation text"/>
    <w:basedOn w:val="Normal"/>
    <w:link w:val="CommentTextChar"/>
    <w:uiPriority w:val="99"/>
    <w:semiHidden/>
    <w:unhideWhenUsed/>
    <w:rsid w:val="00C20587"/>
    <w:pPr>
      <w:spacing w:line="240" w:lineRule="auto"/>
    </w:pPr>
    <w:rPr>
      <w:sz w:val="24"/>
      <w:szCs w:val="24"/>
    </w:rPr>
  </w:style>
  <w:style w:type="character" w:customStyle="1" w:styleId="CommentTextChar">
    <w:name w:val="Comment Text Char"/>
    <w:basedOn w:val="DefaultParagraphFont"/>
    <w:link w:val="CommentText"/>
    <w:uiPriority w:val="99"/>
    <w:semiHidden/>
    <w:rsid w:val="00C20587"/>
    <w:rPr>
      <w:rFonts w:eastAsiaTheme="minorHAnsi"/>
      <w:lang w:val="en-GB"/>
    </w:rPr>
  </w:style>
  <w:style w:type="paragraph" w:styleId="CommentSubject">
    <w:name w:val="annotation subject"/>
    <w:basedOn w:val="CommentText"/>
    <w:next w:val="CommentText"/>
    <w:link w:val="CommentSubjectChar"/>
    <w:uiPriority w:val="99"/>
    <w:semiHidden/>
    <w:unhideWhenUsed/>
    <w:rsid w:val="00C20587"/>
    <w:rPr>
      <w:b/>
      <w:bCs/>
      <w:sz w:val="20"/>
      <w:szCs w:val="20"/>
    </w:rPr>
  </w:style>
  <w:style w:type="character" w:customStyle="1" w:styleId="CommentSubjectChar">
    <w:name w:val="Comment Subject Char"/>
    <w:basedOn w:val="CommentTextChar"/>
    <w:link w:val="CommentSubject"/>
    <w:uiPriority w:val="99"/>
    <w:semiHidden/>
    <w:rsid w:val="00C20587"/>
    <w:rPr>
      <w:rFonts w:eastAsiaTheme="minorHAnsi"/>
      <w:b/>
      <w:bCs/>
      <w:sz w:val="20"/>
      <w:szCs w:val="20"/>
      <w:lang w:val="en-GB"/>
    </w:rPr>
  </w:style>
  <w:style w:type="paragraph" w:styleId="BalloonText">
    <w:name w:val="Balloon Text"/>
    <w:basedOn w:val="Normal"/>
    <w:link w:val="BalloonTextChar"/>
    <w:uiPriority w:val="99"/>
    <w:semiHidden/>
    <w:unhideWhenUsed/>
    <w:rsid w:val="00C2058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0587"/>
    <w:rPr>
      <w:rFonts w:ascii="Lucida Grande" w:eastAsiaTheme="minorHAnsi" w:hAnsi="Lucida Grande" w:cs="Lucida Grande"/>
      <w:sz w:val="18"/>
      <w:szCs w:val="18"/>
      <w:lang w:val="en-GB"/>
    </w:rPr>
  </w:style>
  <w:style w:type="character" w:styleId="FollowedHyperlink">
    <w:name w:val="FollowedHyperlink"/>
    <w:basedOn w:val="DefaultParagraphFont"/>
    <w:uiPriority w:val="99"/>
    <w:semiHidden/>
    <w:unhideWhenUsed/>
    <w:rsid w:val="00697BE4"/>
    <w:rPr>
      <w:color w:val="800080" w:themeColor="followedHyperlink"/>
      <w:u w:val="single"/>
    </w:rPr>
  </w:style>
  <w:style w:type="table" w:styleId="TableGrid">
    <w:name w:val="Table Grid"/>
    <w:basedOn w:val="TableNormal"/>
    <w:uiPriority w:val="59"/>
    <w:rsid w:val="00763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482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5990">
      <w:bodyDiv w:val="1"/>
      <w:marLeft w:val="0"/>
      <w:marRight w:val="0"/>
      <w:marTop w:val="0"/>
      <w:marBottom w:val="0"/>
      <w:divBdr>
        <w:top w:val="none" w:sz="0" w:space="0" w:color="auto"/>
        <w:left w:val="none" w:sz="0" w:space="0" w:color="auto"/>
        <w:bottom w:val="none" w:sz="0" w:space="0" w:color="auto"/>
        <w:right w:val="none" w:sz="0" w:space="0" w:color="auto"/>
      </w:divBdr>
      <w:divsChild>
        <w:div w:id="1955941682">
          <w:marLeft w:val="547"/>
          <w:marRight w:val="0"/>
          <w:marTop w:val="106"/>
          <w:marBottom w:val="0"/>
          <w:divBdr>
            <w:top w:val="none" w:sz="0" w:space="0" w:color="auto"/>
            <w:left w:val="none" w:sz="0" w:space="0" w:color="auto"/>
            <w:bottom w:val="none" w:sz="0" w:space="0" w:color="auto"/>
            <w:right w:val="none" w:sz="0" w:space="0" w:color="auto"/>
          </w:divBdr>
        </w:div>
        <w:div w:id="451443348">
          <w:marLeft w:val="547"/>
          <w:marRight w:val="0"/>
          <w:marTop w:val="106"/>
          <w:marBottom w:val="0"/>
          <w:divBdr>
            <w:top w:val="none" w:sz="0" w:space="0" w:color="auto"/>
            <w:left w:val="none" w:sz="0" w:space="0" w:color="auto"/>
            <w:bottom w:val="none" w:sz="0" w:space="0" w:color="auto"/>
            <w:right w:val="none" w:sz="0" w:space="0" w:color="auto"/>
          </w:divBdr>
        </w:div>
        <w:div w:id="930894627">
          <w:marLeft w:val="547"/>
          <w:marRight w:val="0"/>
          <w:marTop w:val="106"/>
          <w:marBottom w:val="0"/>
          <w:divBdr>
            <w:top w:val="none" w:sz="0" w:space="0" w:color="auto"/>
            <w:left w:val="none" w:sz="0" w:space="0" w:color="auto"/>
            <w:bottom w:val="none" w:sz="0" w:space="0" w:color="auto"/>
            <w:right w:val="none" w:sz="0" w:space="0" w:color="auto"/>
          </w:divBdr>
        </w:div>
        <w:div w:id="1674913210">
          <w:marLeft w:val="547"/>
          <w:marRight w:val="0"/>
          <w:marTop w:val="106"/>
          <w:marBottom w:val="0"/>
          <w:divBdr>
            <w:top w:val="none" w:sz="0" w:space="0" w:color="auto"/>
            <w:left w:val="none" w:sz="0" w:space="0" w:color="auto"/>
            <w:bottom w:val="none" w:sz="0" w:space="0" w:color="auto"/>
            <w:right w:val="none" w:sz="0" w:space="0" w:color="auto"/>
          </w:divBdr>
        </w:div>
        <w:div w:id="1156609855">
          <w:marLeft w:val="547"/>
          <w:marRight w:val="0"/>
          <w:marTop w:val="106"/>
          <w:marBottom w:val="0"/>
          <w:divBdr>
            <w:top w:val="none" w:sz="0" w:space="0" w:color="auto"/>
            <w:left w:val="none" w:sz="0" w:space="0" w:color="auto"/>
            <w:bottom w:val="none" w:sz="0" w:space="0" w:color="auto"/>
            <w:right w:val="none" w:sz="0" w:space="0" w:color="auto"/>
          </w:divBdr>
        </w:div>
        <w:div w:id="1953393482">
          <w:marLeft w:val="547"/>
          <w:marRight w:val="0"/>
          <w:marTop w:val="106"/>
          <w:marBottom w:val="0"/>
          <w:divBdr>
            <w:top w:val="none" w:sz="0" w:space="0" w:color="auto"/>
            <w:left w:val="none" w:sz="0" w:space="0" w:color="auto"/>
            <w:bottom w:val="none" w:sz="0" w:space="0" w:color="auto"/>
            <w:right w:val="none" w:sz="0" w:space="0" w:color="auto"/>
          </w:divBdr>
        </w:div>
        <w:div w:id="1337609767">
          <w:marLeft w:val="547"/>
          <w:marRight w:val="0"/>
          <w:marTop w:val="106"/>
          <w:marBottom w:val="0"/>
          <w:divBdr>
            <w:top w:val="none" w:sz="0" w:space="0" w:color="auto"/>
            <w:left w:val="none" w:sz="0" w:space="0" w:color="auto"/>
            <w:bottom w:val="none" w:sz="0" w:space="0" w:color="auto"/>
            <w:right w:val="none" w:sz="0" w:space="0" w:color="auto"/>
          </w:divBdr>
        </w:div>
        <w:div w:id="472791471">
          <w:marLeft w:val="547"/>
          <w:marRight w:val="0"/>
          <w:marTop w:val="10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5.xml"/><Relationship Id="rId22" Type="http://schemas.openxmlformats.org/officeDocument/2006/relationships/chart" Target="charts/chart13.xml"/></Relationships>
</file>

<file path=word/_rels/footnotes.xml.rels><?xml version="1.0" encoding="UTF-8" standalone="yes"?>
<Relationships xmlns="http://schemas.openxmlformats.org/package/2006/relationships"><Relationship Id="rId3" Type="http://schemas.openxmlformats.org/officeDocument/2006/relationships/hyperlink" Target="https://ru.surveymonkey.com/r/SS7858H" TargetMode="External"/><Relationship Id="rId2" Type="http://schemas.openxmlformats.org/officeDocument/2006/relationships/hyperlink" Target="https://ru.surveymonkey.com/r/JD7JTQT" TargetMode="External"/><Relationship Id="rId1" Type="http://schemas.openxmlformats.org/officeDocument/2006/relationships/hyperlink" Target="https://www.surveymonkey.com/s/VL88C6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Mark:Documents:2015:PEMPAL:Albania:Questionnaire:commitment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Sheet1!$A$26:$A$30</c:f>
              <c:strCache>
                <c:ptCount val="5"/>
                <c:pt idx="0">
                  <c:v>Central FMIS</c:v>
                </c:pt>
                <c:pt idx="1">
                  <c:v>Procurement System/Portal</c:v>
                </c:pt>
                <c:pt idx="2">
                  <c:v>Line Ministry FMIS</c:v>
                </c:pt>
                <c:pt idx="3">
                  <c:v>In a Manual Register in Line Ministry</c:v>
                </c:pt>
                <c:pt idx="4">
                  <c:v>In The Treasury</c:v>
                </c:pt>
              </c:strCache>
            </c:strRef>
          </c:cat>
          <c:val>
            <c:numRef>
              <c:f>Sheet1!$B$26:$B$30</c:f>
              <c:numCache>
                <c:formatCode>General</c:formatCode>
                <c:ptCount val="5"/>
                <c:pt idx="0">
                  <c:v>6</c:v>
                </c:pt>
                <c:pt idx="1">
                  <c:v>4</c:v>
                </c:pt>
                <c:pt idx="2">
                  <c:v>3</c:v>
                </c:pt>
                <c:pt idx="3">
                  <c:v>2</c:v>
                </c:pt>
                <c:pt idx="4">
                  <c:v>1</c:v>
                </c:pt>
              </c:numCache>
            </c:numRef>
          </c:val>
        </c:ser>
        <c:dLbls>
          <c:showLegendKey val="0"/>
          <c:showVal val="0"/>
          <c:showCatName val="0"/>
          <c:showSerName val="0"/>
          <c:showPercent val="0"/>
          <c:showBubbleSize val="0"/>
        </c:dLbls>
        <c:gapWidth val="150"/>
        <c:shape val="box"/>
        <c:axId val="253797120"/>
        <c:axId val="254838272"/>
        <c:axId val="0"/>
      </c:bar3DChart>
      <c:catAx>
        <c:axId val="253797120"/>
        <c:scaling>
          <c:orientation val="minMax"/>
        </c:scaling>
        <c:delete val="0"/>
        <c:axPos val="b"/>
        <c:numFmt formatCode="General" sourceLinked="0"/>
        <c:majorTickMark val="out"/>
        <c:minorTickMark val="none"/>
        <c:tickLblPos val="nextTo"/>
        <c:crossAx val="254838272"/>
        <c:crosses val="autoZero"/>
        <c:auto val="1"/>
        <c:lblAlgn val="ctr"/>
        <c:lblOffset val="100"/>
        <c:noMultiLvlLbl val="0"/>
      </c:catAx>
      <c:valAx>
        <c:axId val="254838272"/>
        <c:scaling>
          <c:orientation val="minMax"/>
        </c:scaling>
        <c:delete val="0"/>
        <c:axPos val="l"/>
        <c:majorGridlines/>
        <c:numFmt formatCode="General" sourceLinked="1"/>
        <c:majorTickMark val="out"/>
        <c:minorTickMark val="none"/>
        <c:tickLblPos val="nextTo"/>
        <c:crossAx val="25379712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dPt>
          <c:dPt>
            <c:idx val="1"/>
            <c:invertIfNegative val="0"/>
            <c:bubble3D val="0"/>
          </c:dPt>
          <c:dPt>
            <c:idx val="2"/>
            <c:invertIfNegative val="0"/>
            <c:bubble3D val="0"/>
          </c:dPt>
          <c:dPt>
            <c:idx val="3"/>
            <c:invertIfNegative val="0"/>
            <c:bubble3D val="0"/>
          </c:dPt>
          <c:cat>
            <c:strRef>
              <c:f>Sheet1!$A$125:$A$128</c:f>
              <c:strCache>
                <c:ptCount val="4"/>
                <c:pt idx="0">
                  <c:v>Yes</c:v>
                </c:pt>
                <c:pt idx="1">
                  <c:v>No</c:v>
                </c:pt>
                <c:pt idx="2">
                  <c:v>Definition similar</c:v>
                </c:pt>
                <c:pt idx="3">
                  <c:v>Definition Different</c:v>
                </c:pt>
              </c:strCache>
            </c:strRef>
          </c:cat>
          <c:val>
            <c:numRef>
              <c:f>Sheet1!$B$125:$B$128</c:f>
              <c:numCache>
                <c:formatCode>General</c:formatCode>
                <c:ptCount val="4"/>
                <c:pt idx="0">
                  <c:v>8</c:v>
                </c:pt>
                <c:pt idx="1">
                  <c:v>4</c:v>
                </c:pt>
                <c:pt idx="2">
                  <c:v>7</c:v>
                </c:pt>
                <c:pt idx="3">
                  <c:v>1</c:v>
                </c:pt>
              </c:numCache>
            </c:numRef>
          </c:val>
        </c:ser>
        <c:dLbls>
          <c:showLegendKey val="0"/>
          <c:showVal val="0"/>
          <c:showCatName val="0"/>
          <c:showSerName val="0"/>
          <c:showPercent val="0"/>
          <c:showBubbleSize val="0"/>
        </c:dLbls>
        <c:gapWidth val="150"/>
        <c:shape val="cone"/>
        <c:axId val="253686528"/>
        <c:axId val="253688064"/>
        <c:axId val="0"/>
      </c:bar3DChart>
      <c:catAx>
        <c:axId val="253686528"/>
        <c:scaling>
          <c:orientation val="minMax"/>
        </c:scaling>
        <c:delete val="0"/>
        <c:axPos val="b"/>
        <c:numFmt formatCode="General" sourceLinked="0"/>
        <c:majorTickMark val="out"/>
        <c:minorTickMark val="none"/>
        <c:tickLblPos val="nextTo"/>
        <c:crossAx val="253688064"/>
        <c:crosses val="autoZero"/>
        <c:auto val="1"/>
        <c:lblAlgn val="ctr"/>
        <c:lblOffset val="100"/>
        <c:noMultiLvlLbl val="0"/>
      </c:catAx>
      <c:valAx>
        <c:axId val="253688064"/>
        <c:scaling>
          <c:orientation val="minMax"/>
        </c:scaling>
        <c:delete val="0"/>
        <c:axPos val="l"/>
        <c:majorGridlines/>
        <c:numFmt formatCode="General" sourceLinked="1"/>
        <c:majorTickMark val="out"/>
        <c:minorTickMark val="none"/>
        <c:tickLblPos val="nextTo"/>
        <c:crossAx val="253686528"/>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invertIfNegative val="0"/>
          <c:cat>
            <c:strRef>
              <c:f>Sheet1!$A$133:$A$137</c:f>
              <c:strCache>
                <c:ptCount val="5"/>
                <c:pt idx="0">
                  <c:v>1 day</c:v>
                </c:pt>
                <c:pt idx="1">
                  <c:v>3 Days</c:v>
                </c:pt>
                <c:pt idx="2">
                  <c:v>30 Days</c:v>
                </c:pt>
                <c:pt idx="3">
                  <c:v>60 Days</c:v>
                </c:pt>
                <c:pt idx="4">
                  <c:v>Defined in the contract</c:v>
                </c:pt>
              </c:strCache>
            </c:strRef>
          </c:cat>
          <c:val>
            <c:numRef>
              <c:f>Sheet1!$B$133:$B$137</c:f>
              <c:numCache>
                <c:formatCode>General</c:formatCode>
                <c:ptCount val="5"/>
                <c:pt idx="0">
                  <c:v>1</c:v>
                </c:pt>
                <c:pt idx="1">
                  <c:v>1</c:v>
                </c:pt>
                <c:pt idx="2">
                  <c:v>2</c:v>
                </c:pt>
                <c:pt idx="3">
                  <c:v>2</c:v>
                </c:pt>
                <c:pt idx="4">
                  <c:v>2</c:v>
                </c:pt>
              </c:numCache>
            </c:numRef>
          </c:val>
        </c:ser>
        <c:dLbls>
          <c:showLegendKey val="0"/>
          <c:showVal val="0"/>
          <c:showCatName val="0"/>
          <c:showSerName val="0"/>
          <c:showPercent val="0"/>
          <c:showBubbleSize val="0"/>
        </c:dLbls>
        <c:gapWidth val="75"/>
        <c:overlap val="-25"/>
        <c:axId val="253695872"/>
        <c:axId val="253697408"/>
      </c:barChart>
      <c:catAx>
        <c:axId val="253695872"/>
        <c:scaling>
          <c:orientation val="minMax"/>
        </c:scaling>
        <c:delete val="0"/>
        <c:axPos val="b"/>
        <c:numFmt formatCode="General" sourceLinked="0"/>
        <c:majorTickMark val="none"/>
        <c:minorTickMark val="none"/>
        <c:tickLblPos val="nextTo"/>
        <c:crossAx val="253697408"/>
        <c:crosses val="autoZero"/>
        <c:auto val="1"/>
        <c:lblAlgn val="ctr"/>
        <c:lblOffset val="100"/>
        <c:noMultiLvlLbl val="0"/>
      </c:catAx>
      <c:valAx>
        <c:axId val="253697408"/>
        <c:scaling>
          <c:orientation val="minMax"/>
        </c:scaling>
        <c:delete val="0"/>
        <c:axPos val="l"/>
        <c:majorGridlines/>
        <c:numFmt formatCode="General" sourceLinked="1"/>
        <c:majorTickMark val="none"/>
        <c:minorTickMark val="none"/>
        <c:tickLblPos val="nextTo"/>
        <c:spPr>
          <a:ln w="9525">
            <a:noFill/>
          </a:ln>
        </c:spPr>
        <c:crossAx val="253695872"/>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dPt>
            <c:idx val="0"/>
            <c:invertIfNegative val="0"/>
            <c:bubble3D val="0"/>
            <c:spPr>
              <a:solidFill>
                <a:srgbClr val="F79646"/>
              </a:solidFill>
            </c:spPr>
          </c:dPt>
          <c:dPt>
            <c:idx val="1"/>
            <c:invertIfNegative val="0"/>
            <c:bubble3D val="0"/>
            <c:spPr>
              <a:solidFill>
                <a:srgbClr val="F79646"/>
              </a:solidFill>
            </c:spPr>
          </c:dPt>
          <c:cat>
            <c:strRef>
              <c:f>Sheet1!$A$141:$A$148</c:f>
              <c:strCache>
                <c:ptCount val="8"/>
                <c:pt idx="0">
                  <c:v>Yes</c:v>
                </c:pt>
                <c:pt idx="1">
                  <c:v>No</c:v>
                </c:pt>
                <c:pt idx="2">
                  <c:v>Discount from supplier</c:v>
                </c:pt>
                <c:pt idx="3">
                  <c:v>Defined in Contract</c:v>
                </c:pt>
                <c:pt idx="4">
                  <c:v>Insufficient Funds</c:v>
                </c:pt>
                <c:pt idx="5">
                  <c:v>MDA decision</c:v>
                </c:pt>
                <c:pt idx="6">
                  <c:v>Treasury Decision</c:v>
                </c:pt>
                <c:pt idx="7">
                  <c:v>Emergency and technical Issues</c:v>
                </c:pt>
              </c:strCache>
            </c:strRef>
          </c:cat>
          <c:val>
            <c:numRef>
              <c:f>Sheet1!$B$141:$B$148</c:f>
              <c:numCache>
                <c:formatCode>General</c:formatCode>
                <c:ptCount val="8"/>
                <c:pt idx="0">
                  <c:v>6</c:v>
                </c:pt>
                <c:pt idx="1">
                  <c:v>2</c:v>
                </c:pt>
                <c:pt idx="2">
                  <c:v>0</c:v>
                </c:pt>
                <c:pt idx="3">
                  <c:v>6</c:v>
                </c:pt>
                <c:pt idx="4">
                  <c:v>2</c:v>
                </c:pt>
                <c:pt idx="5">
                  <c:v>2</c:v>
                </c:pt>
                <c:pt idx="6">
                  <c:v>2</c:v>
                </c:pt>
                <c:pt idx="7">
                  <c:v>1</c:v>
                </c:pt>
              </c:numCache>
            </c:numRef>
          </c:val>
        </c:ser>
        <c:dLbls>
          <c:showLegendKey val="0"/>
          <c:showVal val="0"/>
          <c:showCatName val="0"/>
          <c:showSerName val="0"/>
          <c:showPercent val="0"/>
          <c:showBubbleSize val="0"/>
        </c:dLbls>
        <c:gapWidth val="150"/>
        <c:axId val="253730176"/>
        <c:axId val="253736064"/>
      </c:barChart>
      <c:catAx>
        <c:axId val="253730176"/>
        <c:scaling>
          <c:orientation val="minMax"/>
        </c:scaling>
        <c:delete val="0"/>
        <c:axPos val="b"/>
        <c:numFmt formatCode="General" sourceLinked="0"/>
        <c:majorTickMark val="out"/>
        <c:minorTickMark val="none"/>
        <c:tickLblPos val="nextTo"/>
        <c:crossAx val="253736064"/>
        <c:crosses val="autoZero"/>
        <c:auto val="1"/>
        <c:lblAlgn val="ctr"/>
        <c:lblOffset val="100"/>
        <c:noMultiLvlLbl val="0"/>
      </c:catAx>
      <c:valAx>
        <c:axId val="253736064"/>
        <c:scaling>
          <c:orientation val="minMax"/>
        </c:scaling>
        <c:delete val="0"/>
        <c:axPos val="l"/>
        <c:majorGridlines/>
        <c:numFmt formatCode="General" sourceLinked="1"/>
        <c:majorTickMark val="out"/>
        <c:minorTickMark val="none"/>
        <c:tickLblPos val="nextTo"/>
        <c:crossAx val="253730176"/>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spPr>
            <a:solidFill>
              <a:srgbClr val="47FF1F"/>
            </a:solidFill>
          </c:spPr>
          <c:invertIfNegative val="0"/>
          <c:dPt>
            <c:idx val="2"/>
            <c:invertIfNegative val="0"/>
            <c:bubble3D val="0"/>
            <c:spPr>
              <a:solidFill>
                <a:srgbClr val="F79646"/>
              </a:solidFill>
            </c:spPr>
          </c:dPt>
          <c:dPt>
            <c:idx val="3"/>
            <c:invertIfNegative val="0"/>
            <c:bubble3D val="0"/>
            <c:spPr>
              <a:solidFill>
                <a:srgbClr val="F79646"/>
              </a:solidFill>
            </c:spPr>
          </c:dPt>
          <c:dPt>
            <c:idx val="4"/>
            <c:invertIfNegative val="0"/>
            <c:bubble3D val="0"/>
            <c:spPr>
              <a:solidFill>
                <a:srgbClr val="953735"/>
              </a:solidFill>
            </c:spPr>
          </c:dPt>
          <c:dPt>
            <c:idx val="5"/>
            <c:invertIfNegative val="0"/>
            <c:bubble3D val="0"/>
            <c:spPr>
              <a:solidFill>
                <a:srgbClr val="953735"/>
              </a:solidFill>
            </c:spPr>
          </c:dPt>
          <c:cat>
            <c:strRef>
              <c:f>Sheet1!$A$153:$A$158</c:f>
              <c:strCache>
                <c:ptCount val="6"/>
                <c:pt idx="0">
                  <c:v>Defines Budgetary Arrears  - yes</c:v>
                </c:pt>
                <c:pt idx="1">
                  <c:v>Defines Budgetary Arrears - no</c:v>
                </c:pt>
                <c:pt idx="2">
                  <c:v>Definition Similar </c:v>
                </c:pt>
                <c:pt idx="3">
                  <c:v>Definition Different</c:v>
                </c:pt>
                <c:pt idx="4">
                  <c:v>Report Arrears</c:v>
                </c:pt>
                <c:pt idx="5">
                  <c:v>Do not Report Arrears</c:v>
                </c:pt>
              </c:strCache>
            </c:strRef>
          </c:cat>
          <c:val>
            <c:numRef>
              <c:f>Sheet1!$B$153:$B$158</c:f>
              <c:numCache>
                <c:formatCode>General</c:formatCode>
                <c:ptCount val="6"/>
                <c:pt idx="0">
                  <c:v>9</c:v>
                </c:pt>
                <c:pt idx="1">
                  <c:v>3</c:v>
                </c:pt>
                <c:pt idx="2">
                  <c:v>8</c:v>
                </c:pt>
                <c:pt idx="3">
                  <c:v>1</c:v>
                </c:pt>
                <c:pt idx="4">
                  <c:v>8</c:v>
                </c:pt>
                <c:pt idx="5">
                  <c:v>4</c:v>
                </c:pt>
              </c:numCache>
            </c:numRef>
          </c:val>
        </c:ser>
        <c:dLbls>
          <c:showLegendKey val="0"/>
          <c:showVal val="0"/>
          <c:showCatName val="0"/>
          <c:showSerName val="0"/>
          <c:showPercent val="0"/>
          <c:showBubbleSize val="0"/>
        </c:dLbls>
        <c:gapWidth val="150"/>
        <c:axId val="253769600"/>
        <c:axId val="253771136"/>
      </c:barChart>
      <c:catAx>
        <c:axId val="253769600"/>
        <c:scaling>
          <c:orientation val="minMax"/>
        </c:scaling>
        <c:delete val="0"/>
        <c:axPos val="b"/>
        <c:numFmt formatCode="General" sourceLinked="0"/>
        <c:majorTickMark val="out"/>
        <c:minorTickMark val="none"/>
        <c:tickLblPos val="nextTo"/>
        <c:crossAx val="253771136"/>
        <c:crosses val="autoZero"/>
        <c:auto val="1"/>
        <c:lblAlgn val="ctr"/>
        <c:lblOffset val="100"/>
        <c:noMultiLvlLbl val="0"/>
      </c:catAx>
      <c:valAx>
        <c:axId val="253771136"/>
        <c:scaling>
          <c:orientation val="minMax"/>
        </c:scaling>
        <c:delete val="0"/>
        <c:axPos val="l"/>
        <c:majorGridlines/>
        <c:numFmt formatCode="General" sourceLinked="1"/>
        <c:majorTickMark val="out"/>
        <c:minorTickMark val="none"/>
        <c:tickLblPos val="nextTo"/>
        <c:crossAx val="253769600"/>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2"/>
            <c:invertIfNegative val="0"/>
            <c:bubble3D val="0"/>
            <c:spPr>
              <a:solidFill>
                <a:schemeClr val="bg2">
                  <a:lumMod val="50000"/>
                </a:schemeClr>
              </a:solidFill>
            </c:spPr>
          </c:dPt>
          <c:dPt>
            <c:idx val="3"/>
            <c:invertIfNegative val="0"/>
            <c:bubble3D val="0"/>
            <c:spPr>
              <a:solidFill>
                <a:srgbClr val="948A54"/>
              </a:solidFill>
            </c:spPr>
          </c:dPt>
          <c:cat>
            <c:strRef>
              <c:f>Sheet1!$A$177:$A$180</c:f>
              <c:strCache>
                <c:ptCount val="4"/>
                <c:pt idx="0">
                  <c:v>Yes</c:v>
                </c:pt>
                <c:pt idx="1">
                  <c:v>No</c:v>
                </c:pt>
                <c:pt idx="2">
                  <c:v>Defined in the contract</c:v>
                </c:pt>
                <c:pt idx="3">
                  <c:v>Defined in a separate law</c:v>
                </c:pt>
              </c:strCache>
            </c:strRef>
          </c:cat>
          <c:val>
            <c:numRef>
              <c:f>Sheet1!$B$177:$B$180</c:f>
              <c:numCache>
                <c:formatCode>General</c:formatCode>
                <c:ptCount val="4"/>
                <c:pt idx="0">
                  <c:v>4</c:v>
                </c:pt>
                <c:pt idx="1">
                  <c:v>8</c:v>
                </c:pt>
                <c:pt idx="2">
                  <c:v>3</c:v>
                </c:pt>
                <c:pt idx="3">
                  <c:v>1</c:v>
                </c:pt>
              </c:numCache>
            </c:numRef>
          </c:val>
        </c:ser>
        <c:dLbls>
          <c:showLegendKey val="0"/>
          <c:showVal val="0"/>
          <c:showCatName val="0"/>
          <c:showSerName val="0"/>
          <c:showPercent val="0"/>
          <c:showBubbleSize val="0"/>
        </c:dLbls>
        <c:gapWidth val="150"/>
        <c:shape val="cylinder"/>
        <c:axId val="254943232"/>
        <c:axId val="254944768"/>
        <c:axId val="0"/>
      </c:bar3DChart>
      <c:catAx>
        <c:axId val="254943232"/>
        <c:scaling>
          <c:orientation val="minMax"/>
        </c:scaling>
        <c:delete val="0"/>
        <c:axPos val="b"/>
        <c:numFmt formatCode="General" sourceLinked="0"/>
        <c:majorTickMark val="out"/>
        <c:minorTickMark val="none"/>
        <c:tickLblPos val="nextTo"/>
        <c:crossAx val="254944768"/>
        <c:crosses val="autoZero"/>
        <c:auto val="1"/>
        <c:lblAlgn val="ctr"/>
        <c:lblOffset val="100"/>
        <c:noMultiLvlLbl val="0"/>
      </c:catAx>
      <c:valAx>
        <c:axId val="254944768"/>
        <c:scaling>
          <c:orientation val="minMax"/>
        </c:scaling>
        <c:delete val="0"/>
        <c:axPos val="l"/>
        <c:majorGridlines/>
        <c:numFmt formatCode="General" sourceLinked="1"/>
        <c:majorTickMark val="out"/>
        <c:minorTickMark val="none"/>
        <c:tickLblPos val="nextTo"/>
        <c:crossAx val="2549432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5.2851706036745397E-2"/>
          <c:y val="4.6296296296296301E-2"/>
          <c:w val="0.90270384951881"/>
          <c:h val="0.76697579469233002"/>
        </c:manualLayout>
      </c:layout>
      <c:barChart>
        <c:barDir val="col"/>
        <c:grouping val="clustered"/>
        <c:varyColors val="0"/>
        <c:ser>
          <c:idx val="0"/>
          <c:order val="0"/>
          <c:invertIfNegative val="0"/>
          <c:cat>
            <c:strRef>
              <c:f>Sheet1!$A$35:$A$38</c:f>
              <c:strCache>
                <c:ptCount val="4"/>
                <c:pt idx="0">
                  <c:v>PFM and Procurement Law</c:v>
                </c:pt>
                <c:pt idx="1">
                  <c:v>General PFM Law</c:v>
                </c:pt>
                <c:pt idx="2">
                  <c:v>Procurement Law</c:v>
                </c:pt>
                <c:pt idx="3">
                  <c:v>Other Legislative Instrument Only</c:v>
                </c:pt>
              </c:strCache>
            </c:strRef>
          </c:cat>
          <c:val>
            <c:numRef>
              <c:f>Sheet1!$B$35:$B$38</c:f>
              <c:numCache>
                <c:formatCode>General</c:formatCode>
                <c:ptCount val="4"/>
                <c:pt idx="0">
                  <c:v>2</c:v>
                </c:pt>
                <c:pt idx="1">
                  <c:v>5</c:v>
                </c:pt>
                <c:pt idx="2">
                  <c:v>1</c:v>
                </c:pt>
                <c:pt idx="3">
                  <c:v>4</c:v>
                </c:pt>
              </c:numCache>
            </c:numRef>
          </c:val>
        </c:ser>
        <c:dLbls>
          <c:showLegendKey val="0"/>
          <c:showVal val="0"/>
          <c:showCatName val="0"/>
          <c:showSerName val="0"/>
          <c:showPercent val="0"/>
          <c:showBubbleSize val="0"/>
        </c:dLbls>
        <c:gapWidth val="150"/>
        <c:axId val="325846528"/>
        <c:axId val="325848064"/>
      </c:barChart>
      <c:catAx>
        <c:axId val="325846528"/>
        <c:scaling>
          <c:orientation val="minMax"/>
        </c:scaling>
        <c:delete val="0"/>
        <c:axPos val="b"/>
        <c:numFmt formatCode="General" sourceLinked="0"/>
        <c:majorTickMark val="out"/>
        <c:minorTickMark val="none"/>
        <c:tickLblPos val="nextTo"/>
        <c:crossAx val="325848064"/>
        <c:crosses val="autoZero"/>
        <c:auto val="1"/>
        <c:lblAlgn val="ctr"/>
        <c:lblOffset val="100"/>
        <c:noMultiLvlLbl val="0"/>
      </c:catAx>
      <c:valAx>
        <c:axId val="325848064"/>
        <c:scaling>
          <c:orientation val="minMax"/>
        </c:scaling>
        <c:delete val="0"/>
        <c:axPos val="l"/>
        <c:majorGridlines/>
        <c:numFmt formatCode="General" sourceLinked="1"/>
        <c:majorTickMark val="out"/>
        <c:minorTickMark val="none"/>
        <c:tickLblPos val="nextTo"/>
        <c:crossAx val="3258465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FFFF00"/>
            </a:solidFill>
          </c:spPr>
          <c:invertIfNegative val="0"/>
          <c:cat>
            <c:strRef>
              <c:f>Sheet1!$A$41:$A$44</c:f>
              <c:strCache>
                <c:ptCount val="4"/>
                <c:pt idx="0">
                  <c:v>Central FMIS</c:v>
                </c:pt>
                <c:pt idx="1">
                  <c:v>Treasury</c:v>
                </c:pt>
                <c:pt idx="2">
                  <c:v>Procurement System/Portal</c:v>
                </c:pt>
                <c:pt idx="3">
                  <c:v>MDA FMIS</c:v>
                </c:pt>
              </c:strCache>
            </c:strRef>
          </c:cat>
          <c:val>
            <c:numRef>
              <c:f>Sheet1!$B$41:$B$44</c:f>
              <c:numCache>
                <c:formatCode>General</c:formatCode>
                <c:ptCount val="4"/>
                <c:pt idx="0">
                  <c:v>10</c:v>
                </c:pt>
                <c:pt idx="1">
                  <c:v>2</c:v>
                </c:pt>
                <c:pt idx="2">
                  <c:v>2</c:v>
                </c:pt>
                <c:pt idx="3">
                  <c:v>4</c:v>
                </c:pt>
              </c:numCache>
            </c:numRef>
          </c:val>
        </c:ser>
        <c:dLbls>
          <c:showLegendKey val="0"/>
          <c:showVal val="0"/>
          <c:showCatName val="0"/>
          <c:showSerName val="0"/>
          <c:showPercent val="0"/>
          <c:showBubbleSize val="0"/>
        </c:dLbls>
        <c:gapWidth val="150"/>
        <c:shape val="pyramid"/>
        <c:axId val="251464320"/>
        <c:axId val="251466112"/>
        <c:axId val="0"/>
      </c:bar3DChart>
      <c:catAx>
        <c:axId val="251464320"/>
        <c:scaling>
          <c:orientation val="minMax"/>
        </c:scaling>
        <c:delete val="0"/>
        <c:axPos val="b"/>
        <c:numFmt formatCode="General" sourceLinked="0"/>
        <c:majorTickMark val="out"/>
        <c:minorTickMark val="none"/>
        <c:tickLblPos val="nextTo"/>
        <c:crossAx val="251466112"/>
        <c:crosses val="autoZero"/>
        <c:auto val="1"/>
        <c:lblAlgn val="ctr"/>
        <c:lblOffset val="100"/>
        <c:noMultiLvlLbl val="0"/>
      </c:catAx>
      <c:valAx>
        <c:axId val="251466112"/>
        <c:scaling>
          <c:orientation val="minMax"/>
        </c:scaling>
        <c:delete val="0"/>
        <c:axPos val="l"/>
        <c:majorGridlines/>
        <c:numFmt formatCode="General" sourceLinked="1"/>
        <c:majorTickMark val="out"/>
        <c:minorTickMark val="none"/>
        <c:tickLblPos val="nextTo"/>
        <c:crossAx val="25146432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spPr>
            <a:solidFill>
              <a:schemeClr val="accent4">
                <a:lumMod val="75000"/>
              </a:schemeClr>
            </a:solidFill>
          </c:spPr>
          <c:invertIfNegative val="0"/>
          <c:dPt>
            <c:idx val="2"/>
            <c:invertIfNegative val="0"/>
            <c:bubble3D val="0"/>
            <c:spPr>
              <a:solidFill>
                <a:schemeClr val="tx2"/>
              </a:solidFill>
            </c:spPr>
          </c:dPt>
          <c:dPt>
            <c:idx val="3"/>
            <c:invertIfNegative val="0"/>
            <c:bubble3D val="0"/>
            <c:spPr>
              <a:solidFill>
                <a:srgbClr val="1F497D"/>
              </a:solidFill>
            </c:spPr>
          </c:dPt>
          <c:cat>
            <c:strRef>
              <c:f>Sheet1!$A$51:$A$54</c:f>
              <c:strCache>
                <c:ptCount val="4"/>
                <c:pt idx="0">
                  <c:v>Are POs issued for all commitments? (yes)</c:v>
                </c:pt>
                <c:pt idx="1">
                  <c:v>Are POs issued for all commitments? No</c:v>
                </c:pt>
                <c:pt idx="2">
                  <c:v>POs are issued from the from the system that controls appropriations? (yes)</c:v>
                </c:pt>
                <c:pt idx="3">
                  <c:v>POs are issued from the from the system that controls appropriations? (no)</c:v>
                </c:pt>
              </c:strCache>
            </c:strRef>
          </c:cat>
          <c:val>
            <c:numRef>
              <c:f>Sheet1!$B$51:$B$54</c:f>
              <c:numCache>
                <c:formatCode>General</c:formatCode>
                <c:ptCount val="4"/>
                <c:pt idx="0">
                  <c:v>6</c:v>
                </c:pt>
                <c:pt idx="1">
                  <c:v>5</c:v>
                </c:pt>
                <c:pt idx="2">
                  <c:v>5</c:v>
                </c:pt>
                <c:pt idx="3">
                  <c:v>1</c:v>
                </c:pt>
              </c:numCache>
            </c:numRef>
          </c:val>
        </c:ser>
        <c:dLbls>
          <c:showLegendKey val="0"/>
          <c:showVal val="0"/>
          <c:showCatName val="0"/>
          <c:showSerName val="0"/>
          <c:showPercent val="0"/>
          <c:showBubbleSize val="0"/>
        </c:dLbls>
        <c:gapWidth val="150"/>
        <c:axId val="253439360"/>
        <c:axId val="253445248"/>
      </c:barChart>
      <c:catAx>
        <c:axId val="253439360"/>
        <c:scaling>
          <c:orientation val="minMax"/>
        </c:scaling>
        <c:delete val="0"/>
        <c:axPos val="b"/>
        <c:numFmt formatCode="General" sourceLinked="0"/>
        <c:majorTickMark val="out"/>
        <c:minorTickMark val="none"/>
        <c:tickLblPos val="nextTo"/>
        <c:crossAx val="253445248"/>
        <c:crosses val="autoZero"/>
        <c:auto val="1"/>
        <c:lblAlgn val="ctr"/>
        <c:lblOffset val="100"/>
        <c:noMultiLvlLbl val="0"/>
      </c:catAx>
      <c:valAx>
        <c:axId val="253445248"/>
        <c:scaling>
          <c:orientation val="minMax"/>
        </c:scaling>
        <c:delete val="0"/>
        <c:axPos val="l"/>
        <c:majorGridlines/>
        <c:numFmt formatCode="General" sourceLinked="1"/>
        <c:majorTickMark val="out"/>
        <c:minorTickMark val="none"/>
        <c:tickLblPos val="nextTo"/>
        <c:crossAx val="25343936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0815813648294"/>
          <c:y val="0.23148148148148101"/>
          <c:w val="0.85573075240594898"/>
          <c:h val="0.48450641586468401"/>
        </c:manualLayout>
      </c:layout>
      <c:bar3DChart>
        <c:barDir val="col"/>
        <c:grouping val="clustered"/>
        <c:varyColors val="0"/>
        <c:ser>
          <c:idx val="0"/>
          <c:order val="0"/>
          <c:invertIfNegative val="0"/>
          <c:cat>
            <c:strRef>
              <c:f>Sheet1!$A$62:$A$66</c:f>
              <c:strCache>
                <c:ptCount val="5"/>
                <c:pt idx="0">
                  <c:v>Signing of Contract</c:v>
                </c:pt>
                <c:pt idx="1">
                  <c:v>3 Days after Contract Signed</c:v>
                </c:pt>
                <c:pt idx="2">
                  <c:v>15 days after contract signed</c:v>
                </c:pt>
                <c:pt idx="3">
                  <c:v>Purchase Order Issued</c:v>
                </c:pt>
                <c:pt idx="4">
                  <c:v>Only once Funding is Available in System</c:v>
                </c:pt>
              </c:strCache>
            </c:strRef>
          </c:cat>
          <c:val>
            <c:numRef>
              <c:f>Sheet1!$B$62:$B$66</c:f>
              <c:numCache>
                <c:formatCode>General</c:formatCode>
                <c:ptCount val="5"/>
                <c:pt idx="0">
                  <c:v>5</c:v>
                </c:pt>
                <c:pt idx="1">
                  <c:v>2</c:v>
                </c:pt>
                <c:pt idx="2">
                  <c:v>1</c:v>
                </c:pt>
                <c:pt idx="3">
                  <c:v>3</c:v>
                </c:pt>
                <c:pt idx="4">
                  <c:v>1</c:v>
                </c:pt>
              </c:numCache>
            </c:numRef>
          </c:val>
        </c:ser>
        <c:dLbls>
          <c:showLegendKey val="0"/>
          <c:showVal val="0"/>
          <c:showCatName val="0"/>
          <c:showSerName val="0"/>
          <c:showPercent val="0"/>
          <c:showBubbleSize val="0"/>
        </c:dLbls>
        <c:gapWidth val="150"/>
        <c:shape val="cylinder"/>
        <c:axId val="253457152"/>
        <c:axId val="253458688"/>
        <c:axId val="0"/>
      </c:bar3DChart>
      <c:catAx>
        <c:axId val="253457152"/>
        <c:scaling>
          <c:orientation val="minMax"/>
        </c:scaling>
        <c:delete val="0"/>
        <c:axPos val="b"/>
        <c:numFmt formatCode="General" sourceLinked="0"/>
        <c:majorTickMark val="none"/>
        <c:minorTickMark val="none"/>
        <c:tickLblPos val="nextTo"/>
        <c:crossAx val="253458688"/>
        <c:crosses val="autoZero"/>
        <c:auto val="1"/>
        <c:lblAlgn val="ctr"/>
        <c:lblOffset val="100"/>
        <c:noMultiLvlLbl val="0"/>
      </c:catAx>
      <c:valAx>
        <c:axId val="253458688"/>
        <c:scaling>
          <c:orientation val="minMax"/>
        </c:scaling>
        <c:delete val="0"/>
        <c:axPos val="l"/>
        <c:majorGridlines/>
        <c:numFmt formatCode="General" sourceLinked="1"/>
        <c:majorTickMark val="none"/>
        <c:minorTickMark val="none"/>
        <c:tickLblPos val="nextTo"/>
        <c:crossAx val="25345715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FFFF00"/>
            </a:solidFill>
          </c:spPr>
          <c:invertIfNegative val="0"/>
          <c:dPt>
            <c:idx val="0"/>
            <c:invertIfNegative val="0"/>
            <c:bubble3D val="0"/>
            <c:spPr>
              <a:solidFill>
                <a:srgbClr val="948A54"/>
              </a:solidFill>
            </c:spPr>
          </c:dPt>
          <c:dPt>
            <c:idx val="1"/>
            <c:invertIfNegative val="0"/>
            <c:bubble3D val="0"/>
            <c:spPr>
              <a:solidFill>
                <a:schemeClr val="bg2">
                  <a:lumMod val="50000"/>
                </a:schemeClr>
              </a:solidFill>
            </c:spPr>
          </c:dPt>
          <c:cat>
            <c:strRef>
              <c:f>Sheet1!$A$69:$A$75</c:f>
              <c:strCache>
                <c:ptCount val="7"/>
                <c:pt idx="0">
                  <c:v>Record Receipt of G+S? Yes</c:v>
                </c:pt>
                <c:pt idx="1">
                  <c:v>Record Receipt of G+S? No</c:v>
                </c:pt>
                <c:pt idx="2">
                  <c:v>Central FMIS</c:v>
                </c:pt>
                <c:pt idx="3">
                  <c:v>Procurement System</c:v>
                </c:pt>
                <c:pt idx="4">
                  <c:v>MDA FMIS</c:v>
                </c:pt>
                <c:pt idx="5">
                  <c:v>Books of MDA</c:v>
                </c:pt>
                <c:pt idx="6">
                  <c:v>Regional treasury</c:v>
                </c:pt>
              </c:strCache>
            </c:strRef>
          </c:cat>
          <c:val>
            <c:numRef>
              <c:f>Sheet1!$B$69:$B$75</c:f>
              <c:numCache>
                <c:formatCode>General</c:formatCode>
                <c:ptCount val="7"/>
                <c:pt idx="0">
                  <c:v>7</c:v>
                </c:pt>
                <c:pt idx="1">
                  <c:v>5</c:v>
                </c:pt>
                <c:pt idx="2">
                  <c:v>5</c:v>
                </c:pt>
                <c:pt idx="3">
                  <c:v>1</c:v>
                </c:pt>
                <c:pt idx="4">
                  <c:v>4</c:v>
                </c:pt>
                <c:pt idx="5">
                  <c:v>1</c:v>
                </c:pt>
                <c:pt idx="6">
                  <c:v>1</c:v>
                </c:pt>
              </c:numCache>
            </c:numRef>
          </c:val>
        </c:ser>
        <c:dLbls>
          <c:showLegendKey val="0"/>
          <c:showVal val="0"/>
          <c:showCatName val="0"/>
          <c:showSerName val="0"/>
          <c:showPercent val="0"/>
          <c:showBubbleSize val="0"/>
        </c:dLbls>
        <c:gapWidth val="150"/>
        <c:shape val="cone"/>
        <c:axId val="253467264"/>
        <c:axId val="253469056"/>
        <c:axId val="0"/>
      </c:bar3DChart>
      <c:catAx>
        <c:axId val="253467264"/>
        <c:scaling>
          <c:orientation val="minMax"/>
        </c:scaling>
        <c:delete val="0"/>
        <c:axPos val="b"/>
        <c:numFmt formatCode="General" sourceLinked="0"/>
        <c:majorTickMark val="out"/>
        <c:minorTickMark val="none"/>
        <c:tickLblPos val="nextTo"/>
        <c:crossAx val="253469056"/>
        <c:crosses val="autoZero"/>
        <c:auto val="1"/>
        <c:lblAlgn val="ctr"/>
        <c:lblOffset val="100"/>
        <c:noMultiLvlLbl val="0"/>
      </c:catAx>
      <c:valAx>
        <c:axId val="253469056"/>
        <c:scaling>
          <c:orientation val="minMax"/>
        </c:scaling>
        <c:delete val="0"/>
        <c:axPos val="l"/>
        <c:majorGridlines/>
        <c:numFmt formatCode="General" sourceLinked="1"/>
        <c:majorTickMark val="out"/>
        <c:minorTickMark val="none"/>
        <c:tickLblPos val="nextTo"/>
        <c:crossAx val="25346726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spPr>
            <a:solidFill>
              <a:schemeClr val="accent2"/>
            </a:solidFill>
          </c:spPr>
          <c:invertIfNegative val="0"/>
          <c:dPt>
            <c:idx val="0"/>
            <c:invertIfNegative val="0"/>
            <c:bubble3D val="0"/>
            <c:spPr>
              <a:solidFill>
                <a:schemeClr val="accent3">
                  <a:lumMod val="75000"/>
                </a:schemeClr>
              </a:solidFill>
            </c:spPr>
          </c:dPt>
          <c:dPt>
            <c:idx val="1"/>
            <c:invertIfNegative val="0"/>
            <c:bubble3D val="0"/>
            <c:spPr>
              <a:solidFill>
                <a:srgbClr val="77933C"/>
              </a:solidFill>
            </c:spPr>
          </c:dPt>
          <c:cat>
            <c:strRef>
              <c:f>Sheet1!$A$77:$A$81</c:f>
              <c:strCache>
                <c:ptCount val="5"/>
                <c:pt idx="0">
                  <c:v>Yes</c:v>
                </c:pt>
                <c:pt idx="1">
                  <c:v>No</c:v>
                </c:pt>
                <c:pt idx="2">
                  <c:v>Central FMIS</c:v>
                </c:pt>
                <c:pt idx="3">
                  <c:v>MDA FMIS</c:v>
                </c:pt>
                <c:pt idx="4">
                  <c:v>Regional Office of Treasury</c:v>
                </c:pt>
              </c:strCache>
            </c:strRef>
          </c:cat>
          <c:val>
            <c:numRef>
              <c:f>Sheet1!$B$77:$B$81</c:f>
              <c:numCache>
                <c:formatCode>General</c:formatCode>
                <c:ptCount val="5"/>
                <c:pt idx="0">
                  <c:v>7</c:v>
                </c:pt>
                <c:pt idx="1">
                  <c:v>5</c:v>
                </c:pt>
                <c:pt idx="2">
                  <c:v>5</c:v>
                </c:pt>
                <c:pt idx="3">
                  <c:v>2</c:v>
                </c:pt>
                <c:pt idx="4">
                  <c:v>1</c:v>
                </c:pt>
              </c:numCache>
            </c:numRef>
          </c:val>
        </c:ser>
        <c:dLbls>
          <c:showLegendKey val="0"/>
          <c:showVal val="0"/>
          <c:showCatName val="0"/>
          <c:showSerName val="0"/>
          <c:showPercent val="0"/>
          <c:showBubbleSize val="0"/>
        </c:dLbls>
        <c:gapWidth val="150"/>
        <c:axId val="253624704"/>
        <c:axId val="253626240"/>
      </c:barChart>
      <c:catAx>
        <c:axId val="253624704"/>
        <c:scaling>
          <c:orientation val="minMax"/>
        </c:scaling>
        <c:delete val="0"/>
        <c:axPos val="b"/>
        <c:numFmt formatCode="General" sourceLinked="0"/>
        <c:majorTickMark val="out"/>
        <c:minorTickMark val="none"/>
        <c:tickLblPos val="nextTo"/>
        <c:crossAx val="253626240"/>
        <c:crosses val="autoZero"/>
        <c:auto val="1"/>
        <c:lblAlgn val="ctr"/>
        <c:lblOffset val="100"/>
        <c:noMultiLvlLbl val="0"/>
      </c:catAx>
      <c:valAx>
        <c:axId val="253626240"/>
        <c:scaling>
          <c:orientation val="minMax"/>
        </c:scaling>
        <c:delete val="0"/>
        <c:axPos val="l"/>
        <c:majorGridlines/>
        <c:numFmt formatCode="General" sourceLinked="1"/>
        <c:majorTickMark val="out"/>
        <c:minorTickMark val="none"/>
        <c:tickLblPos val="nextTo"/>
        <c:crossAx val="25362470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5">
                <a:lumMod val="75000"/>
              </a:schemeClr>
            </a:solidFill>
          </c:spPr>
          <c:invertIfNegative val="0"/>
          <c:dPt>
            <c:idx val="2"/>
            <c:invertIfNegative val="0"/>
            <c:bubble3D val="0"/>
            <c:spPr>
              <a:solidFill>
                <a:schemeClr val="accent6">
                  <a:lumMod val="75000"/>
                </a:schemeClr>
              </a:solidFill>
            </c:spPr>
          </c:dPt>
          <c:dPt>
            <c:idx val="3"/>
            <c:invertIfNegative val="0"/>
            <c:bubble3D val="0"/>
            <c:spPr>
              <a:solidFill>
                <a:srgbClr val="E46C0A"/>
              </a:solidFill>
            </c:spPr>
          </c:dPt>
          <c:cat>
            <c:strRef>
              <c:f>Sheet1!$A$101:$A$104</c:f>
              <c:strCache>
                <c:ptCount val="4"/>
                <c:pt idx="0">
                  <c:v>Yes</c:v>
                </c:pt>
                <c:pt idx="1">
                  <c:v>No</c:v>
                </c:pt>
                <c:pt idx="2">
                  <c:v>General Finance Law</c:v>
                </c:pt>
                <c:pt idx="3">
                  <c:v>Other</c:v>
                </c:pt>
              </c:strCache>
            </c:strRef>
          </c:cat>
          <c:val>
            <c:numRef>
              <c:f>Sheet1!$B$101:$B$104</c:f>
              <c:numCache>
                <c:formatCode>General</c:formatCode>
                <c:ptCount val="4"/>
                <c:pt idx="0">
                  <c:v>9</c:v>
                </c:pt>
                <c:pt idx="1">
                  <c:v>3</c:v>
                </c:pt>
                <c:pt idx="2">
                  <c:v>6</c:v>
                </c:pt>
                <c:pt idx="3">
                  <c:v>4</c:v>
                </c:pt>
              </c:numCache>
            </c:numRef>
          </c:val>
        </c:ser>
        <c:dLbls>
          <c:showLegendKey val="0"/>
          <c:showVal val="0"/>
          <c:showCatName val="0"/>
          <c:showSerName val="0"/>
          <c:showPercent val="0"/>
          <c:showBubbleSize val="0"/>
        </c:dLbls>
        <c:gapWidth val="150"/>
        <c:shape val="cone"/>
        <c:axId val="253647104"/>
        <c:axId val="253652992"/>
        <c:axId val="0"/>
      </c:bar3DChart>
      <c:catAx>
        <c:axId val="253647104"/>
        <c:scaling>
          <c:orientation val="minMax"/>
        </c:scaling>
        <c:delete val="0"/>
        <c:axPos val="b"/>
        <c:numFmt formatCode="General" sourceLinked="0"/>
        <c:majorTickMark val="out"/>
        <c:minorTickMark val="none"/>
        <c:tickLblPos val="nextTo"/>
        <c:crossAx val="253652992"/>
        <c:crosses val="autoZero"/>
        <c:auto val="1"/>
        <c:lblAlgn val="ctr"/>
        <c:lblOffset val="100"/>
        <c:noMultiLvlLbl val="0"/>
      </c:catAx>
      <c:valAx>
        <c:axId val="253652992"/>
        <c:scaling>
          <c:orientation val="minMax"/>
        </c:scaling>
        <c:delete val="0"/>
        <c:axPos val="l"/>
        <c:majorGridlines/>
        <c:numFmt formatCode="General" sourceLinked="1"/>
        <c:majorTickMark val="out"/>
        <c:minorTickMark val="none"/>
        <c:tickLblPos val="nextTo"/>
        <c:crossAx val="253647104"/>
        <c:crosses val="autoZero"/>
        <c:crossBetween val="between"/>
      </c:valAx>
    </c:plotArea>
    <c:plotVisOnly val="1"/>
    <c:dispBlanksAs val="gap"/>
    <c:showDLblsOverMax val="0"/>
  </c:chart>
  <c:spPr>
    <a:pattFill prst="pct20">
      <a:fgClr>
        <a:schemeClr val="bg1"/>
      </a:fgClr>
      <a:bgClr>
        <a:prstClr val="white"/>
      </a:bgClr>
    </a:patt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617454068241499"/>
          <c:y val="0.176750177047828"/>
          <c:w val="0.77694141834654196"/>
          <c:h val="0.50133021056838201"/>
        </c:manualLayout>
      </c:layout>
      <c:bar3DChart>
        <c:barDir val="col"/>
        <c:grouping val="clustered"/>
        <c:varyColors val="0"/>
        <c:ser>
          <c:idx val="0"/>
          <c:order val="0"/>
          <c:spPr>
            <a:solidFill>
              <a:schemeClr val="accent3">
                <a:lumMod val="75000"/>
              </a:schemeClr>
            </a:solidFill>
          </c:spPr>
          <c:invertIfNegative val="0"/>
          <c:cat>
            <c:strRef>
              <c:f>Sheet1!$A$117:$A$121</c:f>
              <c:strCache>
                <c:ptCount val="5"/>
                <c:pt idx="0">
                  <c:v>G+S Received</c:v>
                </c:pt>
                <c:pt idx="1">
                  <c:v>Invoice Received</c:v>
                </c:pt>
                <c:pt idx="2">
                  <c:v>Both</c:v>
                </c:pt>
                <c:pt idx="3">
                  <c:v>Payment Request from MDA</c:v>
                </c:pt>
                <c:pt idx="4">
                  <c:v>Payment Made to Supplier</c:v>
                </c:pt>
              </c:strCache>
            </c:strRef>
          </c:cat>
          <c:val>
            <c:numRef>
              <c:f>Sheet1!$B$117:$B$121</c:f>
              <c:numCache>
                <c:formatCode>General</c:formatCode>
                <c:ptCount val="5"/>
                <c:pt idx="0">
                  <c:v>2</c:v>
                </c:pt>
                <c:pt idx="1">
                  <c:v>1</c:v>
                </c:pt>
                <c:pt idx="2">
                  <c:v>3</c:v>
                </c:pt>
                <c:pt idx="3">
                  <c:v>1</c:v>
                </c:pt>
                <c:pt idx="4">
                  <c:v>1</c:v>
                </c:pt>
              </c:numCache>
            </c:numRef>
          </c:val>
        </c:ser>
        <c:dLbls>
          <c:showLegendKey val="0"/>
          <c:showVal val="0"/>
          <c:showCatName val="0"/>
          <c:showSerName val="0"/>
          <c:showPercent val="0"/>
          <c:showBubbleSize val="0"/>
        </c:dLbls>
        <c:gapWidth val="150"/>
        <c:shape val="cylinder"/>
        <c:axId val="253664640"/>
        <c:axId val="253674624"/>
        <c:axId val="0"/>
      </c:bar3DChart>
      <c:catAx>
        <c:axId val="253664640"/>
        <c:scaling>
          <c:orientation val="minMax"/>
        </c:scaling>
        <c:delete val="0"/>
        <c:axPos val="b"/>
        <c:numFmt formatCode="General" sourceLinked="0"/>
        <c:majorTickMark val="out"/>
        <c:minorTickMark val="none"/>
        <c:tickLblPos val="nextTo"/>
        <c:crossAx val="253674624"/>
        <c:crosses val="autoZero"/>
        <c:auto val="1"/>
        <c:lblAlgn val="ctr"/>
        <c:lblOffset val="100"/>
        <c:noMultiLvlLbl val="0"/>
      </c:catAx>
      <c:valAx>
        <c:axId val="253674624"/>
        <c:scaling>
          <c:orientation val="minMax"/>
        </c:scaling>
        <c:delete val="0"/>
        <c:axPos val="l"/>
        <c:majorGridlines/>
        <c:numFmt formatCode="General" sourceLinked="1"/>
        <c:majorTickMark val="out"/>
        <c:minorTickMark val="none"/>
        <c:tickLblPos val="nextTo"/>
        <c:crossAx val="253664640"/>
        <c:crosses val="autoZero"/>
        <c:crossBetween val="between"/>
      </c:valAx>
      <c:spPr>
        <a:noFill/>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3A4E8-7565-4DDE-A444-343E4A3AF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9663</Words>
  <Characters>55080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64614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Ion Chicu</cp:lastModifiedBy>
  <cp:revision>2</cp:revision>
  <dcterms:created xsi:type="dcterms:W3CDTF">2015-09-22T06:11:00Z</dcterms:created>
  <dcterms:modified xsi:type="dcterms:W3CDTF">2015-09-22T06:11:00Z</dcterms:modified>
</cp:coreProperties>
</file>