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AE31" w14:textId="0F1E6E5B" w:rsidR="00E32ACF" w:rsidRDefault="00F5737E" w:rsidP="00F5737E">
      <w:pPr>
        <w:jc w:val="center"/>
        <w:rPr>
          <w:sz w:val="28"/>
          <w:szCs w:val="28"/>
        </w:rPr>
      </w:pPr>
      <w:r>
        <w:rPr>
          <w:sz w:val="28"/>
          <w:szCs w:val="28"/>
        </w:rPr>
        <w:t>PEMPAL T</w:t>
      </w:r>
      <w:r w:rsidR="003B47DA">
        <w:rPr>
          <w:sz w:val="28"/>
          <w:szCs w:val="28"/>
        </w:rPr>
        <w:t xml:space="preserve">reasury </w:t>
      </w:r>
      <w:r>
        <w:rPr>
          <w:sz w:val="28"/>
          <w:szCs w:val="28"/>
        </w:rPr>
        <w:t xml:space="preserve">COP </w:t>
      </w:r>
      <w:r w:rsidR="00883DD2">
        <w:rPr>
          <w:sz w:val="28"/>
          <w:szCs w:val="28"/>
        </w:rPr>
        <w:t>P</w:t>
      </w:r>
      <w:r w:rsidR="001F0E86">
        <w:rPr>
          <w:sz w:val="28"/>
          <w:szCs w:val="28"/>
        </w:rPr>
        <w:t>lenary</w:t>
      </w:r>
      <w:r>
        <w:rPr>
          <w:sz w:val="28"/>
          <w:szCs w:val="28"/>
        </w:rPr>
        <w:t xml:space="preserve"> </w:t>
      </w:r>
      <w:r w:rsidR="00883DD2">
        <w:rPr>
          <w:sz w:val="28"/>
          <w:szCs w:val="28"/>
        </w:rPr>
        <w:t>M</w:t>
      </w:r>
      <w:r>
        <w:rPr>
          <w:sz w:val="28"/>
          <w:szCs w:val="28"/>
        </w:rPr>
        <w:t>eeting</w:t>
      </w:r>
      <w:r w:rsidR="00F37428">
        <w:rPr>
          <w:sz w:val="28"/>
          <w:szCs w:val="28"/>
        </w:rPr>
        <w:t xml:space="preserve"> 2018</w:t>
      </w:r>
      <w:r>
        <w:rPr>
          <w:sz w:val="28"/>
          <w:szCs w:val="28"/>
        </w:rPr>
        <w:br/>
      </w:r>
    </w:p>
    <w:p w14:paraId="61977717" w14:textId="2C879D00" w:rsidR="00F5737E" w:rsidRPr="00E32ACF" w:rsidRDefault="00F5737E" w:rsidP="00F5737E">
      <w:pPr>
        <w:jc w:val="center"/>
        <w:rPr>
          <w:b/>
          <w:sz w:val="28"/>
          <w:szCs w:val="28"/>
        </w:rPr>
      </w:pPr>
      <w:r w:rsidRPr="00E32ACF">
        <w:rPr>
          <w:b/>
          <w:sz w:val="28"/>
          <w:szCs w:val="28"/>
        </w:rPr>
        <w:t xml:space="preserve"> </w:t>
      </w:r>
      <w:r w:rsidR="006D28C2" w:rsidRPr="00E32ACF">
        <w:rPr>
          <w:b/>
          <w:sz w:val="28"/>
          <w:szCs w:val="28"/>
        </w:rPr>
        <w:t xml:space="preserve">Treasury </w:t>
      </w:r>
      <w:r w:rsidR="005D0FF9" w:rsidRPr="00E32ACF">
        <w:rPr>
          <w:b/>
          <w:sz w:val="28"/>
          <w:szCs w:val="28"/>
        </w:rPr>
        <w:t>Performance</w:t>
      </w:r>
      <w:r w:rsidR="00E32ACF" w:rsidRPr="00E32ACF">
        <w:rPr>
          <w:b/>
          <w:sz w:val="28"/>
          <w:szCs w:val="28"/>
        </w:rPr>
        <w:t xml:space="preserve"> </w:t>
      </w:r>
      <w:r w:rsidR="00E32ACF" w:rsidRPr="00B77FA1">
        <w:rPr>
          <w:b/>
          <w:sz w:val="28"/>
          <w:szCs w:val="28"/>
        </w:rPr>
        <w:t>Monitoring</w:t>
      </w:r>
    </w:p>
    <w:p w14:paraId="17AF2616" w14:textId="77777777" w:rsidR="00F37428" w:rsidRDefault="00F37428" w:rsidP="00F37428">
      <w:pPr>
        <w:jc w:val="center"/>
        <w:rPr>
          <w:sz w:val="28"/>
          <w:szCs w:val="28"/>
        </w:rPr>
      </w:pPr>
    </w:p>
    <w:p w14:paraId="3A7E411C" w14:textId="1894989B" w:rsidR="00F37428" w:rsidRPr="00F37428" w:rsidRDefault="00F37428" w:rsidP="00F37428">
      <w:pPr>
        <w:jc w:val="center"/>
        <w:rPr>
          <w:u w:val="single"/>
        </w:rPr>
      </w:pPr>
      <w:r w:rsidRPr="00F37428">
        <w:rPr>
          <w:u w:val="single"/>
        </w:rPr>
        <w:t xml:space="preserve">Concept Note </w:t>
      </w:r>
    </w:p>
    <w:p w14:paraId="0AC0A279" w14:textId="77777777" w:rsidR="00F5737E" w:rsidRDefault="00F5737E" w:rsidP="00F5737E"/>
    <w:p w14:paraId="1B25ABC4" w14:textId="77777777" w:rsidR="00F5737E" w:rsidRDefault="00F5737E" w:rsidP="00F5737E"/>
    <w:p w14:paraId="6C46F962" w14:textId="79517617" w:rsidR="00F5737E" w:rsidRPr="00EE2A35" w:rsidRDefault="00F5737E" w:rsidP="00F5737E">
      <w:r w:rsidRPr="00EE2A35">
        <w:rPr>
          <w:b/>
        </w:rPr>
        <w:t>Location</w:t>
      </w:r>
      <w:r w:rsidRPr="00EE2A35">
        <w:t xml:space="preserve">: </w:t>
      </w:r>
      <w:r w:rsidR="005D0FF9">
        <w:t>Tirana, Albania</w:t>
      </w:r>
    </w:p>
    <w:p w14:paraId="79DA06D4" w14:textId="0FD47F38" w:rsidR="00F5737E" w:rsidRPr="00EE2A35" w:rsidRDefault="00F5737E" w:rsidP="00F5737E">
      <w:pPr>
        <w:jc w:val="both"/>
      </w:pPr>
      <w:r w:rsidRPr="00EE2A35">
        <w:rPr>
          <w:b/>
        </w:rPr>
        <w:t>Dates</w:t>
      </w:r>
      <w:r w:rsidRPr="00EE2A35">
        <w:t xml:space="preserve">: </w:t>
      </w:r>
      <w:r w:rsidR="001F0E86">
        <w:t xml:space="preserve">May </w:t>
      </w:r>
      <w:r w:rsidR="005D0FF9">
        <w:t>21 - 23</w:t>
      </w:r>
      <w:r w:rsidR="00B754F2">
        <w:t>,</w:t>
      </w:r>
      <w:r w:rsidRPr="00EE2A35">
        <w:t xml:space="preserve"> </w:t>
      </w:r>
      <w:r>
        <w:t>201</w:t>
      </w:r>
      <w:r w:rsidR="005D0FF9">
        <w:t>8</w:t>
      </w:r>
      <w:r>
        <w:t xml:space="preserve"> </w:t>
      </w:r>
    </w:p>
    <w:p w14:paraId="3C44F850" w14:textId="77777777" w:rsidR="00F5737E" w:rsidRDefault="00F5737E" w:rsidP="00F5737E">
      <w:pPr>
        <w:jc w:val="both"/>
      </w:pPr>
    </w:p>
    <w:p w14:paraId="6D913CA0" w14:textId="77777777" w:rsidR="00CB7E95" w:rsidRPr="00EE2A35" w:rsidRDefault="00CB7E95" w:rsidP="00F5737E">
      <w:pPr>
        <w:jc w:val="both"/>
      </w:pPr>
    </w:p>
    <w:p w14:paraId="3CF6F44C" w14:textId="77777777" w:rsidR="00F5737E" w:rsidRPr="00EE2A35" w:rsidRDefault="00F5737E" w:rsidP="00F5737E">
      <w:pPr>
        <w:jc w:val="both"/>
      </w:pPr>
      <w:r w:rsidRPr="00EE2A35">
        <w:rPr>
          <w:b/>
        </w:rPr>
        <w:t xml:space="preserve">Background </w:t>
      </w:r>
    </w:p>
    <w:p w14:paraId="40D3D121" w14:textId="5B592F07" w:rsidR="003B47DA" w:rsidRDefault="00F5737E" w:rsidP="00F5737E">
      <w:pPr>
        <w:spacing w:before="240" w:after="240" w:line="276" w:lineRule="auto"/>
        <w:jc w:val="both"/>
      </w:pPr>
      <w:r w:rsidRPr="0082281A">
        <w:t xml:space="preserve">The main objective of </w:t>
      </w:r>
      <w:r>
        <w:t xml:space="preserve">the </w:t>
      </w:r>
      <w:r w:rsidRPr="0082281A">
        <w:t xml:space="preserve">PEMPAL program is to strengthen professional skills of public finance specialists in the member countries and support them in implementing various aspects of reforms of their national PFM systems. The main tools used by the program to achieve this objective are exchange </w:t>
      </w:r>
      <w:r>
        <w:t xml:space="preserve">of experiences and </w:t>
      </w:r>
      <w:r w:rsidRPr="0082281A">
        <w:t>knowledge transfer among the practitioners.</w:t>
      </w:r>
      <w:r w:rsidR="003B47DA">
        <w:t xml:space="preserve"> The work of PEMPAL is organized around three thematic communities of practice (Budget COP, Treasury COP, Internal Audit COP). </w:t>
      </w:r>
      <w:r w:rsidRPr="0082281A">
        <w:t xml:space="preserve"> </w:t>
      </w:r>
    </w:p>
    <w:p w14:paraId="6906DC47" w14:textId="2D8494DE" w:rsidR="00F5737E" w:rsidRDefault="00F37428" w:rsidP="00F5737E">
      <w:pPr>
        <w:spacing w:before="240" w:after="240" w:line="276" w:lineRule="auto"/>
        <w:jc w:val="both"/>
      </w:pPr>
      <w:r>
        <w:t xml:space="preserve">Representatives of the national treasuries and ministries of finance of </w:t>
      </w:r>
      <w:r w:rsidR="003B47DA">
        <w:t>21</w:t>
      </w:r>
      <w:r>
        <w:t xml:space="preserve"> countr</w:t>
      </w:r>
      <w:r w:rsidR="003B47DA">
        <w:t>y</w:t>
      </w:r>
      <w:r>
        <w:t xml:space="preserve"> from the Europe and Central Asia region are currently members of PEMPAL Treasury </w:t>
      </w:r>
      <w:r w:rsidR="003B47DA">
        <w:t>Community of Practice (T</w:t>
      </w:r>
      <w:r>
        <w:t>COP</w:t>
      </w:r>
      <w:r w:rsidR="003B47DA">
        <w:t>)</w:t>
      </w:r>
      <w:r>
        <w:t xml:space="preserve">. The COP activity plan is formulated by the Executive Committee </w:t>
      </w:r>
      <w:r w:rsidR="003B47DA">
        <w:t xml:space="preserve">composed of </w:t>
      </w:r>
      <w:r>
        <w:t>volunteers from the participating countries. TCOP plenary meetings</w:t>
      </w:r>
      <w:r w:rsidR="003B47DA">
        <w:t xml:space="preserve"> are held annually as part of the COP activity plan. The topics for the plenary meetings are identified through the member surveys undertaken during the plenary meetings.   </w:t>
      </w:r>
      <w:r>
        <w:t xml:space="preserve">    </w:t>
      </w:r>
    </w:p>
    <w:p w14:paraId="638A588D" w14:textId="41CA332A" w:rsidR="00B754F2" w:rsidRDefault="003B47DA" w:rsidP="00F5737E">
      <w:pPr>
        <w:spacing w:after="240" w:line="276" w:lineRule="auto"/>
        <w:jc w:val="both"/>
      </w:pPr>
      <w:r>
        <w:t xml:space="preserve">Through its last member survey, </w:t>
      </w:r>
      <w:r w:rsidR="00F5737E">
        <w:t xml:space="preserve">TCOP </w:t>
      </w:r>
      <w:r w:rsidR="00B754F2">
        <w:t xml:space="preserve">has identified </w:t>
      </w:r>
      <w:r w:rsidR="00305383">
        <w:t xml:space="preserve">performance </w:t>
      </w:r>
      <w:r w:rsidR="005D0FF9">
        <w:t xml:space="preserve">monitoring </w:t>
      </w:r>
      <w:r w:rsidR="00B754F2">
        <w:t>as an area of priority interest for the COP members and decided to dedicate its next plenary meeting to this topic</w:t>
      </w:r>
      <w:r w:rsidR="00F5737E">
        <w:t>.</w:t>
      </w:r>
      <w:r w:rsidR="00B754F2">
        <w:t xml:space="preserve"> While the topic has been touched upon during some of the earlier COP events, this will be the first occasion for </w:t>
      </w:r>
      <w:r>
        <w:t>T</w:t>
      </w:r>
      <w:r w:rsidR="00B754F2">
        <w:t xml:space="preserve">COP to address it systematically. </w:t>
      </w:r>
    </w:p>
    <w:p w14:paraId="1B7FECB7" w14:textId="37897DA6" w:rsidR="00F5737E" w:rsidRPr="00463964" w:rsidRDefault="00B754F2" w:rsidP="0056547A">
      <w:pPr>
        <w:spacing w:after="240" w:line="276" w:lineRule="auto"/>
        <w:jc w:val="both"/>
      </w:pPr>
      <w:r w:rsidRPr="00907C1A">
        <w:t xml:space="preserve">The </w:t>
      </w:r>
      <w:r w:rsidR="00235D02" w:rsidRPr="00907C1A">
        <w:t xml:space="preserve">growing </w:t>
      </w:r>
      <w:r w:rsidR="00305383" w:rsidRPr="00907C1A">
        <w:t xml:space="preserve">focus on performance </w:t>
      </w:r>
      <w:r w:rsidR="00235D02" w:rsidRPr="00907C1A">
        <w:t xml:space="preserve">in public finance management </w:t>
      </w:r>
      <w:r w:rsidR="00305383" w:rsidRPr="00907C1A">
        <w:t xml:space="preserve">is a general trend in PEMPAL member countries. </w:t>
      </w:r>
      <w:r w:rsidR="00235D02" w:rsidRPr="00907C1A">
        <w:t xml:space="preserve">Many countries have PFM reform strategies and/or action plans that </w:t>
      </w:r>
      <w:r w:rsidR="0056547A" w:rsidRPr="00907C1A">
        <w:t>cover</w:t>
      </w:r>
      <w:r w:rsidR="00235D02" w:rsidRPr="00907C1A">
        <w:t xml:space="preserve"> treasury functions. In many instances these documents were developed and </w:t>
      </w:r>
      <w:r w:rsidR="0056547A" w:rsidRPr="00907C1A">
        <w:t xml:space="preserve">their implementation is </w:t>
      </w:r>
      <w:r w:rsidR="00235D02" w:rsidRPr="00907C1A">
        <w:t xml:space="preserve">monitored with the support of the development partners. </w:t>
      </w:r>
      <w:r w:rsidR="0056547A" w:rsidRPr="00907C1A">
        <w:t>In this context, m</w:t>
      </w:r>
      <w:r w:rsidR="00235D02" w:rsidRPr="00907C1A">
        <w:t xml:space="preserve">any countries also have experience with various external PFM performance assessments. At the same time, the degree of development of internal </w:t>
      </w:r>
      <w:r w:rsidR="0056547A">
        <w:t xml:space="preserve">performance </w:t>
      </w:r>
      <w:r w:rsidR="00235D02" w:rsidRPr="00907C1A">
        <w:t xml:space="preserve">monitoring systems varies across countries and there is a lot of interest to learn from the experiences of the peers in developing such systems. </w:t>
      </w:r>
      <w:r w:rsidR="007A5C0B" w:rsidRPr="00907C1A">
        <w:t xml:space="preserve">Treasury COP members are particularly interested to explore the key performance indicators and tools that could be used to monitor performance of the core functions performed by the </w:t>
      </w:r>
      <w:r w:rsidR="0056547A" w:rsidRPr="00907C1A">
        <w:t xml:space="preserve">national </w:t>
      </w:r>
      <w:r w:rsidR="007A5C0B" w:rsidRPr="00907C1A">
        <w:t xml:space="preserve">treasury institutions, including </w:t>
      </w:r>
      <w:r w:rsidR="0056547A" w:rsidRPr="00907C1A">
        <w:t xml:space="preserve">management of the government accounts, </w:t>
      </w:r>
      <w:r w:rsidR="007A5C0B" w:rsidRPr="00907C1A">
        <w:t xml:space="preserve">payment processes and budget execution controls, cash management, </w:t>
      </w:r>
      <w:r w:rsidR="0056547A" w:rsidRPr="00907C1A">
        <w:t xml:space="preserve">consolidated financial </w:t>
      </w:r>
      <w:r w:rsidR="007A5C0B" w:rsidRPr="00907C1A">
        <w:t>reporting</w:t>
      </w:r>
      <w:r w:rsidR="0056547A" w:rsidRPr="00907C1A">
        <w:t>, management of financial management information systems</w:t>
      </w:r>
      <w:r w:rsidR="007A5C0B" w:rsidRPr="00907C1A">
        <w:t>.</w:t>
      </w:r>
      <w:r w:rsidR="004C61F6" w:rsidRPr="00907C1A">
        <w:t xml:space="preserve"> </w:t>
      </w:r>
    </w:p>
    <w:p w14:paraId="0CA563FC" w14:textId="77777777" w:rsidR="00E32ACF" w:rsidRDefault="00E32ACF" w:rsidP="00F5737E">
      <w:pPr>
        <w:spacing w:after="240"/>
        <w:jc w:val="both"/>
        <w:rPr>
          <w:b/>
        </w:rPr>
      </w:pPr>
    </w:p>
    <w:p w14:paraId="15A8DCDC" w14:textId="699ED02E" w:rsidR="00F5737E" w:rsidRPr="00EE2A35" w:rsidRDefault="00F5737E" w:rsidP="00F5737E">
      <w:pPr>
        <w:spacing w:after="240"/>
        <w:jc w:val="both"/>
        <w:rPr>
          <w:b/>
        </w:rPr>
      </w:pPr>
      <w:r w:rsidRPr="00EE2A35">
        <w:rPr>
          <w:b/>
        </w:rPr>
        <w:lastRenderedPageBreak/>
        <w:t>Objectives</w:t>
      </w:r>
    </w:p>
    <w:p w14:paraId="0A2D9621" w14:textId="49C51322" w:rsidR="00F5737E" w:rsidRPr="00877DAF" w:rsidRDefault="00F5737E" w:rsidP="00F5737E">
      <w:pPr>
        <w:spacing w:after="240" w:line="276" w:lineRule="auto"/>
        <w:jc w:val="both"/>
      </w:pPr>
      <w:r w:rsidRPr="00EE2A35">
        <w:t>Th</w:t>
      </w:r>
      <w:r>
        <w:t xml:space="preserve">e main objective </w:t>
      </w:r>
      <w:r w:rsidRPr="00EE2A35">
        <w:t xml:space="preserve">of the </w:t>
      </w:r>
      <w:r w:rsidR="00CB7E95">
        <w:t xml:space="preserve">TCOP annual </w:t>
      </w:r>
      <w:r w:rsidR="00ED0CCF">
        <w:t xml:space="preserve">plenary </w:t>
      </w:r>
      <w:r>
        <w:t xml:space="preserve">meeting </w:t>
      </w:r>
      <w:r w:rsidR="00CB7E95">
        <w:t xml:space="preserve">in </w:t>
      </w:r>
      <w:r w:rsidR="005D0FF9">
        <w:t>Tirana</w:t>
      </w:r>
      <w:r w:rsidR="00CB7E95">
        <w:t xml:space="preserve"> </w:t>
      </w:r>
      <w:r w:rsidR="00C01E41">
        <w:t xml:space="preserve">is </w:t>
      </w:r>
      <w:r w:rsidRPr="000C0BB5">
        <w:t xml:space="preserve">to </w:t>
      </w:r>
      <w:r w:rsidR="00A23249">
        <w:t xml:space="preserve">deepen the understanding of </w:t>
      </w:r>
      <w:r w:rsidR="005D0FF9">
        <w:t xml:space="preserve">approaches to performance monitoring </w:t>
      </w:r>
      <w:r w:rsidR="00A23249">
        <w:t xml:space="preserve">and share the </w:t>
      </w:r>
      <w:r w:rsidR="00171DC6">
        <w:t xml:space="preserve">ideas and experiences </w:t>
      </w:r>
      <w:r w:rsidR="00A23249">
        <w:t xml:space="preserve">on </w:t>
      </w:r>
      <w:r w:rsidR="00C01E41">
        <w:t xml:space="preserve">how these could be applied to </w:t>
      </w:r>
      <w:r w:rsidR="00A23249">
        <w:t xml:space="preserve">the core national treasury functions in the </w:t>
      </w:r>
      <w:r w:rsidR="00171DC6">
        <w:t xml:space="preserve">participating </w:t>
      </w:r>
      <w:r w:rsidR="00A23249" w:rsidRPr="006F267E">
        <w:t>countries</w:t>
      </w:r>
      <w:r w:rsidR="00661839" w:rsidRPr="006F267E">
        <w:t>.</w:t>
      </w:r>
      <w:r w:rsidR="00C01E41">
        <w:t xml:space="preserve"> The event will also serve the forum to review the results of TCOP activities over the last year and </w:t>
      </w:r>
      <w:r w:rsidR="005D0FF9">
        <w:t xml:space="preserve">update </w:t>
      </w:r>
      <w:r w:rsidR="00C01E41">
        <w:t xml:space="preserve">the COP </w:t>
      </w:r>
      <w:r w:rsidR="00B754F2">
        <w:t xml:space="preserve">medium-term strategic </w:t>
      </w:r>
      <w:r w:rsidR="00A23249">
        <w:t xml:space="preserve">plan </w:t>
      </w:r>
      <w:r w:rsidR="00C01E41">
        <w:t xml:space="preserve">for the </w:t>
      </w:r>
      <w:r w:rsidR="00B754F2">
        <w:t>future</w:t>
      </w:r>
      <w:r w:rsidR="00C01E41">
        <w:t xml:space="preserve"> period.  </w:t>
      </w:r>
      <w:r w:rsidR="00661839">
        <w:t xml:space="preserve"> </w:t>
      </w:r>
    </w:p>
    <w:p w14:paraId="11E517EE" w14:textId="77777777" w:rsidR="00F5737E" w:rsidRPr="00976312" w:rsidRDefault="00F5737E" w:rsidP="00F5737E">
      <w:pPr>
        <w:spacing w:after="240"/>
        <w:jc w:val="both"/>
        <w:rPr>
          <w:b/>
        </w:rPr>
      </w:pPr>
      <w:r w:rsidRPr="00976312">
        <w:rPr>
          <w:b/>
        </w:rPr>
        <w:t>Contents</w:t>
      </w:r>
    </w:p>
    <w:p w14:paraId="37F45D63" w14:textId="7EB405AF" w:rsidR="006C3708" w:rsidRDefault="006C3708" w:rsidP="006C3708">
      <w:pPr>
        <w:spacing w:after="240" w:line="276" w:lineRule="auto"/>
        <w:jc w:val="both"/>
        <w:rPr>
          <w:lang w:eastAsia="sl-SI"/>
        </w:rPr>
      </w:pPr>
      <w:r w:rsidRPr="002D613F">
        <w:rPr>
          <w:lang w:eastAsia="sl-SI"/>
        </w:rPr>
        <w:t xml:space="preserve">Following the tradition of TCOP meetings and based on agreements reached with the hosts of the event, </w:t>
      </w:r>
      <w:r w:rsidR="00DE5879">
        <w:rPr>
          <w:lang w:eastAsia="sl-SI"/>
        </w:rPr>
        <w:t>t</w:t>
      </w:r>
      <w:r w:rsidR="00DE5879" w:rsidRPr="002D613F">
        <w:rPr>
          <w:lang w:eastAsia="sl-SI"/>
        </w:rPr>
        <w:t xml:space="preserve">he meeting will </w:t>
      </w:r>
      <w:r w:rsidR="00DE5879">
        <w:rPr>
          <w:lang w:eastAsia="sl-SI"/>
        </w:rPr>
        <w:t xml:space="preserve">commence with the presentations by the Ministry of Finance and Economy of Albania on existing mechanisms for monitoring performance of the core functions. The focus will be on the functions falling within the direct responsibility of the Treasury Directorate as well as those closely interconnected with the treasury functions. </w:t>
      </w:r>
      <w:r w:rsidR="00907C1A">
        <w:rPr>
          <w:lang w:eastAsia="sl-SI"/>
        </w:rPr>
        <w:t xml:space="preserve">Agenda </w:t>
      </w:r>
      <w:r w:rsidR="00DE5879">
        <w:rPr>
          <w:lang w:eastAsia="sl-SI"/>
        </w:rPr>
        <w:t xml:space="preserve">will start with an overview of the Albanian Public Finance Management Strategy and existing mechanism for monitoring its implementation. This will be followed by the presentations by the representatives of the General Directorates of Treasury, Harmonization of Public Internal Financial Control, Budget and Debt Management. Presentations will focus on the key performance indicators and monitoring tools used to monitor performance </w:t>
      </w:r>
      <w:r w:rsidR="00907C1A">
        <w:rPr>
          <w:lang w:eastAsia="sl-SI"/>
        </w:rPr>
        <w:t xml:space="preserve">of selected functions and processes </w:t>
      </w:r>
      <w:r w:rsidR="00DE5879">
        <w:rPr>
          <w:lang w:eastAsia="sl-SI"/>
        </w:rPr>
        <w:t>at different levels. The first day will conclude with the group discussion on the presentations delivered by the hosts with focus on lessons applicable for other participating countries.</w:t>
      </w:r>
      <w:r>
        <w:rPr>
          <w:lang w:eastAsia="sl-SI"/>
        </w:rPr>
        <w:t xml:space="preserve">  </w:t>
      </w:r>
    </w:p>
    <w:p w14:paraId="48AC402D" w14:textId="45BB0371" w:rsidR="006C3708" w:rsidRDefault="006C3708" w:rsidP="006C3708">
      <w:pPr>
        <w:spacing w:after="240" w:line="276" w:lineRule="auto"/>
        <w:jc w:val="both"/>
        <w:rPr>
          <w:lang w:eastAsia="sl-SI"/>
        </w:rPr>
      </w:pPr>
      <w:r>
        <w:rPr>
          <w:lang w:eastAsia="sl-SI"/>
        </w:rPr>
        <w:t xml:space="preserve">Day 2 will be devoted to discussions on member country and international experience with </w:t>
      </w:r>
      <w:r w:rsidR="00DE5879">
        <w:rPr>
          <w:lang w:eastAsia="sl-SI"/>
        </w:rPr>
        <w:t>monitoring treasury performance</w:t>
      </w:r>
      <w:r>
        <w:rPr>
          <w:lang w:eastAsia="sl-SI"/>
        </w:rPr>
        <w:t xml:space="preserve">. The day will commence with </w:t>
      </w:r>
      <w:r w:rsidR="00907C1A">
        <w:rPr>
          <w:lang w:eastAsia="sl-SI"/>
        </w:rPr>
        <w:t xml:space="preserve">the </w:t>
      </w:r>
      <w:r>
        <w:rPr>
          <w:lang w:eastAsia="sl-SI"/>
        </w:rPr>
        <w:t>presentation</w:t>
      </w:r>
      <w:r w:rsidR="00907C1A">
        <w:rPr>
          <w:lang w:eastAsia="sl-SI"/>
        </w:rPr>
        <w:t xml:space="preserve">s </w:t>
      </w:r>
      <w:r>
        <w:rPr>
          <w:lang w:eastAsia="sl-SI"/>
        </w:rPr>
        <w:t xml:space="preserve">on </w:t>
      </w:r>
      <w:r w:rsidR="00907C1A">
        <w:rPr>
          <w:lang w:eastAsia="sl-SI"/>
        </w:rPr>
        <w:t xml:space="preserve">modern approaches and tools used for performance management by PFM institutions in advanced countries and </w:t>
      </w:r>
      <w:r w:rsidR="00DA5885">
        <w:rPr>
          <w:lang w:eastAsia="sl-SI"/>
        </w:rPr>
        <w:t>the latest PEFA fram</w:t>
      </w:r>
      <w:r w:rsidR="00907C1A">
        <w:rPr>
          <w:lang w:eastAsia="sl-SI"/>
        </w:rPr>
        <w:t>e</w:t>
      </w:r>
      <w:r w:rsidR="00DA5885">
        <w:rPr>
          <w:lang w:eastAsia="sl-SI"/>
        </w:rPr>
        <w:t>w</w:t>
      </w:r>
      <w:r w:rsidR="00907C1A">
        <w:rPr>
          <w:lang w:eastAsia="sl-SI"/>
        </w:rPr>
        <w:t>or</w:t>
      </w:r>
      <w:r w:rsidR="00DA5885">
        <w:rPr>
          <w:lang w:eastAsia="sl-SI"/>
        </w:rPr>
        <w:t>k</w:t>
      </w:r>
      <w:r w:rsidR="00907C1A">
        <w:rPr>
          <w:lang w:eastAsia="sl-SI"/>
        </w:rPr>
        <w:t>,</w:t>
      </w:r>
      <w:r w:rsidR="00DA5885">
        <w:rPr>
          <w:lang w:eastAsia="sl-SI"/>
        </w:rPr>
        <w:t xml:space="preserve"> as an internationally recogni</w:t>
      </w:r>
      <w:r w:rsidR="00907C1A">
        <w:rPr>
          <w:lang w:eastAsia="sl-SI"/>
        </w:rPr>
        <w:t>z</w:t>
      </w:r>
      <w:r w:rsidR="00DA5885">
        <w:rPr>
          <w:lang w:eastAsia="sl-SI"/>
        </w:rPr>
        <w:t>ed tool for assessing PFM pe</w:t>
      </w:r>
      <w:r w:rsidR="00907C1A">
        <w:rPr>
          <w:lang w:eastAsia="sl-SI"/>
        </w:rPr>
        <w:t>r</w:t>
      </w:r>
      <w:r w:rsidR="00DA5885">
        <w:rPr>
          <w:lang w:eastAsia="sl-SI"/>
        </w:rPr>
        <w:t>fo</w:t>
      </w:r>
      <w:r w:rsidR="00907C1A">
        <w:rPr>
          <w:lang w:eastAsia="sl-SI"/>
        </w:rPr>
        <w:t>r</w:t>
      </w:r>
      <w:r w:rsidR="00DA5885">
        <w:rPr>
          <w:lang w:eastAsia="sl-SI"/>
        </w:rPr>
        <w:t xml:space="preserve">mance, </w:t>
      </w:r>
      <w:r w:rsidR="00DE5879">
        <w:rPr>
          <w:lang w:eastAsia="sl-SI"/>
        </w:rPr>
        <w:t>to be delivered by the resource experts</w:t>
      </w:r>
      <w:r>
        <w:rPr>
          <w:lang w:eastAsia="sl-SI"/>
        </w:rPr>
        <w:t xml:space="preserve">.  This will be </w:t>
      </w:r>
      <w:r w:rsidR="003B47DA">
        <w:rPr>
          <w:lang w:eastAsia="sl-SI"/>
        </w:rPr>
        <w:t xml:space="preserve">followed </w:t>
      </w:r>
      <w:r>
        <w:rPr>
          <w:lang w:eastAsia="sl-SI"/>
        </w:rPr>
        <w:t xml:space="preserve">by presentations by the participating countries on how </w:t>
      </w:r>
      <w:r w:rsidR="00DA5885">
        <w:rPr>
          <w:lang w:eastAsia="sl-SI"/>
        </w:rPr>
        <w:t>monitorin</w:t>
      </w:r>
      <w:r w:rsidR="00907C1A">
        <w:rPr>
          <w:lang w:eastAsia="sl-SI"/>
        </w:rPr>
        <w:t>g</w:t>
      </w:r>
      <w:r w:rsidR="00DA5885">
        <w:rPr>
          <w:lang w:eastAsia="sl-SI"/>
        </w:rPr>
        <w:t xml:space="preserve"> of </w:t>
      </w:r>
      <w:r w:rsidR="00DE5879">
        <w:rPr>
          <w:lang w:eastAsia="sl-SI"/>
        </w:rPr>
        <w:t xml:space="preserve">performance </w:t>
      </w:r>
      <w:r w:rsidR="00DA5885">
        <w:rPr>
          <w:lang w:eastAsia="sl-SI"/>
        </w:rPr>
        <w:t xml:space="preserve">of the core functions </w:t>
      </w:r>
      <w:r w:rsidR="00DE5879">
        <w:rPr>
          <w:lang w:eastAsia="sl-SI"/>
        </w:rPr>
        <w:t xml:space="preserve">is organized within the national treasury institutions. </w:t>
      </w:r>
      <w:r>
        <w:rPr>
          <w:lang w:eastAsia="sl-SI"/>
        </w:rPr>
        <w:t xml:space="preserve">The second half of Day 2 will be devoted to group discussions on this topic. </w:t>
      </w:r>
      <w:r w:rsidR="00DA5885" w:rsidRPr="00FD6B8B">
        <w:rPr>
          <w:lang w:eastAsia="sl-SI"/>
        </w:rPr>
        <w:t>The groups will discuss the important messages from the thematic presentations and discussions, including highlighting issues, challenges and possible solutions.</w:t>
      </w:r>
      <w:r w:rsidR="00DA5885">
        <w:rPr>
          <w:lang w:eastAsia="sl-SI"/>
        </w:rPr>
        <w:t xml:space="preserve"> </w:t>
      </w:r>
      <w:r>
        <w:rPr>
          <w:lang w:eastAsia="sl-SI"/>
        </w:rPr>
        <w:t xml:space="preserve">Each group will develop a PowerPoint summary of the key messages. </w:t>
      </w:r>
    </w:p>
    <w:p w14:paraId="5082F44E" w14:textId="0AD46E89" w:rsidR="00F5737E" w:rsidRDefault="006C3708" w:rsidP="00F5737E">
      <w:pPr>
        <w:spacing w:after="240" w:line="276" w:lineRule="auto"/>
        <w:jc w:val="both"/>
        <w:rPr>
          <w:lang w:eastAsia="sl-SI"/>
        </w:rPr>
      </w:pPr>
      <w:r>
        <w:rPr>
          <w:lang w:eastAsia="sl-SI"/>
        </w:rPr>
        <w:t xml:space="preserve">Day 3 will commence with </w:t>
      </w:r>
      <w:r w:rsidR="00E32ACF">
        <w:rPr>
          <w:lang w:eastAsia="sl-SI"/>
        </w:rPr>
        <w:t xml:space="preserve">the reports </w:t>
      </w:r>
      <w:r>
        <w:rPr>
          <w:lang w:eastAsia="sl-SI"/>
        </w:rPr>
        <w:t>on the group discussions from Day 2.</w:t>
      </w:r>
      <w:r w:rsidR="004B4675">
        <w:rPr>
          <w:lang w:eastAsia="sl-SI"/>
        </w:rPr>
        <w:t xml:space="preserve"> </w:t>
      </w:r>
      <w:r w:rsidR="00DA5885">
        <w:rPr>
          <w:lang w:eastAsia="sl-SI"/>
        </w:rPr>
        <w:t xml:space="preserve">The rest of </w:t>
      </w:r>
      <w:r w:rsidR="00F5737E" w:rsidRPr="00FD6B8B">
        <w:rPr>
          <w:lang w:eastAsia="sl-SI"/>
        </w:rPr>
        <w:t xml:space="preserve">Day 3 will </w:t>
      </w:r>
      <w:r w:rsidR="00DC3885" w:rsidRPr="00FD6B8B">
        <w:rPr>
          <w:lang w:eastAsia="sl-SI"/>
        </w:rPr>
        <w:t xml:space="preserve">be devoted to the review of the results of the COP activities over the past year and </w:t>
      </w:r>
      <w:r w:rsidR="00CC6FC2">
        <w:rPr>
          <w:lang w:eastAsia="sl-SI"/>
        </w:rPr>
        <w:t xml:space="preserve">update </w:t>
      </w:r>
      <w:r w:rsidR="00DC3885" w:rsidRPr="00FD6B8B">
        <w:rPr>
          <w:lang w:eastAsia="sl-SI"/>
        </w:rPr>
        <w:t xml:space="preserve">of the COP medium-term strategic plan for the </w:t>
      </w:r>
      <w:r w:rsidR="00CC6FC2">
        <w:rPr>
          <w:lang w:eastAsia="sl-SI"/>
        </w:rPr>
        <w:t>future period</w:t>
      </w:r>
      <w:r w:rsidR="004A344A" w:rsidRPr="00FD6B8B">
        <w:rPr>
          <w:lang w:eastAsia="sl-SI"/>
        </w:rPr>
        <w:t>.</w:t>
      </w:r>
    </w:p>
    <w:p w14:paraId="0B71A35D" w14:textId="20082007" w:rsidR="00F5737E" w:rsidRDefault="00F102C8" w:rsidP="00F5737E">
      <w:pPr>
        <w:spacing w:after="240" w:line="276" w:lineRule="auto"/>
        <w:jc w:val="both"/>
        <w:rPr>
          <w:lang w:eastAsia="sl-SI"/>
        </w:rPr>
      </w:pPr>
      <w:r>
        <w:rPr>
          <w:lang w:eastAsia="sl-SI"/>
        </w:rPr>
        <w:t>All</w:t>
      </w:r>
      <w:r w:rsidR="00F5737E">
        <w:rPr>
          <w:lang w:eastAsia="sl-SI"/>
        </w:rPr>
        <w:t xml:space="preserve"> member countries will be invited to the meeting in </w:t>
      </w:r>
      <w:r w:rsidR="007C41B3">
        <w:rPr>
          <w:lang w:eastAsia="sl-SI"/>
        </w:rPr>
        <w:t>Tirana</w:t>
      </w:r>
      <w:r w:rsidR="00F5737E">
        <w:rPr>
          <w:lang w:eastAsia="sl-SI"/>
        </w:rPr>
        <w:t xml:space="preserve">. The total number of participants expected is </w:t>
      </w:r>
      <w:r w:rsidR="00F5737E" w:rsidRPr="006F267E">
        <w:rPr>
          <w:lang w:eastAsia="sl-SI"/>
        </w:rPr>
        <w:t xml:space="preserve">around </w:t>
      </w:r>
      <w:r w:rsidR="00DC3885" w:rsidRPr="006F267E">
        <w:rPr>
          <w:lang w:eastAsia="sl-SI"/>
        </w:rPr>
        <w:t>65</w:t>
      </w:r>
      <w:r w:rsidR="00346874" w:rsidRPr="006F267E">
        <w:rPr>
          <w:lang w:eastAsia="sl-SI"/>
        </w:rPr>
        <w:t>,</w:t>
      </w:r>
      <w:r w:rsidR="00346874">
        <w:rPr>
          <w:lang w:eastAsia="sl-SI"/>
        </w:rPr>
        <w:t xml:space="preserve"> including experts</w:t>
      </w:r>
      <w:r w:rsidR="00171DC6">
        <w:rPr>
          <w:lang w:eastAsia="sl-SI"/>
        </w:rPr>
        <w:t xml:space="preserve"> and invited speakers</w:t>
      </w:r>
      <w:r w:rsidR="00F5737E">
        <w:rPr>
          <w:lang w:eastAsia="sl-SI"/>
        </w:rPr>
        <w:t xml:space="preserve">. The format of the meeting will be very informal and aimed at stimulating debate and encouraging participation by country representatives. The working languages for the event will be Russian, English and </w:t>
      </w:r>
      <w:r w:rsidR="00DC3885">
        <w:rPr>
          <w:lang w:eastAsia="sl-SI"/>
        </w:rPr>
        <w:t>Bosnia</w:t>
      </w:r>
      <w:r w:rsidR="00171DC6">
        <w:rPr>
          <w:lang w:eastAsia="sl-SI"/>
        </w:rPr>
        <w:t>n</w:t>
      </w:r>
      <w:r w:rsidR="00DC3885">
        <w:rPr>
          <w:lang w:eastAsia="sl-SI"/>
        </w:rPr>
        <w:t>-</w:t>
      </w:r>
      <w:r w:rsidR="00F5737E">
        <w:rPr>
          <w:lang w:eastAsia="sl-SI"/>
        </w:rPr>
        <w:t>Croatian</w:t>
      </w:r>
      <w:r w:rsidR="00DC3885">
        <w:rPr>
          <w:lang w:eastAsia="sl-SI"/>
        </w:rPr>
        <w:t>-Serbian</w:t>
      </w:r>
      <w:r w:rsidR="00F5737E">
        <w:rPr>
          <w:lang w:eastAsia="sl-SI"/>
        </w:rPr>
        <w:t xml:space="preserve">, using simultaneous interpretation. </w:t>
      </w:r>
    </w:p>
    <w:p w14:paraId="2194E1E8" w14:textId="00A444F3" w:rsidR="00F5737E" w:rsidRDefault="00F5737E" w:rsidP="00F5737E">
      <w:pPr>
        <w:spacing w:after="240" w:line="276" w:lineRule="auto"/>
        <w:jc w:val="both"/>
        <w:rPr>
          <w:lang w:eastAsia="sl-SI"/>
        </w:rPr>
      </w:pPr>
      <w:r>
        <w:rPr>
          <w:lang w:eastAsia="sl-SI"/>
        </w:rPr>
        <w:lastRenderedPageBreak/>
        <w:t xml:space="preserve">The event preparation and implementation will be facilitated by the World Bank resource team working with the TCOP, including Elena Nikulina, Team Leader for the PEMPAL program, </w:t>
      </w:r>
      <w:r w:rsidR="00DE35DF">
        <w:rPr>
          <w:lang w:eastAsia="sl-SI"/>
        </w:rPr>
        <w:t>and</w:t>
      </w:r>
      <w:r>
        <w:rPr>
          <w:lang w:eastAsia="sl-SI"/>
        </w:rPr>
        <w:t xml:space="preserve"> Mark Silins, TCOP</w:t>
      </w:r>
      <w:r w:rsidR="00DC3885">
        <w:rPr>
          <w:lang w:eastAsia="sl-SI"/>
        </w:rPr>
        <w:t xml:space="preserve"> Lead Thematic Expert</w:t>
      </w:r>
      <w:r w:rsidR="00DE35DF">
        <w:rPr>
          <w:lang w:eastAsia="sl-SI"/>
        </w:rPr>
        <w:t xml:space="preserve">. </w:t>
      </w:r>
    </w:p>
    <w:p w14:paraId="5476054A" w14:textId="77777777" w:rsidR="00EC1441" w:rsidRDefault="00EC1441" w:rsidP="00EC1441">
      <w:pPr>
        <w:spacing w:after="240" w:line="276" w:lineRule="auto"/>
        <w:rPr>
          <w:lang w:eastAsia="sl-SI"/>
        </w:rPr>
      </w:pPr>
    </w:p>
    <w:p w14:paraId="07084EEA" w14:textId="4EB5DD38" w:rsidR="006F267E" w:rsidRPr="00625319" w:rsidRDefault="00F5737E" w:rsidP="00EC1441">
      <w:pPr>
        <w:spacing w:after="240" w:line="276" w:lineRule="auto"/>
        <w:jc w:val="center"/>
        <w:rPr>
          <w:lang w:eastAsia="sl-SI"/>
        </w:rPr>
      </w:pPr>
      <w:r w:rsidRPr="00625319">
        <w:rPr>
          <w:lang w:eastAsia="sl-SI"/>
        </w:rPr>
        <w:t>PRELIMINARY AGENDA</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8100"/>
      </w:tblGrid>
      <w:tr w:rsidR="007C41B3" w14:paraId="5CC98CDF" w14:textId="77777777" w:rsidTr="007C41B3">
        <w:tc>
          <w:tcPr>
            <w:tcW w:w="982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A0A6B77" w14:textId="77777777" w:rsidR="007C41B3" w:rsidRDefault="007C41B3">
            <w:pPr>
              <w:rPr>
                <w:rFonts w:cs="Calibri"/>
                <w:color w:val="000000"/>
                <w:sz w:val="32"/>
                <w:szCs w:val="32"/>
              </w:rPr>
            </w:pPr>
            <w:r>
              <w:rPr>
                <w:rFonts w:cs="Calibri"/>
                <w:b/>
                <w:color w:val="000000"/>
                <w:sz w:val="32"/>
                <w:szCs w:val="32"/>
                <w:u w:val="single"/>
              </w:rPr>
              <w:t>May 20</w:t>
            </w:r>
            <w:r>
              <w:rPr>
                <w:rFonts w:cs="Calibri"/>
                <w:b/>
                <w:color w:val="000000"/>
                <w:sz w:val="32"/>
                <w:szCs w:val="32"/>
                <w:u w:val="single"/>
                <w:vertAlign w:val="superscript"/>
              </w:rPr>
              <w:t>th</w:t>
            </w:r>
            <w:r>
              <w:rPr>
                <w:rFonts w:cs="Calibri"/>
                <w:b/>
                <w:color w:val="000000"/>
                <w:sz w:val="32"/>
                <w:szCs w:val="32"/>
                <w:u w:val="single"/>
              </w:rPr>
              <w:t xml:space="preserve">  </w:t>
            </w:r>
          </w:p>
        </w:tc>
      </w:tr>
      <w:tr w:rsidR="007C41B3" w14:paraId="6421852A" w14:textId="77777777" w:rsidTr="007C41B3">
        <w:tc>
          <w:tcPr>
            <w:tcW w:w="1728" w:type="dxa"/>
            <w:tcBorders>
              <w:top w:val="single" w:sz="4" w:space="0" w:color="auto"/>
              <w:left w:val="single" w:sz="4" w:space="0" w:color="auto"/>
              <w:bottom w:val="single" w:sz="4" w:space="0" w:color="auto"/>
              <w:right w:val="single" w:sz="4" w:space="0" w:color="auto"/>
            </w:tcBorders>
            <w:hideMark/>
          </w:tcPr>
          <w:p w14:paraId="592C0EB5" w14:textId="19435AE3" w:rsidR="007C41B3" w:rsidRDefault="007C41B3">
            <w:pPr>
              <w:jc w:val="center"/>
              <w:rPr>
                <w:rFonts w:cs="Calibri"/>
                <w:color w:val="0070C0"/>
                <w:lang w:val="ru-RU"/>
              </w:rPr>
            </w:pPr>
            <w:r>
              <w:rPr>
                <w:rFonts w:cs="Calibri"/>
                <w:color w:val="000000"/>
                <w:lang w:val="ro-RO"/>
              </w:rPr>
              <w:t xml:space="preserve">  </w:t>
            </w:r>
            <w:r>
              <w:rPr>
                <w:rFonts w:cs="Calibri"/>
                <w:color w:val="000000"/>
                <w:lang w:val="ru-RU"/>
              </w:rPr>
              <w:t xml:space="preserve">      </w:t>
            </w:r>
            <w:r>
              <w:rPr>
                <w:rFonts w:cs="Calibri"/>
                <w:color w:val="000000"/>
                <w:lang w:val="ro-RO"/>
              </w:rPr>
              <w:t xml:space="preserve">  </w:t>
            </w:r>
          </w:p>
        </w:tc>
        <w:tc>
          <w:tcPr>
            <w:tcW w:w="8100" w:type="dxa"/>
            <w:tcBorders>
              <w:top w:val="single" w:sz="4" w:space="0" w:color="auto"/>
              <w:left w:val="single" w:sz="4" w:space="0" w:color="auto"/>
              <w:bottom w:val="single" w:sz="4" w:space="0" w:color="auto"/>
              <w:right w:val="single" w:sz="4" w:space="0" w:color="auto"/>
            </w:tcBorders>
            <w:hideMark/>
          </w:tcPr>
          <w:p w14:paraId="0A3D137E" w14:textId="65BB34BF" w:rsidR="007C41B3" w:rsidRDefault="007A1A62">
            <w:pPr>
              <w:rPr>
                <w:rFonts w:cs="Calibri"/>
                <w:i/>
                <w:color w:val="0070C0"/>
                <w:lang w:val="ro-RO"/>
              </w:rPr>
            </w:pPr>
            <w:r>
              <w:rPr>
                <w:rFonts w:cs="Calibri"/>
                <w:color w:val="000000"/>
                <w:lang w:val="ro-RO"/>
              </w:rPr>
              <w:t>Welcome r</w:t>
            </w:r>
            <w:r w:rsidR="007C41B3">
              <w:rPr>
                <w:rFonts w:cs="Calibri"/>
                <w:color w:val="000000"/>
                <w:lang w:val="ro-RO"/>
              </w:rPr>
              <w:t>eception</w:t>
            </w:r>
          </w:p>
        </w:tc>
      </w:tr>
      <w:tr w:rsidR="007C41B3" w14:paraId="651FF0FA" w14:textId="77777777" w:rsidTr="007C41B3">
        <w:tc>
          <w:tcPr>
            <w:tcW w:w="9828" w:type="dxa"/>
            <w:gridSpan w:val="2"/>
            <w:tcBorders>
              <w:top w:val="single" w:sz="4" w:space="0" w:color="auto"/>
              <w:left w:val="single" w:sz="4" w:space="0" w:color="auto"/>
              <w:bottom w:val="single" w:sz="4" w:space="0" w:color="auto"/>
              <w:right w:val="single" w:sz="4" w:space="0" w:color="auto"/>
            </w:tcBorders>
            <w:shd w:val="clear" w:color="auto" w:fill="D9D9D9"/>
          </w:tcPr>
          <w:p w14:paraId="74FE8587" w14:textId="77777777" w:rsidR="007C41B3" w:rsidRDefault="007C41B3">
            <w:pPr>
              <w:rPr>
                <w:rFonts w:cs="Calibri"/>
                <w:b/>
                <w:color w:val="000000"/>
                <w:sz w:val="32"/>
                <w:szCs w:val="32"/>
                <w:u w:val="single"/>
              </w:rPr>
            </w:pPr>
          </w:p>
          <w:p w14:paraId="6355941C" w14:textId="77777777" w:rsidR="007C41B3" w:rsidRDefault="007C41B3" w:rsidP="0056547A">
            <w:pPr>
              <w:spacing w:after="240"/>
              <w:rPr>
                <w:rFonts w:cs="Calibri"/>
                <w:color w:val="000000"/>
                <w:sz w:val="32"/>
                <w:szCs w:val="32"/>
                <w:lang w:val="ro-RO"/>
              </w:rPr>
            </w:pPr>
            <w:r>
              <w:rPr>
                <w:rFonts w:cs="Calibri"/>
                <w:b/>
                <w:color w:val="000000"/>
                <w:sz w:val="32"/>
                <w:szCs w:val="32"/>
                <w:u w:val="single"/>
              </w:rPr>
              <w:t>May 21</w:t>
            </w:r>
            <w:r>
              <w:rPr>
                <w:rFonts w:cs="Calibri"/>
                <w:b/>
                <w:color w:val="000000"/>
                <w:sz w:val="32"/>
                <w:szCs w:val="32"/>
                <w:u w:val="single"/>
                <w:vertAlign w:val="superscript"/>
              </w:rPr>
              <w:t>st</w:t>
            </w:r>
            <w:r>
              <w:rPr>
                <w:rFonts w:cs="Calibri"/>
                <w:b/>
                <w:color w:val="000000"/>
                <w:sz w:val="32"/>
                <w:szCs w:val="32"/>
                <w:u w:val="single"/>
              </w:rPr>
              <w:t xml:space="preserve"> </w:t>
            </w:r>
            <w:r>
              <w:rPr>
                <w:rFonts w:cs="Calibri"/>
                <w:b/>
                <w:color w:val="000000"/>
                <w:sz w:val="32"/>
                <w:szCs w:val="32"/>
                <w:u w:val="single"/>
                <w:lang w:val="ro-RO"/>
              </w:rPr>
              <w:t xml:space="preserve"> 1-st day </w:t>
            </w:r>
          </w:p>
        </w:tc>
      </w:tr>
      <w:tr w:rsidR="007C41B3" w14:paraId="62CDAC0B"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99C84CB" w14:textId="521C80A0" w:rsidR="007C41B3" w:rsidRDefault="007A1A62">
            <w:pPr>
              <w:jc w:val="center"/>
              <w:rPr>
                <w:rFonts w:cs="Calibri"/>
                <w:lang w:val="ro-RO"/>
              </w:rPr>
            </w:pPr>
            <w:r>
              <w:rPr>
                <w:rFonts w:cs="Calibri"/>
                <w:lang w:val="ro-RO"/>
              </w:rPr>
              <w:t>Session 1</w:t>
            </w:r>
            <w:r w:rsidR="007C41B3">
              <w:rPr>
                <w:rFonts w:cs="Calibri"/>
                <w:lang w:val="ro-RO"/>
              </w:rPr>
              <w:t xml:space="preserve">    </w:t>
            </w:r>
            <w:r w:rsidR="007C41B3">
              <w:rPr>
                <w:rFonts w:cs="Calibri"/>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14:paraId="2433659B" w14:textId="40F1FD3B" w:rsidR="007C41B3" w:rsidRPr="0056547A" w:rsidRDefault="007C41B3" w:rsidP="0056547A">
            <w:pPr>
              <w:tabs>
                <w:tab w:val="left" w:pos="720"/>
              </w:tabs>
              <w:spacing w:after="240"/>
              <w:rPr>
                <w:rFonts w:cs="Calibri"/>
                <w:lang w:val="ro-RO"/>
              </w:rPr>
            </w:pPr>
            <w:r>
              <w:rPr>
                <w:rFonts w:cs="Calibri"/>
                <w:lang w:val="ro-RO"/>
              </w:rPr>
              <w:t>Welcome</w:t>
            </w:r>
            <w:r w:rsidR="008721EF">
              <w:rPr>
                <w:rFonts w:cs="Calibri"/>
                <w:lang w:val="ro-RO"/>
              </w:rPr>
              <w:t xml:space="preserve"> and introductions</w:t>
            </w:r>
          </w:p>
        </w:tc>
      </w:tr>
      <w:tr w:rsidR="007C41B3" w14:paraId="27CB45FE"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4397D54" w14:textId="698396C7" w:rsidR="007C41B3" w:rsidRDefault="007C41B3">
            <w:pPr>
              <w:jc w:val="center"/>
              <w:rPr>
                <w:rFonts w:cs="Calibri"/>
                <w:lang w:val="ro-RO"/>
              </w:rPr>
            </w:pPr>
            <w:r>
              <w:rPr>
                <w:rFonts w:cs="Calibri"/>
                <w:lang w:val="ro-RO"/>
              </w:rPr>
              <w:t xml:space="preserve">   </w:t>
            </w:r>
            <w:r>
              <w:rPr>
                <w:rFonts w:cs="Calibri"/>
              </w:rPr>
              <w:t xml:space="preserve">    </w:t>
            </w:r>
            <w:r>
              <w:rPr>
                <w:rFonts w:cs="Calibri"/>
                <w:lang w:val="ro-RO"/>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0C89F0E3" w14:textId="480264B2" w:rsidR="007C41B3" w:rsidRDefault="007C41B3">
            <w:pPr>
              <w:rPr>
                <w:rFonts w:cs="Calibri"/>
                <w:lang w:val="ro-RO"/>
              </w:rPr>
            </w:pPr>
            <w:r>
              <w:rPr>
                <w:rFonts w:cs="Calibri"/>
                <w:color w:val="000000"/>
                <w:lang w:val="ro-RO"/>
              </w:rPr>
              <w:t>”</w:t>
            </w:r>
            <w:r>
              <w:rPr>
                <w:rFonts w:cs="Calibri"/>
                <w:b/>
                <w:lang w:val="ro-RO"/>
              </w:rPr>
              <w:t xml:space="preserve">Albanian PFM reform </w:t>
            </w:r>
            <w:r w:rsidR="007A1A62">
              <w:rPr>
                <w:rFonts w:cs="Calibri"/>
                <w:b/>
                <w:lang w:val="ro-RO"/>
              </w:rPr>
              <w:t xml:space="preserve">monitoring </w:t>
            </w:r>
            <w:r>
              <w:rPr>
                <w:rFonts w:cs="Calibri"/>
                <w:b/>
                <w:lang w:val="ro-RO"/>
              </w:rPr>
              <w:t>indicators</w:t>
            </w:r>
            <w:r>
              <w:rPr>
                <w:rFonts w:cs="Calibri"/>
                <w:lang w:val="ro-RO"/>
              </w:rPr>
              <w:t xml:space="preserve">” </w:t>
            </w:r>
          </w:p>
          <w:p w14:paraId="22EAE120" w14:textId="2DA3F6A0" w:rsidR="007C41B3" w:rsidRDefault="007C41B3" w:rsidP="0056547A">
            <w:pPr>
              <w:spacing w:after="240"/>
              <w:rPr>
                <w:rFonts w:cs="Calibri"/>
                <w:lang w:val="ro-RO"/>
              </w:rPr>
            </w:pPr>
            <w:r>
              <w:rPr>
                <w:rFonts w:cs="Calibri"/>
                <w:lang w:val="ro-RO"/>
              </w:rPr>
              <w:t>Director</w:t>
            </w:r>
            <w:r w:rsidR="007A1A62">
              <w:rPr>
                <w:rFonts w:cs="Calibri"/>
                <w:lang w:val="ro-RO"/>
              </w:rPr>
              <w:t>ate</w:t>
            </w:r>
            <w:r>
              <w:rPr>
                <w:rFonts w:cs="Calibri"/>
                <w:lang w:val="ro-RO"/>
              </w:rPr>
              <w:t xml:space="preserve"> for Managing the Reforms in the Public Finance Management</w:t>
            </w:r>
          </w:p>
        </w:tc>
      </w:tr>
      <w:tr w:rsidR="007C41B3" w14:paraId="4D9DE2A2"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3C48F20C" w14:textId="1EB8561F" w:rsidR="007C41B3" w:rsidRDefault="007C41B3">
            <w:pPr>
              <w:jc w:val="center"/>
              <w:rPr>
                <w:rFonts w:cs="Calibri"/>
                <w:lang w:val="ro-RO"/>
              </w:rPr>
            </w:pP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557A88DB" w14:textId="7784EDA3" w:rsidR="007C41B3" w:rsidRDefault="007C41B3">
            <w:pPr>
              <w:rPr>
                <w:rFonts w:cs="Calibri"/>
                <w:i/>
                <w:color w:val="548DD4"/>
                <w:lang w:val="ro-RO"/>
              </w:rPr>
            </w:pPr>
            <w:r>
              <w:rPr>
                <w:rFonts w:cs="Calibri"/>
                <w:color w:val="000000"/>
                <w:lang w:val="ro-RO"/>
              </w:rPr>
              <w:t>”</w:t>
            </w:r>
            <w:r>
              <w:rPr>
                <w:rFonts w:cs="Calibri"/>
                <w:b/>
                <w:color w:val="000000"/>
                <w:lang w:val="ro-RO"/>
              </w:rPr>
              <w:t>PIFC Performance Indicators</w:t>
            </w:r>
            <w:r>
              <w:rPr>
                <w:rFonts w:cs="Calibri"/>
                <w:color w:val="000000"/>
                <w:lang w:val="ro-RO"/>
              </w:rPr>
              <w:t xml:space="preserve">” </w:t>
            </w:r>
          </w:p>
          <w:p w14:paraId="58E112DF" w14:textId="4E39EC29" w:rsidR="007C41B3" w:rsidRDefault="007C41B3" w:rsidP="0056547A">
            <w:pPr>
              <w:spacing w:after="240"/>
              <w:rPr>
                <w:rFonts w:cs="Calibri"/>
              </w:rPr>
            </w:pPr>
            <w:r>
              <w:rPr>
                <w:rFonts w:cs="Calibri"/>
                <w:color w:val="000000"/>
                <w:lang w:val="ro-RO"/>
              </w:rPr>
              <w:t>General Director</w:t>
            </w:r>
            <w:r w:rsidR="007A1A62">
              <w:rPr>
                <w:rFonts w:cs="Calibri"/>
                <w:color w:val="000000"/>
                <w:lang w:val="ro-RO"/>
              </w:rPr>
              <w:t>ate</w:t>
            </w:r>
            <w:r>
              <w:rPr>
                <w:rFonts w:cs="Calibri"/>
                <w:color w:val="000000"/>
                <w:lang w:val="ro-RO"/>
              </w:rPr>
              <w:t xml:space="preserve"> of Public Financial Internal Control Harmonization</w:t>
            </w:r>
          </w:p>
        </w:tc>
      </w:tr>
      <w:tr w:rsidR="007C41B3" w14:paraId="43DB303F"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9E1BEFD" w14:textId="184ECC94" w:rsidR="007C41B3" w:rsidRDefault="007A1A62">
            <w:pPr>
              <w:jc w:val="center"/>
              <w:rPr>
                <w:rFonts w:cs="Calibri"/>
                <w:lang w:val="ro-RO"/>
              </w:rPr>
            </w:pPr>
            <w:r>
              <w:rPr>
                <w:rFonts w:cs="Calibri"/>
              </w:rPr>
              <w:t>Session 2</w:t>
            </w:r>
            <w:r w:rsidR="007C41B3">
              <w:rPr>
                <w:rFonts w:cs="Calibri"/>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5468C627" w14:textId="14212BA6" w:rsidR="007C41B3" w:rsidRDefault="007C41B3">
            <w:pPr>
              <w:jc w:val="both"/>
              <w:rPr>
                <w:rFonts w:cs="Calibri"/>
                <w:lang w:val="ro-RO"/>
              </w:rPr>
            </w:pPr>
            <w:r>
              <w:rPr>
                <w:rFonts w:cs="Calibri"/>
                <w:color w:val="000000"/>
                <w:lang w:val="ro-RO"/>
              </w:rPr>
              <w:t>”</w:t>
            </w:r>
            <w:r>
              <w:rPr>
                <w:rFonts w:cs="Calibri"/>
                <w:b/>
                <w:lang w:val="ro-RO"/>
              </w:rPr>
              <w:t>Treasury Performance Indicators</w:t>
            </w:r>
            <w:r w:rsidR="007A1A62">
              <w:rPr>
                <w:rFonts w:cs="Calibri"/>
                <w:b/>
                <w:lang w:val="ro-RO"/>
              </w:rPr>
              <w:t>”</w:t>
            </w:r>
            <w:r>
              <w:rPr>
                <w:rFonts w:cs="Calibri"/>
                <w:lang w:val="ro-RO"/>
              </w:rPr>
              <w:t xml:space="preserve"> </w:t>
            </w:r>
          </w:p>
          <w:p w14:paraId="0CE4E2BD" w14:textId="1F25B989" w:rsidR="007C41B3" w:rsidRDefault="007C41B3" w:rsidP="0056547A">
            <w:pPr>
              <w:spacing w:after="240"/>
              <w:ind w:left="74"/>
              <w:jc w:val="both"/>
              <w:rPr>
                <w:rFonts w:cs="Calibri"/>
                <w:lang w:val="ro-RO"/>
              </w:rPr>
            </w:pPr>
            <w:r>
              <w:rPr>
                <w:rFonts w:cs="Calibri"/>
                <w:lang w:val="ro-RO"/>
              </w:rPr>
              <w:t>General Director</w:t>
            </w:r>
            <w:r w:rsidR="007A1A62">
              <w:rPr>
                <w:rFonts w:cs="Calibri"/>
                <w:lang w:val="ro-RO"/>
              </w:rPr>
              <w:t>ate</w:t>
            </w:r>
            <w:r>
              <w:rPr>
                <w:rFonts w:cs="Calibri"/>
                <w:lang w:val="ro-RO"/>
              </w:rPr>
              <w:t xml:space="preserve"> of Treasury </w:t>
            </w:r>
          </w:p>
        </w:tc>
      </w:tr>
      <w:tr w:rsidR="007C41B3" w14:paraId="176CBA38"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7F1ECA0" w14:textId="3F2E583C" w:rsidR="007C41B3" w:rsidRDefault="007C41B3">
            <w:pPr>
              <w:jc w:val="center"/>
              <w:rPr>
                <w:rFonts w:cs="Calibri"/>
                <w:lang w:val="ro-RO"/>
              </w:rPr>
            </w:pPr>
            <w:r>
              <w:rPr>
                <w:rFonts w:cs="Calibri"/>
                <w:lang w:val="ro-RO"/>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21CF60F4" w14:textId="77777777" w:rsidR="008721EF" w:rsidRDefault="007C41B3" w:rsidP="0056547A">
            <w:pPr>
              <w:rPr>
                <w:rFonts w:cs="Calibri"/>
                <w:color w:val="000000"/>
                <w:lang w:val="ro-RO"/>
              </w:rPr>
            </w:pPr>
            <w:r>
              <w:rPr>
                <w:rFonts w:cs="Calibri"/>
                <w:b/>
                <w:color w:val="000000"/>
                <w:lang w:val="ro-RO"/>
              </w:rPr>
              <w:t>”Public Accounting Reform Indicators</w:t>
            </w:r>
            <w:r>
              <w:rPr>
                <w:rFonts w:cs="Calibri"/>
                <w:color w:val="000000"/>
                <w:lang w:val="ro-RO"/>
              </w:rPr>
              <w:t>”</w:t>
            </w:r>
          </w:p>
          <w:p w14:paraId="769D9BBE" w14:textId="01A49406" w:rsidR="007C41B3" w:rsidRDefault="007C41B3" w:rsidP="0056547A">
            <w:pPr>
              <w:spacing w:after="240"/>
              <w:rPr>
                <w:rFonts w:cs="Calibri"/>
                <w:lang w:val="ro-RO"/>
              </w:rPr>
            </w:pPr>
            <w:r>
              <w:rPr>
                <w:rFonts w:cs="Calibri"/>
                <w:color w:val="000000"/>
                <w:lang w:val="ro-RO"/>
              </w:rPr>
              <w:t xml:space="preserve"> General Directorate of Public Financial Internal Control Harmonization</w:t>
            </w:r>
          </w:p>
        </w:tc>
      </w:tr>
      <w:tr w:rsidR="007C41B3" w14:paraId="28A42BFB" w14:textId="77777777" w:rsidTr="0056547A">
        <w:trPr>
          <w:trHeight w:val="620"/>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4175CA0D" w14:textId="4527F8E0" w:rsidR="007C41B3" w:rsidRDefault="007A1A62">
            <w:pPr>
              <w:jc w:val="center"/>
              <w:rPr>
                <w:rFonts w:cs="Calibri"/>
                <w:lang w:val="ro-RO"/>
              </w:rPr>
            </w:pPr>
            <w:r>
              <w:rPr>
                <w:rFonts w:cs="Calibri"/>
                <w:lang w:val="ro-RO"/>
              </w:rPr>
              <w:t>Session 3</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5ED52232" w14:textId="049A8A3D" w:rsidR="007C41B3" w:rsidRDefault="007C41B3">
            <w:pPr>
              <w:rPr>
                <w:rFonts w:cs="Calibri"/>
                <w:i/>
                <w:color w:val="548DD4"/>
                <w:lang w:val="ro-RO"/>
              </w:rPr>
            </w:pPr>
            <w:r>
              <w:rPr>
                <w:rFonts w:cs="Calibri"/>
                <w:color w:val="000000"/>
                <w:lang w:val="ro-RO"/>
              </w:rPr>
              <w:t>”</w:t>
            </w:r>
            <w:r w:rsidR="007A1A62">
              <w:rPr>
                <w:rFonts w:cs="Calibri"/>
                <w:b/>
                <w:color w:val="000000"/>
                <w:lang w:val="ro-RO"/>
              </w:rPr>
              <w:t xml:space="preserve"> </w:t>
            </w:r>
            <w:r>
              <w:rPr>
                <w:rFonts w:cs="Calibri"/>
                <w:b/>
                <w:color w:val="000000"/>
                <w:lang w:val="ro-RO"/>
              </w:rPr>
              <w:t>Debt</w:t>
            </w:r>
            <w:r w:rsidR="007A1A62">
              <w:rPr>
                <w:rFonts w:cs="Calibri"/>
                <w:b/>
                <w:color w:val="000000"/>
                <w:lang w:val="ro-RO"/>
              </w:rPr>
              <w:t xml:space="preserve"> Indicators</w:t>
            </w:r>
            <w:r>
              <w:rPr>
                <w:rFonts w:cs="Calibri"/>
                <w:color w:val="000000"/>
                <w:lang w:val="ro-RO"/>
              </w:rPr>
              <w:t xml:space="preserve">” </w:t>
            </w:r>
          </w:p>
          <w:p w14:paraId="318DD153" w14:textId="0CCF71B4" w:rsidR="007C41B3" w:rsidRDefault="007C41B3" w:rsidP="0056547A">
            <w:pPr>
              <w:spacing w:after="200" w:line="276" w:lineRule="auto"/>
              <w:ind w:left="74"/>
              <w:jc w:val="both"/>
              <w:rPr>
                <w:rFonts w:cs="Calibri"/>
                <w:lang w:val="ro-RO"/>
              </w:rPr>
            </w:pPr>
            <w:r>
              <w:rPr>
                <w:rFonts w:cs="Calibri"/>
                <w:color w:val="000000"/>
                <w:lang w:val="ro-RO"/>
              </w:rPr>
              <w:t>General Directorate of Budget and Debt Management</w:t>
            </w:r>
          </w:p>
        </w:tc>
      </w:tr>
      <w:tr w:rsidR="007C41B3" w14:paraId="1E84D731"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F60C68B" w14:textId="18BAD692" w:rsidR="007C41B3" w:rsidRDefault="007C41B3">
            <w:pPr>
              <w:jc w:val="center"/>
              <w:rPr>
                <w:rFonts w:cs="Calibri"/>
                <w:lang w:val="ro-RO"/>
              </w:rPr>
            </w:pP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6EADB5E2" w14:textId="6F0D4BF7" w:rsidR="007C41B3" w:rsidRDefault="007C41B3">
            <w:pPr>
              <w:rPr>
                <w:rFonts w:cs="Calibri"/>
                <w:lang w:val="ro-RO"/>
              </w:rPr>
            </w:pPr>
            <w:r>
              <w:rPr>
                <w:rFonts w:cs="Calibri"/>
                <w:b/>
                <w:lang w:val="ro-RO"/>
              </w:rPr>
              <w:t>”Improving the performance of the budgeting, execution and reporting process through automation</w:t>
            </w:r>
            <w:r>
              <w:rPr>
                <w:rFonts w:cs="Calibri"/>
                <w:b/>
                <w:color w:val="000000"/>
                <w:lang w:val="ro-RO"/>
              </w:rPr>
              <w:t>”</w:t>
            </w:r>
          </w:p>
          <w:p w14:paraId="192794D1" w14:textId="2B657A30" w:rsidR="007C41B3" w:rsidRDefault="007C41B3" w:rsidP="0056547A">
            <w:pPr>
              <w:spacing w:after="240"/>
              <w:rPr>
                <w:rFonts w:cs="Calibri"/>
                <w:lang w:val="ro-RO"/>
              </w:rPr>
            </w:pPr>
            <w:r>
              <w:rPr>
                <w:rFonts w:cs="Calibri"/>
                <w:lang w:val="ro-RO"/>
              </w:rPr>
              <w:t xml:space="preserve">Treasury </w:t>
            </w:r>
            <w:r w:rsidR="007A1A62">
              <w:rPr>
                <w:rFonts w:cs="Calibri"/>
                <w:lang w:val="ro-RO"/>
              </w:rPr>
              <w:t xml:space="preserve">Business </w:t>
            </w:r>
            <w:r>
              <w:rPr>
                <w:rFonts w:cs="Calibri"/>
                <w:lang w:val="ro-RO"/>
              </w:rPr>
              <w:t xml:space="preserve">Processing </w:t>
            </w:r>
            <w:r w:rsidR="007A1A62">
              <w:rPr>
                <w:rFonts w:cs="Calibri"/>
                <w:lang w:val="ro-RO"/>
              </w:rPr>
              <w:t>Unit</w:t>
            </w:r>
            <w:r>
              <w:rPr>
                <w:rFonts w:cs="Calibri"/>
                <w:lang w:val="ro-RO"/>
              </w:rPr>
              <w:t>, General Directorate of Treasury</w:t>
            </w:r>
          </w:p>
        </w:tc>
      </w:tr>
      <w:tr w:rsidR="007C41B3" w14:paraId="37DB7FBA"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43BFF8AF" w14:textId="16761AC5" w:rsidR="007C41B3" w:rsidRDefault="008721EF">
            <w:pPr>
              <w:jc w:val="center"/>
              <w:rPr>
                <w:rFonts w:cs="Calibri"/>
                <w:lang w:val="ro-RO"/>
              </w:rPr>
            </w:pPr>
            <w:r>
              <w:rPr>
                <w:rFonts w:cs="Calibri"/>
                <w:lang w:val="ro-RO"/>
              </w:rPr>
              <w:t>Session 4</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36B42425" w14:textId="37B60AA5" w:rsidR="007C41B3" w:rsidRDefault="007C41B3" w:rsidP="0056547A">
            <w:pPr>
              <w:spacing w:after="240"/>
              <w:jc w:val="both"/>
              <w:rPr>
                <w:rFonts w:cs="Calibri"/>
                <w:lang w:val="ro-RO"/>
              </w:rPr>
            </w:pPr>
            <w:r>
              <w:rPr>
                <w:rFonts w:cs="Calibri"/>
                <w:lang w:val="ro-RO"/>
              </w:rPr>
              <w:t xml:space="preserve">Round table discussions on </w:t>
            </w:r>
            <w:r>
              <w:rPr>
                <w:rFonts w:cs="Calibri"/>
                <w:b/>
              </w:rPr>
              <w:t>Albania</w:t>
            </w:r>
            <w:r w:rsidR="007A1A62">
              <w:rPr>
                <w:rFonts w:cs="Calibri"/>
                <w:b/>
              </w:rPr>
              <w:t>n</w:t>
            </w:r>
            <w:r>
              <w:rPr>
                <w:rFonts w:cs="Calibri"/>
                <w:lang w:val="ro-RO"/>
              </w:rPr>
              <w:t xml:space="preserve"> presentations</w:t>
            </w:r>
          </w:p>
        </w:tc>
      </w:tr>
      <w:tr w:rsidR="007C41B3" w14:paraId="737AE9D6" w14:textId="77777777" w:rsidTr="007C41B3">
        <w:tc>
          <w:tcPr>
            <w:tcW w:w="9828" w:type="dxa"/>
            <w:gridSpan w:val="2"/>
            <w:tcBorders>
              <w:top w:val="single" w:sz="4" w:space="0" w:color="auto"/>
              <w:left w:val="single" w:sz="4" w:space="0" w:color="auto"/>
              <w:bottom w:val="single" w:sz="4" w:space="0" w:color="auto"/>
              <w:right w:val="single" w:sz="4" w:space="0" w:color="auto"/>
            </w:tcBorders>
            <w:shd w:val="clear" w:color="auto" w:fill="D9D9D9"/>
          </w:tcPr>
          <w:p w14:paraId="7F4EBDDE" w14:textId="77777777" w:rsidR="007C41B3" w:rsidRDefault="007C41B3">
            <w:pPr>
              <w:rPr>
                <w:rFonts w:cs="Calibri"/>
                <w:b/>
                <w:color w:val="000000"/>
                <w:sz w:val="32"/>
                <w:szCs w:val="32"/>
                <w:u w:val="single"/>
              </w:rPr>
            </w:pPr>
          </w:p>
          <w:p w14:paraId="0AD6F4D3" w14:textId="77777777" w:rsidR="007C41B3" w:rsidRDefault="007C41B3">
            <w:pPr>
              <w:rPr>
                <w:rFonts w:cs="Calibri"/>
                <w:b/>
                <w:i/>
                <w:color w:val="365F91"/>
                <w:sz w:val="32"/>
                <w:szCs w:val="32"/>
                <w:u w:val="single"/>
              </w:rPr>
            </w:pPr>
            <w:r>
              <w:rPr>
                <w:rFonts w:cs="Calibri"/>
                <w:b/>
                <w:color w:val="000000"/>
                <w:sz w:val="32"/>
                <w:szCs w:val="32"/>
                <w:u w:val="single"/>
              </w:rPr>
              <w:t>May 22</w:t>
            </w:r>
            <w:r>
              <w:rPr>
                <w:rFonts w:cs="Calibri"/>
                <w:b/>
                <w:color w:val="000000"/>
                <w:sz w:val="32"/>
                <w:szCs w:val="32"/>
                <w:u w:val="single"/>
                <w:vertAlign w:val="superscript"/>
              </w:rPr>
              <w:t>nd</w:t>
            </w:r>
            <w:r>
              <w:rPr>
                <w:rFonts w:cs="Calibri"/>
                <w:b/>
                <w:color w:val="000000"/>
                <w:sz w:val="32"/>
                <w:szCs w:val="32"/>
                <w:u w:val="single"/>
              </w:rPr>
              <w:t>, 2-nd day</w:t>
            </w:r>
          </w:p>
        </w:tc>
      </w:tr>
      <w:tr w:rsidR="007C41B3" w14:paraId="6B9953DD" w14:textId="77777777" w:rsidTr="007C41B3">
        <w:trPr>
          <w:trHeight w:val="350"/>
        </w:trPr>
        <w:tc>
          <w:tcPr>
            <w:tcW w:w="9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D69B6DE" w14:textId="24CE9D2E" w:rsidR="007C41B3" w:rsidRDefault="007C41B3">
            <w:pPr>
              <w:rPr>
                <w:rFonts w:cs="Calibri"/>
                <w:color w:val="000000"/>
                <w:sz w:val="22"/>
                <w:szCs w:val="22"/>
                <w:lang w:eastAsia="sl-SI"/>
              </w:rPr>
            </w:pPr>
            <w:r>
              <w:rPr>
                <w:rFonts w:cs="Calibri"/>
                <w:i/>
                <w:color w:val="000000"/>
                <w:lang w:val="ro-RO"/>
              </w:rPr>
              <w:t xml:space="preserve">  </w:t>
            </w:r>
          </w:p>
        </w:tc>
      </w:tr>
      <w:tr w:rsidR="007C41B3" w14:paraId="167B2A9B"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43330BB" w14:textId="76FD4287" w:rsidR="007C41B3" w:rsidRDefault="001C1090">
            <w:pPr>
              <w:jc w:val="center"/>
              <w:rPr>
                <w:rFonts w:cs="Calibri"/>
              </w:rPr>
            </w:pPr>
            <w:r>
              <w:rPr>
                <w:rFonts w:cs="Calibri"/>
              </w:rPr>
              <w:t>Session 1</w:t>
            </w:r>
            <w:r w:rsidR="007C41B3">
              <w:rPr>
                <w:rFonts w:cs="Calibri"/>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637B911E" w14:textId="2EDD698E" w:rsidR="007C41B3" w:rsidRDefault="001C1090" w:rsidP="0056547A">
            <w:pPr>
              <w:spacing w:after="240"/>
              <w:jc w:val="both"/>
              <w:rPr>
                <w:rFonts w:cs="Calibri"/>
              </w:rPr>
            </w:pPr>
            <w:r>
              <w:rPr>
                <w:rFonts w:cs="Calibri"/>
              </w:rPr>
              <w:t>Expert presentation on international experiences in performance monitorin</w:t>
            </w:r>
            <w:r w:rsidR="008721EF">
              <w:rPr>
                <w:rFonts w:cs="Calibri"/>
              </w:rPr>
              <w:t>g for the core treasury functions</w:t>
            </w:r>
          </w:p>
        </w:tc>
      </w:tr>
      <w:tr w:rsidR="006D4EA9" w14:paraId="3896755B"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tcPr>
          <w:p w14:paraId="79857106" w14:textId="77777777" w:rsidR="006D4EA9" w:rsidRDefault="006D4EA9">
            <w:pPr>
              <w:jc w:val="center"/>
              <w:rPr>
                <w:rFonts w:cs="Calibri"/>
              </w:rPr>
            </w:pPr>
          </w:p>
        </w:tc>
        <w:tc>
          <w:tcPr>
            <w:tcW w:w="8100" w:type="dxa"/>
            <w:tcBorders>
              <w:top w:val="single" w:sz="4" w:space="0" w:color="auto"/>
              <w:left w:val="single" w:sz="4" w:space="0" w:color="auto"/>
              <w:bottom w:val="single" w:sz="4" w:space="0" w:color="auto"/>
              <w:right w:val="single" w:sz="4" w:space="0" w:color="auto"/>
            </w:tcBorders>
            <w:shd w:val="clear" w:color="auto" w:fill="FFFFFF"/>
          </w:tcPr>
          <w:p w14:paraId="0F4DD94F" w14:textId="7D793B1B" w:rsidR="006D4EA9" w:rsidRDefault="006D4EA9" w:rsidP="0056547A">
            <w:pPr>
              <w:spacing w:after="240"/>
              <w:jc w:val="both"/>
              <w:rPr>
                <w:rFonts w:cs="Calibri"/>
              </w:rPr>
            </w:pPr>
            <w:r>
              <w:rPr>
                <w:rFonts w:cs="Calibri"/>
              </w:rPr>
              <w:t xml:space="preserve">Application of indicators used to assess performance of the core treasury functions under the PEFA framework </w:t>
            </w:r>
          </w:p>
        </w:tc>
      </w:tr>
      <w:tr w:rsidR="007C41B3" w14:paraId="0E6D4F14" w14:textId="77777777" w:rsidTr="0056547A">
        <w:trPr>
          <w:trHeight w:val="440"/>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0550F28C" w14:textId="1050F331" w:rsidR="007C41B3" w:rsidRDefault="001C1090">
            <w:pPr>
              <w:jc w:val="center"/>
              <w:rPr>
                <w:rFonts w:cs="Calibri"/>
                <w:lang w:val="ro-RO"/>
              </w:rPr>
            </w:pPr>
            <w:r>
              <w:rPr>
                <w:rFonts w:cs="Calibri"/>
                <w:lang w:val="ro-RO"/>
              </w:rPr>
              <w:t xml:space="preserve">Session 2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759273B1" w14:textId="69F2120D" w:rsidR="007C41B3" w:rsidRDefault="008721EF" w:rsidP="0056547A">
            <w:pPr>
              <w:spacing w:after="240"/>
              <w:jc w:val="both"/>
              <w:rPr>
                <w:rFonts w:cs="Calibri"/>
              </w:rPr>
            </w:pPr>
            <w:r>
              <w:rPr>
                <w:rFonts w:cs="Calibri"/>
              </w:rPr>
              <w:t>PEMPAL c</w:t>
            </w:r>
            <w:r w:rsidR="001C1090">
              <w:rPr>
                <w:rFonts w:cs="Calibri"/>
              </w:rPr>
              <w:t>ountry experiences</w:t>
            </w:r>
            <w:r>
              <w:rPr>
                <w:rFonts w:cs="Calibri"/>
              </w:rPr>
              <w:t xml:space="preserve"> – mix of country cases </w:t>
            </w:r>
            <w:r w:rsidR="00907C1A">
              <w:rPr>
                <w:rFonts w:cs="Calibri"/>
              </w:rPr>
              <w:t>t</w:t>
            </w:r>
            <w:r>
              <w:rPr>
                <w:rFonts w:cs="Calibri"/>
              </w:rPr>
              <w:t>o illustrate approaches and tools used to monitor performance of the core treasury functions (representatives of TCOP thematic groups)</w:t>
            </w:r>
            <w:r w:rsidR="001C1090">
              <w:rPr>
                <w:rFonts w:cs="Calibri"/>
              </w:rPr>
              <w:t xml:space="preserve"> </w:t>
            </w:r>
          </w:p>
        </w:tc>
      </w:tr>
      <w:tr w:rsidR="007C41B3" w14:paraId="042135EE"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5BF39020" w14:textId="5DEEC997" w:rsidR="007C41B3" w:rsidRDefault="001C1090">
            <w:pPr>
              <w:jc w:val="center"/>
              <w:rPr>
                <w:rFonts w:cs="Calibri"/>
                <w:color w:val="000000"/>
                <w:lang w:val="ro-RO"/>
              </w:rPr>
            </w:pPr>
            <w:r>
              <w:rPr>
                <w:rFonts w:cs="Calibri"/>
                <w:lang w:val="ro-RO"/>
              </w:rPr>
              <w:lastRenderedPageBreak/>
              <w:t>Sessions 3, 4</w:t>
            </w:r>
            <w:r w:rsidR="007C41B3">
              <w:rPr>
                <w:rFonts w:cs="Calibri"/>
                <w:lang w:val="ro-RO"/>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29ECFFE1" w14:textId="7DA98DA8" w:rsidR="007C41B3" w:rsidRDefault="007C41B3" w:rsidP="0056547A">
            <w:pPr>
              <w:spacing w:after="240"/>
              <w:jc w:val="both"/>
              <w:rPr>
                <w:rFonts w:cs="Calibri"/>
                <w:color w:val="000000"/>
                <w:lang w:val="ro-RO"/>
              </w:rPr>
            </w:pPr>
            <w:r>
              <w:rPr>
                <w:rFonts w:cs="Calibri"/>
                <w:color w:val="000000"/>
                <w:lang w:val="ro-RO"/>
              </w:rPr>
              <w:t>Small group discussion</w:t>
            </w:r>
            <w:r w:rsidR="00907C1A">
              <w:rPr>
                <w:rFonts w:cs="Calibri"/>
                <w:color w:val="000000"/>
                <w:lang w:val="ro-RO"/>
              </w:rPr>
              <w:t>s</w:t>
            </w:r>
            <w:r>
              <w:rPr>
                <w:rFonts w:cs="Calibri"/>
                <w:color w:val="000000"/>
                <w:lang w:val="ro-RO"/>
              </w:rPr>
              <w:t xml:space="preserve"> </w:t>
            </w:r>
            <w:r>
              <w:rPr>
                <w:rFonts w:cs="Calibri"/>
                <w:lang w:val="ro-RO"/>
              </w:rPr>
              <w:t xml:space="preserve">on </w:t>
            </w:r>
            <w:r w:rsidR="00907C1A">
              <w:rPr>
                <w:rFonts w:cs="Calibri"/>
                <w:lang w:val="ro-RO"/>
              </w:rPr>
              <w:t xml:space="preserve">challenges in </w:t>
            </w:r>
            <w:r w:rsidR="001C1090">
              <w:rPr>
                <w:rFonts w:cs="Calibri"/>
                <w:lang w:val="ro-RO"/>
              </w:rPr>
              <w:t>monitoring treasury performance</w:t>
            </w:r>
          </w:p>
        </w:tc>
      </w:tr>
      <w:tr w:rsidR="007C41B3" w14:paraId="0F3E9B5A" w14:textId="77777777" w:rsidTr="007C41B3">
        <w:tc>
          <w:tcPr>
            <w:tcW w:w="9828" w:type="dxa"/>
            <w:gridSpan w:val="2"/>
            <w:tcBorders>
              <w:top w:val="single" w:sz="4" w:space="0" w:color="auto"/>
              <w:left w:val="single" w:sz="4" w:space="0" w:color="auto"/>
              <w:bottom w:val="single" w:sz="4" w:space="0" w:color="auto"/>
              <w:right w:val="single" w:sz="4" w:space="0" w:color="auto"/>
            </w:tcBorders>
            <w:shd w:val="clear" w:color="auto" w:fill="D9D9D9"/>
          </w:tcPr>
          <w:p w14:paraId="5150990A" w14:textId="77777777" w:rsidR="007C41B3" w:rsidRDefault="007C41B3">
            <w:pPr>
              <w:rPr>
                <w:rFonts w:cs="Calibri"/>
                <w:b/>
                <w:color w:val="000000"/>
                <w:sz w:val="32"/>
                <w:szCs w:val="32"/>
                <w:u w:val="single"/>
              </w:rPr>
            </w:pPr>
          </w:p>
          <w:p w14:paraId="1C0BE436" w14:textId="77777777" w:rsidR="007C41B3" w:rsidRDefault="007C41B3">
            <w:pPr>
              <w:rPr>
                <w:rFonts w:cs="Calibri"/>
                <w:b/>
                <w:i/>
                <w:color w:val="365F91"/>
                <w:sz w:val="32"/>
                <w:szCs w:val="32"/>
                <w:u w:val="single"/>
                <w:lang w:val="ru-RU"/>
              </w:rPr>
            </w:pPr>
            <w:r>
              <w:rPr>
                <w:rFonts w:cs="Calibri"/>
                <w:b/>
                <w:color w:val="000000"/>
                <w:sz w:val="32"/>
                <w:szCs w:val="32"/>
                <w:u w:val="single"/>
              </w:rPr>
              <w:t>May 23</w:t>
            </w:r>
            <w:r>
              <w:rPr>
                <w:rFonts w:cs="Calibri"/>
                <w:b/>
                <w:color w:val="000000"/>
                <w:sz w:val="32"/>
                <w:szCs w:val="32"/>
                <w:u w:val="single"/>
                <w:vertAlign w:val="superscript"/>
              </w:rPr>
              <w:t>rd</w:t>
            </w:r>
            <w:r>
              <w:rPr>
                <w:rFonts w:cs="Calibri"/>
                <w:b/>
                <w:color w:val="000000"/>
                <w:sz w:val="32"/>
                <w:szCs w:val="32"/>
                <w:u w:val="single"/>
              </w:rPr>
              <w:t xml:space="preserve"> , 3-rd day</w:t>
            </w:r>
          </w:p>
        </w:tc>
      </w:tr>
      <w:tr w:rsidR="007C41B3" w14:paraId="7BC836CA" w14:textId="77777777" w:rsidTr="007C41B3">
        <w:trPr>
          <w:trHeight w:val="449"/>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2A916D02" w14:textId="5E02A9F4" w:rsidR="007C41B3" w:rsidRDefault="001C1090">
            <w:pPr>
              <w:jc w:val="center"/>
              <w:rPr>
                <w:rFonts w:cs="Calibri"/>
                <w:lang w:val="ro-RO"/>
              </w:rPr>
            </w:pPr>
            <w:r>
              <w:rPr>
                <w:rFonts w:cs="Calibri"/>
                <w:color w:val="000000"/>
              </w:rPr>
              <w:t>Session 1</w:t>
            </w:r>
            <w:r w:rsidR="007C41B3">
              <w:rPr>
                <w:rFonts w:cs="Calibri"/>
                <w:color w:val="000000"/>
                <w:lang w:val="ro-RO"/>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280FA8B7" w14:textId="5FA14829" w:rsidR="007C41B3" w:rsidRPr="0056547A" w:rsidRDefault="007C41B3" w:rsidP="0056547A">
            <w:pPr>
              <w:spacing w:after="240"/>
              <w:rPr>
                <w:rFonts w:cs="Calibri"/>
                <w:i/>
                <w:color w:val="4F81BD"/>
              </w:rPr>
            </w:pPr>
            <w:r>
              <w:rPr>
                <w:rFonts w:cs="Calibri"/>
                <w:lang w:val="ro-RO"/>
              </w:rPr>
              <w:t xml:space="preserve">Reports from the </w:t>
            </w:r>
            <w:r>
              <w:rPr>
                <w:rFonts w:cs="Calibri"/>
              </w:rPr>
              <w:t>discussion</w:t>
            </w:r>
            <w:r>
              <w:rPr>
                <w:rFonts w:cs="Calibri"/>
                <w:lang w:val="ro-RO"/>
              </w:rPr>
              <w:t xml:space="preserve"> groups and wrapping up thematic agenda </w:t>
            </w:r>
          </w:p>
        </w:tc>
      </w:tr>
      <w:tr w:rsidR="007C41B3" w14:paraId="132B9DC2"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485713C7" w14:textId="3952B47F" w:rsidR="007C41B3" w:rsidRDefault="001C1090">
            <w:pPr>
              <w:jc w:val="center"/>
              <w:rPr>
                <w:rFonts w:eastAsia="Calibri" w:cs="Calibri"/>
                <w:color w:val="000000"/>
              </w:rPr>
            </w:pPr>
            <w:r>
              <w:rPr>
                <w:rFonts w:cs="Calibri"/>
                <w:lang w:val="ro-RO"/>
              </w:rPr>
              <w:t>Session 2</w:t>
            </w:r>
            <w:r w:rsidR="007C41B3">
              <w:rPr>
                <w:rFonts w:cs="Calibri"/>
                <w:lang w:val="ro-RO"/>
              </w:rPr>
              <w:t xml:space="preserve">  </w:t>
            </w:r>
            <w:r w:rsidR="007C41B3">
              <w:rPr>
                <w:rFonts w:cs="Calibri"/>
              </w:rPr>
              <w:t xml:space="preserve">  </w:t>
            </w:r>
            <w:r w:rsidR="007C41B3">
              <w:rPr>
                <w:rFonts w:cs="Calibri"/>
                <w:lang w:val="ro-RO"/>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4F9E9E4C" w14:textId="241D19C6" w:rsidR="007C41B3" w:rsidRDefault="008721EF" w:rsidP="0056547A">
            <w:pPr>
              <w:pStyle w:val="ListParagraph"/>
              <w:tabs>
                <w:tab w:val="left" w:pos="0"/>
              </w:tabs>
              <w:spacing w:after="240"/>
              <w:ind w:left="0"/>
              <w:jc w:val="both"/>
              <w:rPr>
                <w:rFonts w:eastAsia="Times New Roman" w:cs="Calibri"/>
                <w:szCs w:val="24"/>
                <w:lang w:eastAsia="sl-SI"/>
              </w:rPr>
            </w:pPr>
            <w:r>
              <w:rPr>
                <w:rFonts w:cs="Calibri"/>
                <w:color w:val="000000"/>
                <w:szCs w:val="24"/>
                <w:lang w:val="ro-RO"/>
              </w:rPr>
              <w:t xml:space="preserve">Updating </w:t>
            </w:r>
            <w:r w:rsidR="007C41B3">
              <w:rPr>
                <w:rFonts w:cs="Calibri"/>
                <w:color w:val="000000"/>
                <w:szCs w:val="24"/>
                <w:lang w:val="ro-RO"/>
              </w:rPr>
              <w:t>TCOP activity plan for 2019-20</w:t>
            </w:r>
          </w:p>
        </w:tc>
      </w:tr>
      <w:tr w:rsidR="007C41B3" w14:paraId="363916C1"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689762D8" w14:textId="293D9599" w:rsidR="007C41B3" w:rsidRDefault="001C1090">
            <w:pPr>
              <w:jc w:val="center"/>
              <w:rPr>
                <w:rFonts w:cs="Calibri"/>
                <w:lang w:val="ro-RO"/>
              </w:rPr>
            </w:pPr>
            <w:r>
              <w:rPr>
                <w:rFonts w:cs="Calibri"/>
                <w:lang w:val="ro-RO"/>
              </w:rPr>
              <w:t>Session 3</w:t>
            </w:r>
            <w:r w:rsidR="007C41B3">
              <w:rPr>
                <w:rFonts w:cs="Calibri"/>
                <w:lang w:val="ro-RO"/>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12B7F4DA" w14:textId="0EDCA77C" w:rsidR="007C41B3" w:rsidRPr="0056547A" w:rsidRDefault="001C1090">
            <w:pPr>
              <w:jc w:val="both"/>
              <w:rPr>
                <w:rFonts w:cs="Calibri"/>
                <w:lang w:val="ro-RO"/>
              </w:rPr>
            </w:pPr>
            <w:r w:rsidRPr="0056547A">
              <w:rPr>
                <w:rFonts w:cs="Calibri"/>
                <w:lang w:val="ro-RO"/>
              </w:rPr>
              <w:t>Event w</w:t>
            </w:r>
            <w:r w:rsidR="007C41B3" w:rsidRPr="0056547A">
              <w:rPr>
                <w:rFonts w:cs="Calibri"/>
                <w:lang w:val="ro-RO"/>
              </w:rPr>
              <w:t xml:space="preserve">rap </w:t>
            </w:r>
            <w:r w:rsidRPr="0056547A">
              <w:rPr>
                <w:rFonts w:cs="Calibri"/>
                <w:lang w:val="ro-RO"/>
              </w:rPr>
              <w:t xml:space="preserve">up </w:t>
            </w:r>
            <w:r w:rsidR="007C41B3" w:rsidRPr="0056547A">
              <w:rPr>
                <w:rFonts w:cs="Calibri"/>
                <w:lang w:val="ro-RO"/>
              </w:rPr>
              <w:t>and closure</w:t>
            </w:r>
          </w:p>
        </w:tc>
      </w:tr>
      <w:tr w:rsidR="007C41B3" w14:paraId="16A53471" w14:textId="77777777" w:rsidTr="0056547A">
        <w:trPr>
          <w:trHeight w:val="242"/>
        </w:trPr>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10D42804" w14:textId="1111DDDF" w:rsidR="007C41B3" w:rsidRDefault="007C41B3">
            <w:pPr>
              <w:jc w:val="center"/>
              <w:rPr>
                <w:rFonts w:cs="Calibri"/>
                <w:lang w:val="ro-RO"/>
              </w:rPr>
            </w:pPr>
            <w:r>
              <w:rPr>
                <w:rFonts w:cs="Calibri"/>
                <w:color w:val="000000"/>
                <w:lang w:val="ro-RO"/>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hideMark/>
          </w:tcPr>
          <w:p w14:paraId="360FC92B" w14:textId="261A4CF3" w:rsidR="007C41B3" w:rsidRDefault="007C41B3">
            <w:pPr>
              <w:rPr>
                <w:rFonts w:cs="Calibri"/>
                <w:b/>
                <w:lang w:val="ro-RO"/>
              </w:rPr>
            </w:pPr>
            <w:r>
              <w:rPr>
                <w:rFonts w:cs="Calibri"/>
                <w:color w:val="000000"/>
                <w:lang w:val="ro-RO"/>
              </w:rPr>
              <w:br/>
            </w:r>
          </w:p>
        </w:tc>
      </w:tr>
      <w:tr w:rsidR="007C41B3" w14:paraId="6533246A" w14:textId="77777777" w:rsidTr="007C41B3">
        <w:tc>
          <w:tcPr>
            <w:tcW w:w="982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AD980E8" w14:textId="3CFBA011" w:rsidR="007C41B3" w:rsidRDefault="007C41B3">
            <w:pPr>
              <w:rPr>
                <w:rFonts w:cs="Calibri"/>
                <w:color w:val="000000"/>
                <w:lang w:val="ro-RO"/>
              </w:rPr>
            </w:pPr>
          </w:p>
        </w:tc>
      </w:tr>
      <w:tr w:rsidR="007C41B3" w14:paraId="3857E9E0" w14:textId="77777777" w:rsidTr="007C41B3">
        <w:tc>
          <w:tcPr>
            <w:tcW w:w="1728" w:type="dxa"/>
            <w:tcBorders>
              <w:top w:val="single" w:sz="4" w:space="0" w:color="auto"/>
              <w:left w:val="single" w:sz="4" w:space="0" w:color="auto"/>
              <w:bottom w:val="single" w:sz="4" w:space="0" w:color="auto"/>
              <w:right w:val="single" w:sz="4" w:space="0" w:color="auto"/>
            </w:tcBorders>
            <w:shd w:val="clear" w:color="auto" w:fill="FFFFFF"/>
            <w:hideMark/>
          </w:tcPr>
          <w:p w14:paraId="7608D211" w14:textId="05262E65" w:rsidR="007C41B3" w:rsidRDefault="007C41B3">
            <w:pPr>
              <w:rPr>
                <w:rFonts w:cs="Calibri"/>
                <w:color w:val="000000"/>
                <w:lang w:val="ro-RO"/>
              </w:rPr>
            </w:pPr>
            <w:r>
              <w:rPr>
                <w:rFonts w:cs="Calibri"/>
                <w:color w:val="000000"/>
                <w:lang w:val="ro-RO"/>
              </w:rPr>
              <w:t xml:space="preserve">         </w:t>
            </w:r>
          </w:p>
        </w:tc>
        <w:tc>
          <w:tcPr>
            <w:tcW w:w="8100" w:type="dxa"/>
            <w:tcBorders>
              <w:top w:val="single" w:sz="4" w:space="0" w:color="auto"/>
              <w:left w:val="single" w:sz="4" w:space="0" w:color="auto"/>
              <w:bottom w:val="single" w:sz="4" w:space="0" w:color="auto"/>
              <w:right w:val="single" w:sz="4" w:space="0" w:color="auto"/>
            </w:tcBorders>
            <w:shd w:val="clear" w:color="auto" w:fill="FFFFFF"/>
          </w:tcPr>
          <w:p w14:paraId="4B6FD507" w14:textId="06143FAE" w:rsidR="007C41B3" w:rsidRDefault="001C1090">
            <w:pPr>
              <w:jc w:val="both"/>
              <w:rPr>
                <w:rFonts w:cs="Calibri"/>
              </w:rPr>
            </w:pPr>
            <w:r>
              <w:rPr>
                <w:rFonts w:cs="Calibri"/>
              </w:rPr>
              <w:t>Social program and d</w:t>
            </w:r>
            <w:r w:rsidR="007C41B3">
              <w:rPr>
                <w:rFonts w:cs="Calibri"/>
              </w:rPr>
              <w:t>inner</w:t>
            </w:r>
            <w:r w:rsidR="007C41B3">
              <w:rPr>
                <w:rFonts w:cs="Calibri"/>
                <w:b/>
              </w:rPr>
              <w:t xml:space="preserve"> </w:t>
            </w:r>
            <w:r w:rsidR="007C41B3">
              <w:rPr>
                <w:rFonts w:cs="Calibri"/>
              </w:rPr>
              <w:t xml:space="preserve">hosted by the Albanian Ministry of Finance &amp; Economy </w:t>
            </w:r>
          </w:p>
          <w:p w14:paraId="1C4C5B51" w14:textId="77777777" w:rsidR="007C41B3" w:rsidRDefault="007C41B3">
            <w:pPr>
              <w:jc w:val="both"/>
              <w:rPr>
                <w:rFonts w:cs="Calibri"/>
                <w:color w:val="000000"/>
              </w:rPr>
            </w:pPr>
          </w:p>
        </w:tc>
      </w:tr>
    </w:tbl>
    <w:p w14:paraId="2B5F91C6" w14:textId="77777777" w:rsidR="00F5737E" w:rsidRPr="0056547A" w:rsidRDefault="00F5737E" w:rsidP="00F5737E">
      <w:pPr>
        <w:jc w:val="center"/>
        <w:rPr>
          <w:color w:val="0070C0"/>
        </w:rPr>
      </w:pPr>
    </w:p>
    <w:p w14:paraId="539D2411" w14:textId="2B7D5678" w:rsidR="007C41B3" w:rsidRDefault="007C41B3" w:rsidP="00E32ACF">
      <w:pPr>
        <w:spacing w:after="240" w:line="276" w:lineRule="auto"/>
        <w:ind w:left="900"/>
        <w:jc w:val="both"/>
      </w:pPr>
      <w:bookmarkStart w:id="0" w:name="_GoBack"/>
      <w:bookmarkEnd w:id="0"/>
    </w:p>
    <w:sectPr w:rsidR="007C41B3" w:rsidSect="0080118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A14BE" w14:textId="77777777" w:rsidR="003B0CDB" w:rsidRDefault="003B0CDB" w:rsidP="00870FDE">
      <w:r>
        <w:separator/>
      </w:r>
    </w:p>
  </w:endnote>
  <w:endnote w:type="continuationSeparator" w:id="0">
    <w:p w14:paraId="03CAB46D" w14:textId="77777777" w:rsidR="003B0CDB" w:rsidRDefault="003B0CDB" w:rsidP="0087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9C303" w14:textId="77777777" w:rsidR="003B0CDB" w:rsidRDefault="003B0CDB" w:rsidP="00870FDE">
      <w:r>
        <w:separator/>
      </w:r>
    </w:p>
  </w:footnote>
  <w:footnote w:type="continuationSeparator" w:id="0">
    <w:p w14:paraId="4F3EE56C" w14:textId="77777777" w:rsidR="003B0CDB" w:rsidRDefault="003B0CDB" w:rsidP="0087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5196"/>
    <w:multiLevelType w:val="hybridMultilevel"/>
    <w:tmpl w:val="641AAA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2FA9"/>
    <w:multiLevelType w:val="hybridMultilevel"/>
    <w:tmpl w:val="96A6C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7616"/>
    <w:multiLevelType w:val="hybridMultilevel"/>
    <w:tmpl w:val="0DEA39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743EDA"/>
    <w:multiLevelType w:val="hybridMultilevel"/>
    <w:tmpl w:val="E89673F6"/>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CF34A91"/>
    <w:multiLevelType w:val="hybridMultilevel"/>
    <w:tmpl w:val="C676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11139"/>
    <w:multiLevelType w:val="hybridMultilevel"/>
    <w:tmpl w:val="4F086F8A"/>
    <w:lvl w:ilvl="0" w:tplc="C7965EA8">
      <w:start w:val="1"/>
      <w:numFmt w:val="bullet"/>
      <w:lvlText w:val=""/>
      <w:lvlJc w:val="left"/>
      <w:pPr>
        <w:ind w:left="810" w:hanging="360"/>
      </w:pPr>
      <w:rPr>
        <w:rFonts w:ascii="Wingdings" w:hAnsi="Wingdings" w:hint="default"/>
        <w:color w:val="000000"/>
        <w:lang w:val="en-US"/>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6" w15:restartNumberingAfterBreak="0">
    <w:nsid w:val="4BB406EA"/>
    <w:multiLevelType w:val="hybridMultilevel"/>
    <w:tmpl w:val="E0DCD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20395"/>
    <w:multiLevelType w:val="hybridMultilevel"/>
    <w:tmpl w:val="6D8E3C34"/>
    <w:lvl w:ilvl="0" w:tplc="13E6E44C">
      <w:start w:val="1"/>
      <w:numFmt w:val="bullet"/>
      <w:lvlText w:val=""/>
      <w:lvlJc w:val="left"/>
      <w:pPr>
        <w:ind w:left="540" w:hanging="360"/>
      </w:pPr>
      <w:rPr>
        <w:rFonts w:ascii="Wingdings" w:hAnsi="Wingdings" w:hint="default"/>
        <w:color w:val="000000"/>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8" w15:restartNumberingAfterBreak="0">
    <w:nsid w:val="5E28738B"/>
    <w:multiLevelType w:val="hybridMultilevel"/>
    <w:tmpl w:val="EAA07B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B61B7"/>
    <w:multiLevelType w:val="hybridMultilevel"/>
    <w:tmpl w:val="2C60A8FA"/>
    <w:lvl w:ilvl="0" w:tplc="C7965EA8">
      <w:start w:val="1"/>
      <w:numFmt w:val="bullet"/>
      <w:lvlText w:val=""/>
      <w:lvlJc w:val="left"/>
      <w:pPr>
        <w:ind w:left="360" w:hanging="360"/>
      </w:pPr>
      <w:rPr>
        <w:rFonts w:ascii="Wingdings" w:hAnsi="Wingdings" w:hint="default"/>
        <w:color w:val="000000"/>
        <w:lang w:val="en-US"/>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1"/>
  </w:num>
  <w:num w:numId="6">
    <w:abstractNumId w:val="2"/>
  </w:num>
  <w:num w:numId="7">
    <w:abstractNumId w:val="0"/>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activeWritingStyle w:appName="MSWord" w:lang="ru-RU" w:vendorID="64" w:dllVersion="0"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7E"/>
    <w:rsid w:val="00034615"/>
    <w:rsid w:val="000C4736"/>
    <w:rsid w:val="0011386B"/>
    <w:rsid w:val="0016566B"/>
    <w:rsid w:val="00171DC6"/>
    <w:rsid w:val="001C1090"/>
    <w:rsid w:val="001F0E86"/>
    <w:rsid w:val="002109EE"/>
    <w:rsid w:val="00226673"/>
    <w:rsid w:val="00235D02"/>
    <w:rsid w:val="00244917"/>
    <w:rsid w:val="00276D24"/>
    <w:rsid w:val="002D1C06"/>
    <w:rsid w:val="002D64C1"/>
    <w:rsid w:val="00303110"/>
    <w:rsid w:val="00305383"/>
    <w:rsid w:val="00324F0E"/>
    <w:rsid w:val="00346874"/>
    <w:rsid w:val="00355582"/>
    <w:rsid w:val="003826DF"/>
    <w:rsid w:val="003B0CDB"/>
    <w:rsid w:val="003B43A6"/>
    <w:rsid w:val="003B47DA"/>
    <w:rsid w:val="003D1BBE"/>
    <w:rsid w:val="003D1DFF"/>
    <w:rsid w:val="004A344A"/>
    <w:rsid w:val="004A72A7"/>
    <w:rsid w:val="004B4675"/>
    <w:rsid w:val="004C38B8"/>
    <w:rsid w:val="004C61F6"/>
    <w:rsid w:val="004D56ED"/>
    <w:rsid w:val="005511FC"/>
    <w:rsid w:val="0056547A"/>
    <w:rsid w:val="00573A26"/>
    <w:rsid w:val="005753EF"/>
    <w:rsid w:val="005D0FF9"/>
    <w:rsid w:val="00606BC3"/>
    <w:rsid w:val="00625319"/>
    <w:rsid w:val="00661839"/>
    <w:rsid w:val="00676A06"/>
    <w:rsid w:val="006C3708"/>
    <w:rsid w:val="006D28C2"/>
    <w:rsid w:val="006D4EA9"/>
    <w:rsid w:val="006F267E"/>
    <w:rsid w:val="007A1A62"/>
    <w:rsid w:val="007A5C0B"/>
    <w:rsid w:val="007C41B3"/>
    <w:rsid w:val="00801184"/>
    <w:rsid w:val="00821177"/>
    <w:rsid w:val="00870FDE"/>
    <w:rsid w:val="008721EF"/>
    <w:rsid w:val="00883DD2"/>
    <w:rsid w:val="008A57A8"/>
    <w:rsid w:val="008D5CA6"/>
    <w:rsid w:val="00907C1A"/>
    <w:rsid w:val="00915878"/>
    <w:rsid w:val="00963695"/>
    <w:rsid w:val="009A514E"/>
    <w:rsid w:val="00A23249"/>
    <w:rsid w:val="00A409FE"/>
    <w:rsid w:val="00A434B2"/>
    <w:rsid w:val="00A6277A"/>
    <w:rsid w:val="00AA6A74"/>
    <w:rsid w:val="00B4063B"/>
    <w:rsid w:val="00B754F2"/>
    <w:rsid w:val="00B777E5"/>
    <w:rsid w:val="00BA75CC"/>
    <w:rsid w:val="00C01E41"/>
    <w:rsid w:val="00C57805"/>
    <w:rsid w:val="00C66408"/>
    <w:rsid w:val="00CB7E95"/>
    <w:rsid w:val="00CC0E90"/>
    <w:rsid w:val="00CC6FC2"/>
    <w:rsid w:val="00D450A4"/>
    <w:rsid w:val="00D64287"/>
    <w:rsid w:val="00D645C6"/>
    <w:rsid w:val="00D650A7"/>
    <w:rsid w:val="00DA5885"/>
    <w:rsid w:val="00DC3885"/>
    <w:rsid w:val="00DD1620"/>
    <w:rsid w:val="00DE35DF"/>
    <w:rsid w:val="00DE5879"/>
    <w:rsid w:val="00DF1805"/>
    <w:rsid w:val="00E32ACF"/>
    <w:rsid w:val="00E925FB"/>
    <w:rsid w:val="00EC1441"/>
    <w:rsid w:val="00ED0CCF"/>
    <w:rsid w:val="00EE67A2"/>
    <w:rsid w:val="00F102C8"/>
    <w:rsid w:val="00F137D9"/>
    <w:rsid w:val="00F37428"/>
    <w:rsid w:val="00F5737E"/>
    <w:rsid w:val="00F724DD"/>
    <w:rsid w:val="00FA6217"/>
    <w:rsid w:val="00FD6B8B"/>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DE13"/>
  <w14:defaultImageDpi w14:val="32767"/>
  <w15:docId w15:val="{773EDFCE-D811-4988-BB20-75854805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3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Use Case List Paragraph,Celula,Tabela,Numbered Paragraph,Main numbered paragraph,Bullets,Numbered List Paragraph,List Paragraph1"/>
    <w:basedOn w:val="Normal"/>
    <w:link w:val="ListParagraphChar"/>
    <w:uiPriority w:val="34"/>
    <w:qFormat/>
    <w:rsid w:val="00F5737E"/>
    <w:pPr>
      <w:ind w:left="720"/>
      <w:contextualSpacing/>
    </w:pPr>
    <w:rPr>
      <w:rFonts w:eastAsia="Calibri"/>
      <w:szCs w:val="20"/>
    </w:rPr>
  </w:style>
  <w:style w:type="character" w:styleId="CommentReference">
    <w:name w:val="annotation reference"/>
    <w:basedOn w:val="DefaultParagraphFont"/>
    <w:uiPriority w:val="99"/>
    <w:semiHidden/>
    <w:unhideWhenUsed/>
    <w:rsid w:val="00244917"/>
    <w:rPr>
      <w:sz w:val="18"/>
      <w:szCs w:val="18"/>
    </w:rPr>
  </w:style>
  <w:style w:type="paragraph" w:styleId="CommentText">
    <w:name w:val="annotation text"/>
    <w:basedOn w:val="Normal"/>
    <w:link w:val="CommentTextChar"/>
    <w:uiPriority w:val="99"/>
    <w:semiHidden/>
    <w:unhideWhenUsed/>
    <w:rsid w:val="00244917"/>
  </w:style>
  <w:style w:type="character" w:customStyle="1" w:styleId="CommentTextChar">
    <w:name w:val="Comment Text Char"/>
    <w:basedOn w:val="DefaultParagraphFont"/>
    <w:link w:val="CommentText"/>
    <w:uiPriority w:val="99"/>
    <w:semiHidden/>
    <w:rsid w:val="0024491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244917"/>
    <w:rPr>
      <w:b/>
      <w:bCs/>
      <w:sz w:val="20"/>
      <w:szCs w:val="20"/>
    </w:rPr>
  </w:style>
  <w:style w:type="character" w:customStyle="1" w:styleId="CommentSubjectChar">
    <w:name w:val="Comment Subject Char"/>
    <w:basedOn w:val="CommentTextChar"/>
    <w:link w:val="CommentSubject"/>
    <w:uiPriority w:val="99"/>
    <w:semiHidden/>
    <w:rsid w:val="0024491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44917"/>
    <w:rPr>
      <w:sz w:val="18"/>
      <w:szCs w:val="18"/>
    </w:rPr>
  </w:style>
  <w:style w:type="character" w:customStyle="1" w:styleId="BalloonTextChar">
    <w:name w:val="Balloon Text Char"/>
    <w:basedOn w:val="DefaultParagraphFont"/>
    <w:link w:val="BalloonText"/>
    <w:uiPriority w:val="99"/>
    <w:semiHidden/>
    <w:rsid w:val="00244917"/>
    <w:rPr>
      <w:rFonts w:ascii="Times New Roman" w:eastAsia="Times New Roman" w:hAnsi="Times New Roman" w:cs="Times New Roman"/>
      <w:sz w:val="18"/>
      <w:szCs w:val="18"/>
    </w:rPr>
  </w:style>
  <w:style w:type="paragraph" w:styleId="FootnoteText">
    <w:name w:val="footnote text"/>
    <w:basedOn w:val="Normal"/>
    <w:link w:val="FootnoteTextChar"/>
    <w:uiPriority w:val="99"/>
    <w:unhideWhenUsed/>
    <w:rsid w:val="00870FDE"/>
  </w:style>
  <w:style w:type="character" w:customStyle="1" w:styleId="FootnoteTextChar">
    <w:name w:val="Footnote Text Char"/>
    <w:basedOn w:val="DefaultParagraphFont"/>
    <w:link w:val="FootnoteText"/>
    <w:uiPriority w:val="99"/>
    <w:rsid w:val="00870FDE"/>
    <w:rPr>
      <w:rFonts w:ascii="Times New Roman" w:eastAsia="Times New Roman" w:hAnsi="Times New Roman" w:cs="Times New Roman"/>
    </w:rPr>
  </w:style>
  <w:style w:type="character" w:styleId="FootnoteReference">
    <w:name w:val="footnote reference"/>
    <w:basedOn w:val="DefaultParagraphFont"/>
    <w:uiPriority w:val="99"/>
    <w:unhideWhenUsed/>
    <w:rsid w:val="00870FDE"/>
    <w:rPr>
      <w:vertAlign w:val="superscript"/>
    </w:rPr>
  </w:style>
  <w:style w:type="character" w:styleId="LineNumber">
    <w:name w:val="line number"/>
    <w:basedOn w:val="DefaultParagraphFont"/>
    <w:uiPriority w:val="99"/>
    <w:semiHidden/>
    <w:unhideWhenUsed/>
    <w:rsid w:val="00B754F2"/>
  </w:style>
  <w:style w:type="table" w:customStyle="1" w:styleId="GridTable4-Accent51">
    <w:name w:val="Grid Table 4 - Accent 51"/>
    <w:basedOn w:val="TableNormal"/>
    <w:uiPriority w:val="49"/>
    <w:rsid w:val="006C3708"/>
    <w:rPr>
      <w:rFonts w:eastAsiaTheme="minorEastAsia"/>
      <w:lang w:val="en-AU"/>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ListParagraphChar">
    <w:name w:val="List Paragraph Char"/>
    <w:aliases w:val="List Paragraph (numbered (a)) Char,Use Case List Paragraph Char,Celula Char,Tabela Char,Numbered Paragraph Char,Main numbered paragraph Char,Bullets Char,Numbered List Paragraph Char,List Paragraph1 Char"/>
    <w:link w:val="ListParagraph"/>
    <w:uiPriority w:val="34"/>
    <w:locked/>
    <w:rsid w:val="007C41B3"/>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85696">
      <w:bodyDiv w:val="1"/>
      <w:marLeft w:val="0"/>
      <w:marRight w:val="0"/>
      <w:marTop w:val="0"/>
      <w:marBottom w:val="0"/>
      <w:divBdr>
        <w:top w:val="none" w:sz="0" w:space="0" w:color="auto"/>
        <w:left w:val="none" w:sz="0" w:space="0" w:color="auto"/>
        <w:bottom w:val="none" w:sz="0" w:space="0" w:color="auto"/>
        <w:right w:val="none" w:sz="0" w:space="0" w:color="auto"/>
      </w:divBdr>
    </w:div>
    <w:div w:id="1850679537">
      <w:bodyDiv w:val="1"/>
      <w:marLeft w:val="0"/>
      <w:marRight w:val="0"/>
      <w:marTop w:val="0"/>
      <w:marBottom w:val="0"/>
      <w:divBdr>
        <w:top w:val="none" w:sz="0" w:space="0" w:color="auto"/>
        <w:left w:val="none" w:sz="0" w:space="0" w:color="auto"/>
        <w:bottom w:val="none" w:sz="0" w:space="0" w:color="auto"/>
        <w:right w:val="none" w:sz="0" w:space="0" w:color="auto"/>
      </w:divBdr>
    </w:div>
    <w:div w:id="21205638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7669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Silins</dc:creator>
  <cp:lastModifiedBy>Elena Nikulina</cp:lastModifiedBy>
  <cp:revision>3</cp:revision>
  <dcterms:created xsi:type="dcterms:W3CDTF">2018-03-20T20:00:00Z</dcterms:created>
  <dcterms:modified xsi:type="dcterms:W3CDTF">2018-03-20T20:02:00Z</dcterms:modified>
</cp:coreProperties>
</file>