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drawings/drawing4.xml" ContentType="application/vnd.openxmlformats-officedocument.drawingml.chartshapes+xml"/>
  <Override PartName="/word/charts/chart7.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14563" w:rsidRDefault="00115C58" w:rsidP="00331C64">
      <w:pPr>
        <w:pStyle w:val="CoverNormal"/>
        <w:spacing w:after="40"/>
      </w:pPr>
      <w:sdt>
        <w:sdtPr>
          <w:alias w:val="OECD logo"/>
          <w:tag w:val="imgOECDLogo"/>
          <w:id w:val="221339308"/>
          <w:lock w:val="contentLocked"/>
          <w:picture/>
        </w:sdtPr>
        <w:sdtEndPr/>
        <w:sdtContent>
          <w:r w:rsidR="00714563">
            <w:rPr>
              <w:noProof/>
              <w:lang w:eastAsia="en-GB"/>
            </w:rPr>
            <w:drawing>
              <wp:inline distT="0" distB="0" distL="0" distR="0" wp14:anchorId="4F48DCD2" wp14:editId="394C5355">
                <wp:extent cx="1641361" cy="392567"/>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41361" cy="392567"/>
                        </a:xfrm>
                        <a:prstGeom prst="rect">
                          <a:avLst/>
                        </a:prstGeom>
                        <a:noFill/>
                        <a:ln>
                          <a:noFill/>
                        </a:ln>
                      </pic:spPr>
                    </pic:pic>
                  </a:graphicData>
                </a:graphic>
              </wp:inline>
            </w:drawing>
          </w:r>
        </w:sdtContent>
      </w:sdt>
    </w:p>
    <w:p w:rsidR="00714563" w:rsidRDefault="00115C58" w:rsidP="00331C64">
      <w:pPr>
        <w:pStyle w:val="CoverNormal"/>
        <w:rPr>
          <w:rStyle w:val="CoverNormalChar"/>
        </w:rPr>
      </w:pPr>
      <w:sdt>
        <w:sdtPr>
          <w:rPr>
            <w:sz w:val="18"/>
          </w:rPr>
          <w:alias w:val="Organisation Title"/>
          <w:tag w:val="txtOrganisationTitle"/>
          <w:id w:val="-247653710"/>
          <w:lock w:val="contentLocked"/>
          <w:text w:multiLine="1"/>
        </w:sdtPr>
        <w:sdtEndPr/>
        <w:sdtContent>
          <w:r w:rsidR="00714563" w:rsidRPr="00E17E9D">
            <w:rPr>
              <w:sz w:val="18"/>
            </w:rPr>
            <w:t>Organisation for Economic Co-operation and Development</w:t>
          </w:r>
        </w:sdtContent>
      </w:sdt>
    </w:p>
    <w:sdt>
      <w:sdtPr>
        <w:rPr>
          <w:rStyle w:val="CoverCote"/>
          <w:lang w:val="fr-FR"/>
        </w:rPr>
        <w:alias w:val="Document Cote"/>
        <w:tag w:val="txtDocCote"/>
        <w:id w:val="1208677290"/>
        <w:showingPlcHdr/>
        <w:dataBinding w:prefixMappings="xmlns:ns0='http://purl.org/dc/elements/1.1/' xmlns:ns1='http://schemas.openxmlformats.org/package/2006/metadata/core-properties' " w:xpath="/ns1:coreProperties[1]/ns1:keywords[1]" w:storeItemID="{6C3C8BC8-F283-45AE-878A-BAB7291924A1}"/>
        <w:text/>
      </w:sdtPr>
      <w:sdtEndPr>
        <w:rPr>
          <w:rStyle w:val="CoverCote"/>
        </w:rPr>
      </w:sdtEndPr>
      <w:sdtContent>
        <w:p w:rsidR="00714563" w:rsidRPr="00D35136" w:rsidRDefault="00714563" w:rsidP="00331C64">
          <w:pPr>
            <w:spacing w:after="240"/>
            <w:jc w:val="right"/>
            <w:rPr>
              <w:rStyle w:val="CoverNormalChar"/>
              <w:rFonts w:eastAsiaTheme="minorHAnsi"/>
              <w:b/>
              <w:caps/>
              <w:lang w:val="fr-FR"/>
            </w:rPr>
          </w:pPr>
          <w:r>
            <w:rPr>
              <w:rStyle w:val="CoverCote"/>
              <w:lang w:val="fr-FR"/>
            </w:rPr>
            <w:t xml:space="preserve">     </w:t>
          </w:r>
        </w:p>
      </w:sdtContent>
    </w:sdt>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08"/>
        <w:gridCol w:w="4311"/>
      </w:tblGrid>
      <w:tr w:rsidR="00714563" w:rsidRPr="008E334D" w:rsidTr="00331C64">
        <w:trPr>
          <w:trHeight w:val="278"/>
        </w:trPr>
        <w:tc>
          <w:tcPr>
            <w:tcW w:w="2499" w:type="pct"/>
          </w:tcPr>
          <w:sdt>
            <w:sdtPr>
              <w:rPr>
                <w:szCs w:val="22"/>
                <w:lang w:val="en-GB"/>
              </w:rPr>
              <w:alias w:val="Document Classification"/>
              <w:tag w:val="comboDocClassification"/>
              <w:id w:val="-1020846385"/>
              <w:comboBox>
                <w:listItem w:value="Choose an item."/>
                <w:listItem w:displayText="For Official Use" w:value="FOROFFICIALUSE"/>
                <w:listItem w:displayText="Confidential" w:value="CONFIDENTIAL"/>
                <w:listItem w:displayText="Unclassified" w:value="UNCLASSIFIED"/>
                <w:listItem w:displayText="À usage officiel" w:value="FOROFFICIALUSEFR"/>
                <w:listItem w:displayText="Confidentiel" w:value="CONFIDENTIALFR"/>
                <w:listItem w:displayText="Non classifié" w:value="UNCLASSIFIEDFR"/>
              </w:comboBox>
            </w:sdtPr>
            <w:sdtEndPr/>
            <w:sdtContent>
              <w:p w:rsidR="00714563" w:rsidRPr="004B5E13" w:rsidRDefault="00714563" w:rsidP="00331C64">
                <w:pPr>
                  <w:pStyle w:val="CoverClassification"/>
                  <w:jc w:val="left"/>
                  <w:rPr>
                    <w:rFonts w:eastAsiaTheme="minorHAnsi" w:cs="Times New Roman"/>
                    <w:b w:val="0"/>
                    <w:bCs w:val="0"/>
                    <w:color w:val="auto"/>
                    <w:szCs w:val="22"/>
                    <w:lang w:val="en-GB"/>
                  </w:rPr>
                </w:pPr>
                <w:r>
                  <w:rPr>
                    <w:szCs w:val="22"/>
                    <w:lang w:val="en-GB"/>
                  </w:rPr>
                  <w:t>Unclassified</w:t>
                </w:r>
              </w:p>
            </w:sdtContent>
          </w:sdt>
        </w:tc>
        <w:tc>
          <w:tcPr>
            <w:tcW w:w="2501" w:type="pct"/>
          </w:tcPr>
          <w:sdt>
            <w:sdtPr>
              <w:alias w:val="Document Language"/>
              <w:tag w:val="comboDocumentLanguage"/>
              <w:id w:val="-274489295"/>
              <w:comboBox>
                <w:listItem w:value="Choose an item."/>
                <w:listItem w:displayText="English - Or. English" w:value="English"/>
                <w:listItem w:displayText="English - Or. French" w:value="English2"/>
                <w:listItem w:displayText="English/French" w:value="English3"/>
                <w:listItem w:displayText="English text only" w:value="English4"/>
                <w:listItem w:displayText="Français - Or. Français" w:value="French"/>
                <w:listItem w:displayText="Français - Or. Anglais" w:value="French2"/>
                <w:listItem w:displayText="Français/Anglais" w:value="French3"/>
                <w:listItem w:displayText="Texte français seulement" w:value="French4"/>
                <w:listItem w:displayText="Italian - Or. English" w:value="Italian"/>
                <w:listItem w:displayText="Russian - Or. English" w:value="Russian"/>
                <w:listItem w:displayText="Spanish - Or. English" w:value="Spanish"/>
                <w:listItem w:displayText="German - Or. English" w:value="German"/>
                <w:listItem w:displayText="Italian - Or. French" w:value="Italian1"/>
                <w:listItem w:displayText="Russian - Or. French" w:value="Russian1"/>
                <w:listItem w:displayText="Spanish - Or. French" w:value="Spanish1"/>
                <w:listItem w:displayText="German - Or. French" w:value="German1"/>
              </w:comboBox>
            </w:sdtPr>
            <w:sdtEndPr/>
            <w:sdtContent>
              <w:p w:rsidR="00714563" w:rsidRDefault="00714563" w:rsidP="00331C64">
                <w:pPr>
                  <w:pStyle w:val="CoverLanguage"/>
                  <w:spacing w:before="0" w:after="0"/>
                  <w:rPr>
                    <w:rFonts w:eastAsiaTheme="minorHAnsi"/>
                    <w:b w:val="0"/>
                  </w:rPr>
                </w:pPr>
                <w:r w:rsidRPr="00852EED">
                  <w:t>English - Or. English</w:t>
                </w:r>
              </w:p>
            </w:sdtContent>
          </w:sdt>
          <w:p w:rsidR="00714563" w:rsidRPr="00852EED" w:rsidRDefault="00714563" w:rsidP="00331C64">
            <w:pPr>
              <w:pStyle w:val="CoverLanguage"/>
              <w:spacing w:before="0" w:after="0"/>
            </w:pPr>
          </w:p>
        </w:tc>
      </w:tr>
    </w:tbl>
    <w:p w:rsidR="00714563" w:rsidRDefault="00A10B5A" w:rsidP="00331C64">
      <w:pPr>
        <w:pStyle w:val="CoverLanguage"/>
        <w:rPr>
          <w:rFonts w:eastAsiaTheme="minorHAnsi"/>
          <w:b w:val="0"/>
          <w:sz w:val="20"/>
        </w:rPr>
      </w:pPr>
      <w:bookmarkStart w:id="1" w:name="COTEBKM"/>
      <w:r>
        <w:rPr>
          <w:rStyle w:val="CoverDateChar"/>
        </w:rPr>
        <w:t>7-November-</w:t>
      </w:r>
      <w:r w:rsidR="00714563">
        <w:rPr>
          <w:rStyle w:val="CoverDateChar"/>
        </w:rPr>
        <w:t>2017</w:t>
      </w:r>
    </w:p>
    <w:bookmarkEnd w:id="1" w:displacedByCustomXml="next"/>
    <w:sdt>
      <w:sdtPr>
        <w:alias w:val="Directorate"/>
        <w:tag w:val="txtDirectorate"/>
        <w:id w:val="-675576809"/>
        <w:lock w:val="contentLocked"/>
      </w:sdtPr>
      <w:sdtEndPr/>
      <w:sdtContent>
        <w:p w:rsidR="00714563" w:rsidRDefault="00714563" w:rsidP="00331C64">
          <w:pPr>
            <w:pStyle w:val="CoverDirectorate"/>
          </w:pPr>
          <w:r w:rsidRPr="008E334D">
            <w:t xml:space="preserve"> </w:t>
          </w:r>
        </w:p>
      </w:sdtContent>
    </w:sdt>
    <w:p w:rsidR="00714563" w:rsidRPr="008E334D" w:rsidRDefault="00115C58" w:rsidP="00331C64">
      <w:pPr>
        <w:pStyle w:val="CoverCommittee"/>
      </w:pPr>
      <w:sdt>
        <w:sdtPr>
          <w:alias w:val="Committee"/>
          <w:tag w:val="txtCommittee"/>
          <w:id w:val="-1193303539"/>
          <w:lock w:val="contentLocked"/>
          <w:showingPlcHdr/>
        </w:sdtPr>
        <w:sdtEndPr/>
        <w:sdtContent>
          <w:r w:rsidR="00714563" w:rsidRPr="008E334D">
            <w:t xml:space="preserve"> </w:t>
          </w:r>
        </w:sdtContent>
      </w:sdt>
    </w:p>
    <w:p w:rsidR="00714563" w:rsidRDefault="00714563" w:rsidP="00331C64">
      <w:pPr>
        <w:pStyle w:val="CoverNormal"/>
      </w:pPr>
    </w:p>
    <w:p w:rsidR="00714563" w:rsidRPr="008E334D" w:rsidRDefault="00714563" w:rsidP="00331C64">
      <w:pPr>
        <w:pStyle w:val="CoverNormal"/>
      </w:pPr>
    </w:p>
    <w:sdt>
      <w:sdtPr>
        <w:alias w:val="Cancel / Replace"/>
        <w:tag w:val="txtCancelReplace"/>
        <w:id w:val="114873623"/>
        <w:lock w:val="contentLocked"/>
      </w:sdtPr>
      <w:sdtEndPr/>
      <w:sdtContent>
        <w:p w:rsidR="00714563" w:rsidRDefault="00714563" w:rsidP="00331C64">
          <w:pPr>
            <w:pStyle w:val="CoverCancel"/>
          </w:pPr>
          <w:r w:rsidRPr="008E334D">
            <w:t xml:space="preserve"> </w:t>
          </w:r>
        </w:p>
      </w:sdtContent>
    </w:sdt>
    <w:p w:rsidR="00714563" w:rsidRDefault="00714563" w:rsidP="00331C64">
      <w:pPr>
        <w:pStyle w:val="CoverNormal"/>
      </w:pPr>
    </w:p>
    <w:p w:rsidR="00714563" w:rsidRPr="00ED484D" w:rsidRDefault="00714563" w:rsidP="00331C64">
      <w:pPr>
        <w:pStyle w:val="CoverNormal"/>
        <w:rPr>
          <w:b/>
          <w:sz w:val="24"/>
        </w:rPr>
      </w:pPr>
      <w:r w:rsidRPr="00ED484D">
        <w:rPr>
          <w:b/>
          <w:sz w:val="24"/>
        </w:rPr>
        <w:t>Public Governance Committee</w:t>
      </w:r>
    </w:p>
    <w:p w:rsidR="00714563" w:rsidRDefault="00714563" w:rsidP="00331C64">
      <w:pPr>
        <w:pStyle w:val="CoverWorkingParty"/>
      </w:pPr>
      <w:r>
        <w:t>Working Party of Senior Budget Officials</w:t>
      </w:r>
    </w:p>
    <w:p w:rsidR="00714563" w:rsidRDefault="00714563" w:rsidP="00331C64">
      <w:pPr>
        <w:pStyle w:val="CoverNormal"/>
      </w:pPr>
    </w:p>
    <w:p w:rsidR="00714563" w:rsidRDefault="00714563" w:rsidP="00331C64">
      <w:pPr>
        <w:pStyle w:val="CoverNormal"/>
      </w:pPr>
    </w:p>
    <w:p w:rsidR="00714563" w:rsidRDefault="00714563" w:rsidP="00331C64">
      <w:pPr>
        <w:pStyle w:val="CoverNormal"/>
      </w:pPr>
    </w:p>
    <w:p w:rsidR="00714563" w:rsidRPr="008E334D" w:rsidRDefault="00714563" w:rsidP="00331C64">
      <w:pPr>
        <w:pStyle w:val="CoverNormal"/>
      </w:pPr>
    </w:p>
    <w:p w:rsidR="00714563" w:rsidRDefault="00115C58" w:rsidP="00331C64">
      <w:pPr>
        <w:pStyle w:val="CoverTitle"/>
        <w:spacing w:after="240"/>
      </w:pPr>
      <w:sdt>
        <w:sdtPr>
          <w:rPr>
            <w:rFonts w:asciiTheme="minorHAnsi" w:hAnsiTheme="minorHAnsi"/>
            <w:bCs/>
            <w:sz w:val="36"/>
            <w:szCs w:val="36"/>
          </w:rPr>
          <w:alias w:val="Document Title"/>
          <w:tag w:val="txtDocTitle"/>
          <w:id w:val="1320072760"/>
          <w:dataBinding w:prefixMappings="xmlns:ns0='http://purl.org/dc/elements/1.1/' xmlns:ns1='http://schemas.openxmlformats.org/package/2006/metadata/core-properties' " w:xpath="/ns1:coreProperties[1]/ns0:title[1]" w:storeItemID="{6C3C8BC8-F283-45AE-878A-BAB7291924A1}"/>
          <w:text/>
        </w:sdtPr>
        <w:sdtEndPr/>
        <w:sdtContent>
          <w:r w:rsidR="00714563" w:rsidRPr="00714563">
            <w:rPr>
              <w:rFonts w:asciiTheme="minorHAnsi" w:hAnsiTheme="minorHAnsi"/>
              <w:bCs/>
              <w:sz w:val="36"/>
              <w:szCs w:val="36"/>
            </w:rPr>
            <w:t>Draft OECD Best Practices for Performance Budgeting</w:t>
          </w:r>
        </w:sdtContent>
      </w:sdt>
    </w:p>
    <w:sdt>
      <w:sdtPr>
        <w:alias w:val="Meeting Information"/>
        <w:tag w:val="txtInfomationMeeting"/>
        <w:id w:val="-1680187319"/>
      </w:sdtPr>
      <w:sdtEndPr/>
      <w:sdtContent>
        <w:p w:rsidR="00714563" w:rsidRDefault="00714563" w:rsidP="00331C64">
          <w:pPr>
            <w:pStyle w:val="CoverInformation"/>
          </w:pPr>
        </w:p>
        <w:p w:rsidR="00714563" w:rsidRDefault="00714563" w:rsidP="00331C64">
          <w:pPr>
            <w:pStyle w:val="CoverInformation"/>
          </w:pPr>
          <w:r>
            <w:t>OECD Conference Centre, Paris</w:t>
          </w:r>
        </w:p>
        <w:p w:rsidR="00714563" w:rsidRPr="00AC2493" w:rsidRDefault="00714563" w:rsidP="00331C64">
          <w:pPr>
            <w:pStyle w:val="CoverInformation"/>
          </w:pPr>
          <w:r>
            <w:t>16-17 November 2017</w:t>
          </w:r>
        </w:p>
      </w:sdtContent>
    </w:sdt>
    <w:p w:rsidR="00714563" w:rsidRPr="00A4255D" w:rsidRDefault="00714563" w:rsidP="00714563">
      <w:pPr>
        <w:rPr>
          <w:rFonts w:asciiTheme="minorHAnsi" w:hAnsiTheme="minorHAnsi"/>
          <w:sz w:val="28"/>
          <w:szCs w:val="28"/>
        </w:rPr>
      </w:pPr>
    </w:p>
    <w:p w:rsidR="00714563" w:rsidRDefault="00714563" w:rsidP="00331C64">
      <w:pPr>
        <w:pStyle w:val="CoverNormal"/>
      </w:pPr>
    </w:p>
    <w:p w:rsidR="00714563" w:rsidRDefault="00714563" w:rsidP="00331C64">
      <w:pPr>
        <w:pStyle w:val="CoverNormal"/>
      </w:pPr>
    </w:p>
    <w:p w:rsidR="00714563" w:rsidRDefault="00714563" w:rsidP="00331C64">
      <w:pPr>
        <w:pStyle w:val="CoverNormal"/>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835"/>
      </w:tblGrid>
      <w:tr w:rsidR="00714563" w:rsidRPr="008E334D" w:rsidTr="00331C64">
        <w:trPr>
          <w:cantSplit/>
          <w:trHeight w:hRule="exact" w:val="3367"/>
        </w:trPr>
        <w:tc>
          <w:tcPr>
            <w:tcW w:w="9969" w:type="dxa"/>
          </w:tcPr>
          <w:sdt>
            <w:sdtPr>
              <w:rPr>
                <w:rStyle w:val="CoverTable"/>
                <w:rFonts w:cs="Arial"/>
                <w:b/>
                <w:sz w:val="22"/>
                <w:szCs w:val="22"/>
              </w:rPr>
              <w:alias w:val="Information Note"/>
              <w:tag w:val="txtInformationNote"/>
              <w:id w:val="608400059"/>
            </w:sdtPr>
            <w:sdtEndPr>
              <w:rPr>
                <w:rStyle w:val="CoverTable"/>
                <w:b w:val="0"/>
              </w:rPr>
            </w:sdtEndPr>
            <w:sdtContent>
              <w:p w:rsidR="00714563" w:rsidRPr="00714563" w:rsidRDefault="00714563" w:rsidP="00714563">
                <w:pPr>
                  <w:jc w:val="left"/>
                  <w:rPr>
                    <w:i/>
                  </w:rPr>
                </w:pPr>
                <w:r w:rsidRPr="00714563">
                  <w:t xml:space="preserve">This paper presents the draft OECD </w:t>
                </w:r>
                <w:r w:rsidRPr="00714563">
                  <w:rPr>
                    <w:i/>
                  </w:rPr>
                  <w:t>Best Practices for Performance Budgeting.</w:t>
                </w:r>
              </w:p>
              <w:p w:rsidR="00714563" w:rsidRDefault="00714563" w:rsidP="00714563">
                <w:pPr>
                  <w:jc w:val="left"/>
                </w:pPr>
              </w:p>
              <w:p w:rsidR="00F948ED" w:rsidRDefault="00714563" w:rsidP="00714563">
                <w:pPr>
                  <w:jc w:val="left"/>
                </w:pPr>
                <w:r w:rsidRPr="00714563">
                  <w:t xml:space="preserve">The paper provides a narrative discussion of each Best Practice, including a brief explanation of the evidence supporting their adoption and practical examples from OECD countries. </w:t>
                </w:r>
              </w:p>
              <w:p w:rsidR="00F948ED" w:rsidRDefault="00F948ED" w:rsidP="00714563">
                <w:pPr>
                  <w:jc w:val="left"/>
                </w:pPr>
              </w:p>
              <w:p w:rsidR="00714563" w:rsidRPr="00714563" w:rsidRDefault="00714563" w:rsidP="00714563">
                <w:pPr>
                  <w:jc w:val="left"/>
                </w:pPr>
                <w:r w:rsidRPr="00714563">
                  <w:t>This paper is meant as a basis for discussion among Delegates for the further development of the Best Practices.</w:t>
                </w:r>
              </w:p>
              <w:p w:rsidR="00714563" w:rsidRPr="00807D5B" w:rsidRDefault="00115C58" w:rsidP="00714563">
                <w:pPr>
                  <w:pStyle w:val="CoverAbstract"/>
                  <w:jc w:val="left"/>
                  <w:rPr>
                    <w:rStyle w:val="CoverTable"/>
                    <w:b w:val="0"/>
                  </w:rPr>
                </w:pPr>
              </w:p>
            </w:sdtContent>
          </w:sdt>
        </w:tc>
      </w:tr>
    </w:tbl>
    <w:p w:rsidR="00714563" w:rsidRDefault="00714563" w:rsidP="00331C64">
      <w:pPr>
        <w:pStyle w:val="CoverNormal"/>
        <w:rPr>
          <w:lang w:val="en-US"/>
        </w:rPr>
      </w:pPr>
    </w:p>
    <w:p w:rsidR="00714563" w:rsidRPr="008E334D" w:rsidRDefault="00714563" w:rsidP="00331C64">
      <w:pPr>
        <w:pStyle w:val="CoverNormal"/>
        <w:rPr>
          <w:lang w:val="en-US"/>
        </w:rPr>
      </w:pPr>
      <w:r>
        <w:rPr>
          <w:lang w:val="en-US"/>
        </w:rPr>
        <w:t>For further information, please contact</w:t>
      </w:r>
      <w:r>
        <w:rPr>
          <w:lang w:val="en-US"/>
        </w:rPr>
        <w:br/>
        <w:t xml:space="preserve">Ivor BEAZLEY, Senior Policy Analyst, GOV/BUD, </w:t>
      </w:r>
      <w:proofErr w:type="gramStart"/>
      <w:r>
        <w:rPr>
          <w:lang w:val="en-US"/>
        </w:rPr>
        <w:t>+(</w:t>
      </w:r>
      <w:proofErr w:type="gramEnd"/>
      <w:r>
        <w:rPr>
          <w:lang w:val="en-US"/>
        </w:rPr>
        <w:t>33-1) 45 24 99 51; ivor.beazley@oecd.org</w:t>
      </w:r>
    </w:p>
    <w:p w:rsidR="00714563" w:rsidRPr="008E334D" w:rsidRDefault="00115C58" w:rsidP="00331C64">
      <w:pPr>
        <w:pStyle w:val="CoverPwbCode"/>
        <w:spacing w:after="120"/>
      </w:pPr>
      <w:sdt>
        <w:sdtPr>
          <w:alias w:val="PWB Code"/>
          <w:tag w:val="txtPWBCode"/>
          <w:id w:val="110181137"/>
          <w:lock w:val="contentLocked"/>
          <w:text/>
        </w:sdtPr>
        <w:sdtEndPr/>
        <w:sdtContent>
          <w:r w:rsidR="00714563">
            <w:t xml:space="preserve"> </w:t>
          </w:r>
        </w:sdtContent>
      </w:sdt>
    </w:p>
    <w:p w:rsidR="00714563" w:rsidRDefault="00115C58" w:rsidP="00331C64">
      <w:pPr>
        <w:pStyle w:val="CoverJobTicket"/>
        <w:tabs>
          <w:tab w:val="left" w:pos="5490"/>
        </w:tabs>
        <w:sectPr w:rsidR="00714563" w:rsidSect="00062CDD">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794" w:right="1644" w:bottom="964" w:left="1644" w:header="0" w:footer="0" w:gutter="0"/>
          <w:cols w:space="720"/>
          <w:titlePg/>
          <w:docGrid w:linePitch="360"/>
        </w:sectPr>
      </w:pPr>
      <w:sdt>
        <w:sdtPr>
          <w:alias w:val="JT Number"/>
          <w:tag w:val="txtJobNumber"/>
          <w:id w:val="1458454547"/>
          <w:lock w:val="contentLocked"/>
          <w:text/>
        </w:sdtPr>
        <w:sdtEndPr/>
        <w:sdtContent>
          <w:r w:rsidR="00714563">
            <w:t xml:space="preserve"> </w:t>
          </w:r>
        </w:sdtContent>
      </w:sdt>
    </w:p>
    <w:p w:rsidR="00714563" w:rsidRPr="00714563" w:rsidRDefault="00714563" w:rsidP="00714563">
      <w:pPr>
        <w:spacing w:before="600" w:after="600"/>
        <w:jc w:val="center"/>
        <w:rPr>
          <w:rFonts w:asciiTheme="minorHAnsi" w:hAnsiTheme="minorHAnsi"/>
          <w:b/>
          <w:color w:val="1E63AE"/>
          <w:sz w:val="28"/>
          <w:szCs w:val="28"/>
        </w:rPr>
      </w:pPr>
      <w:r w:rsidRPr="00714563">
        <w:rPr>
          <w:rFonts w:asciiTheme="minorHAnsi" w:hAnsiTheme="minorHAnsi"/>
          <w:b/>
          <w:color w:val="1E63AE"/>
          <w:sz w:val="28"/>
          <w:szCs w:val="28"/>
        </w:rPr>
        <w:lastRenderedPageBreak/>
        <w:t>Draft OECD Best Practices for Performance Budgeting</w:t>
      </w:r>
    </w:p>
    <w:p w:rsidR="005A54C3" w:rsidRDefault="005D77A7" w:rsidP="005A54C3">
      <w:pPr>
        <w:spacing w:after="240"/>
        <w:rPr>
          <w:rFonts w:asciiTheme="minorHAnsi" w:hAnsiTheme="minorHAnsi"/>
          <w:strike/>
        </w:rPr>
      </w:pPr>
      <w:r w:rsidRPr="00C63F41">
        <w:rPr>
          <w:rFonts w:asciiTheme="minorHAnsi" w:hAnsiTheme="minorHAnsi"/>
          <w:b/>
          <w:color w:val="1E63AE"/>
          <w:sz w:val="24"/>
          <w:szCs w:val="24"/>
        </w:rPr>
        <w:t>1.</w:t>
      </w:r>
      <w:r w:rsidRPr="00C63F41">
        <w:rPr>
          <w:rFonts w:asciiTheme="minorHAnsi" w:hAnsiTheme="minorHAnsi"/>
          <w:b/>
          <w:i/>
          <w:color w:val="1E63AE"/>
          <w:sz w:val="24"/>
          <w:szCs w:val="24"/>
        </w:rPr>
        <w:t xml:space="preserve">  </w:t>
      </w:r>
      <w:proofErr w:type="gramStart"/>
      <w:r>
        <w:rPr>
          <w:rFonts w:asciiTheme="minorHAnsi" w:hAnsiTheme="minorHAnsi"/>
          <w:b/>
          <w:color w:val="1E63AE"/>
          <w:sz w:val="24"/>
          <w:szCs w:val="24"/>
        </w:rPr>
        <w:t>Setting</w:t>
      </w:r>
      <w:proofErr w:type="gramEnd"/>
      <w:r>
        <w:rPr>
          <w:rFonts w:asciiTheme="minorHAnsi" w:hAnsiTheme="minorHAnsi"/>
          <w:b/>
          <w:color w:val="1E63AE"/>
          <w:sz w:val="24"/>
          <w:szCs w:val="24"/>
        </w:rPr>
        <w:t xml:space="preserve"> clear and realistic objectives </w:t>
      </w:r>
      <w:r w:rsidRPr="00C63F41">
        <w:rPr>
          <w:rFonts w:asciiTheme="minorHAnsi" w:hAnsiTheme="minorHAnsi"/>
          <w:b/>
          <w:color w:val="1E63AE"/>
          <w:sz w:val="24"/>
          <w:szCs w:val="24"/>
        </w:rPr>
        <w:t xml:space="preserve">for </w:t>
      </w:r>
      <w:r>
        <w:rPr>
          <w:rFonts w:asciiTheme="minorHAnsi" w:hAnsiTheme="minorHAnsi"/>
          <w:b/>
          <w:color w:val="1E63AE"/>
          <w:sz w:val="24"/>
          <w:szCs w:val="24"/>
        </w:rPr>
        <w:t>p</w:t>
      </w:r>
      <w:r w:rsidRPr="00C63F41">
        <w:rPr>
          <w:rFonts w:asciiTheme="minorHAnsi" w:hAnsiTheme="minorHAnsi"/>
          <w:b/>
          <w:color w:val="1E63AE"/>
          <w:sz w:val="24"/>
          <w:szCs w:val="24"/>
        </w:rPr>
        <w:t xml:space="preserve">erformance </w:t>
      </w:r>
      <w:r>
        <w:rPr>
          <w:rFonts w:asciiTheme="minorHAnsi" w:hAnsiTheme="minorHAnsi"/>
          <w:b/>
          <w:color w:val="1E63AE"/>
          <w:sz w:val="24"/>
          <w:szCs w:val="24"/>
        </w:rPr>
        <w:t>b</w:t>
      </w:r>
      <w:r w:rsidRPr="00C63F41">
        <w:rPr>
          <w:rFonts w:asciiTheme="minorHAnsi" w:hAnsiTheme="minorHAnsi"/>
          <w:b/>
          <w:color w:val="1E63AE"/>
          <w:sz w:val="24"/>
          <w:szCs w:val="24"/>
        </w:rPr>
        <w:t>udgeting</w:t>
      </w:r>
    </w:p>
    <w:p w:rsidR="00465D0F" w:rsidRPr="005A54C3" w:rsidRDefault="005A54C3" w:rsidP="009F657E">
      <w:pPr>
        <w:spacing w:after="120"/>
        <w:ind w:left="567" w:hanging="283"/>
        <w:rPr>
          <w:rFonts w:asciiTheme="minorHAnsi" w:hAnsiTheme="minorHAnsi"/>
        </w:rPr>
      </w:pPr>
      <w:r w:rsidRPr="00465D0F">
        <w:rPr>
          <w:rFonts w:asciiTheme="minorHAnsi" w:hAnsiTheme="minorHAnsi"/>
          <w:b/>
        </w:rPr>
        <w:t>•</w:t>
      </w:r>
      <w:r w:rsidRPr="00465D0F">
        <w:rPr>
          <w:rFonts w:asciiTheme="minorHAnsi" w:hAnsiTheme="minorHAnsi"/>
          <w:b/>
        </w:rPr>
        <w:tab/>
      </w:r>
      <w:r w:rsidR="00EA23AD">
        <w:rPr>
          <w:rFonts w:asciiTheme="minorHAnsi" w:hAnsiTheme="minorHAnsi"/>
        </w:rPr>
        <w:t>T</w:t>
      </w:r>
      <w:r w:rsidR="00465D0F" w:rsidRPr="005A54C3">
        <w:rPr>
          <w:rFonts w:asciiTheme="minorHAnsi" w:hAnsiTheme="minorHAnsi"/>
        </w:rPr>
        <w:t>he rationale, objectives and app</w:t>
      </w:r>
      <w:r w:rsidR="004C43C4">
        <w:rPr>
          <w:rFonts w:asciiTheme="minorHAnsi" w:hAnsiTheme="minorHAnsi"/>
        </w:rPr>
        <w:t xml:space="preserve">roach to performance budgeting </w:t>
      </w:r>
      <w:r w:rsidR="00EA23AD">
        <w:rPr>
          <w:rFonts w:asciiTheme="minorHAnsi" w:hAnsiTheme="minorHAnsi"/>
        </w:rPr>
        <w:t xml:space="preserve">are set out in </w:t>
      </w:r>
      <w:r w:rsidR="00465D0F" w:rsidRPr="005A54C3">
        <w:rPr>
          <w:rFonts w:asciiTheme="minorHAnsi" w:hAnsiTheme="minorHAnsi"/>
        </w:rPr>
        <w:t>the organic budget law, in other regulations or in a</w:t>
      </w:r>
      <w:r w:rsidR="00E60A17">
        <w:rPr>
          <w:rFonts w:asciiTheme="minorHAnsi" w:hAnsiTheme="minorHAnsi"/>
        </w:rPr>
        <w:t xml:space="preserve">n official </w:t>
      </w:r>
      <w:r w:rsidR="00EA23AD">
        <w:rPr>
          <w:rFonts w:asciiTheme="minorHAnsi" w:hAnsiTheme="minorHAnsi"/>
        </w:rPr>
        <w:t>code of budgetary practice</w:t>
      </w:r>
      <w:r w:rsidR="00E60A17">
        <w:rPr>
          <w:rFonts w:asciiTheme="minorHAnsi" w:hAnsiTheme="minorHAnsi"/>
        </w:rPr>
        <w:t>.</w:t>
      </w:r>
    </w:p>
    <w:p w:rsidR="00465D0F" w:rsidRPr="005A54C3" w:rsidRDefault="00465D0F" w:rsidP="009F657E">
      <w:pPr>
        <w:spacing w:after="120"/>
        <w:ind w:left="567" w:hanging="283"/>
        <w:rPr>
          <w:rFonts w:asciiTheme="minorHAnsi" w:hAnsiTheme="minorHAnsi"/>
        </w:rPr>
      </w:pPr>
      <w:r w:rsidRPr="005A54C3">
        <w:rPr>
          <w:rFonts w:asciiTheme="minorHAnsi" w:hAnsiTheme="minorHAnsi"/>
        </w:rPr>
        <w:t>•</w:t>
      </w:r>
      <w:r w:rsidRPr="005A54C3">
        <w:rPr>
          <w:rFonts w:asciiTheme="minorHAnsi" w:hAnsiTheme="minorHAnsi"/>
        </w:rPr>
        <w:tab/>
      </w:r>
      <w:r w:rsidR="00367393">
        <w:rPr>
          <w:rFonts w:asciiTheme="minorHAnsi" w:hAnsiTheme="minorHAnsi"/>
        </w:rPr>
        <w:t xml:space="preserve">The role and </w:t>
      </w:r>
      <w:r w:rsidRPr="005A54C3">
        <w:rPr>
          <w:rFonts w:asciiTheme="minorHAnsi" w:hAnsiTheme="minorHAnsi"/>
        </w:rPr>
        <w:t>interests of important stakeholders</w:t>
      </w:r>
      <w:r w:rsidR="00367393">
        <w:rPr>
          <w:rFonts w:asciiTheme="minorHAnsi" w:hAnsiTheme="minorHAnsi"/>
        </w:rPr>
        <w:t xml:space="preserve"> in the policy cycle</w:t>
      </w:r>
      <w:r w:rsidR="00CB10D0">
        <w:rPr>
          <w:rFonts w:asciiTheme="minorHAnsi" w:hAnsiTheme="minorHAnsi"/>
        </w:rPr>
        <w:t> </w:t>
      </w:r>
      <w:r w:rsidR="00367393">
        <w:rPr>
          <w:rFonts w:asciiTheme="minorHAnsi" w:hAnsiTheme="minorHAnsi"/>
        </w:rPr>
        <w:t xml:space="preserve">– </w:t>
      </w:r>
      <w:r w:rsidRPr="005A54C3">
        <w:rPr>
          <w:rFonts w:asciiTheme="minorHAnsi" w:hAnsiTheme="minorHAnsi"/>
        </w:rPr>
        <w:t>including the centre of government, the legislature, the central budget authority, line ministries and the supreme audit institution</w:t>
      </w:r>
      <w:r w:rsidR="00367393">
        <w:rPr>
          <w:rFonts w:asciiTheme="minorHAnsi" w:hAnsiTheme="minorHAnsi"/>
        </w:rPr>
        <w:t xml:space="preserve"> – are reflected in the design of</w:t>
      </w:r>
      <w:r w:rsidR="00367393" w:rsidRPr="005A54C3">
        <w:rPr>
          <w:rFonts w:asciiTheme="minorHAnsi" w:hAnsiTheme="minorHAnsi"/>
        </w:rPr>
        <w:t xml:space="preserve"> the performance budgeting system</w:t>
      </w:r>
      <w:r w:rsidRPr="005A54C3">
        <w:rPr>
          <w:rFonts w:asciiTheme="minorHAnsi" w:hAnsiTheme="minorHAnsi"/>
        </w:rPr>
        <w:t>.</w:t>
      </w:r>
    </w:p>
    <w:p w:rsidR="00465D0F" w:rsidRPr="005A54C3" w:rsidRDefault="00465D0F" w:rsidP="009F657E">
      <w:pPr>
        <w:spacing w:after="360"/>
        <w:ind w:left="567" w:hanging="283"/>
        <w:rPr>
          <w:rFonts w:asciiTheme="minorHAnsi" w:hAnsiTheme="minorHAnsi"/>
        </w:rPr>
      </w:pPr>
      <w:r w:rsidRPr="005A54C3">
        <w:rPr>
          <w:rFonts w:asciiTheme="minorHAnsi" w:hAnsiTheme="minorHAnsi"/>
        </w:rPr>
        <w:t>•</w:t>
      </w:r>
      <w:r w:rsidRPr="005A54C3">
        <w:rPr>
          <w:rFonts w:asciiTheme="minorHAnsi" w:hAnsiTheme="minorHAnsi"/>
        </w:rPr>
        <w:tab/>
      </w:r>
      <w:r w:rsidR="00367393">
        <w:rPr>
          <w:rFonts w:asciiTheme="minorHAnsi" w:hAnsiTheme="minorHAnsi"/>
        </w:rPr>
        <w:t>T</w:t>
      </w:r>
      <w:r w:rsidRPr="005A54C3">
        <w:rPr>
          <w:rFonts w:asciiTheme="minorHAnsi" w:hAnsiTheme="minorHAnsi"/>
        </w:rPr>
        <w:t xml:space="preserve">he approach and </w:t>
      </w:r>
      <w:r w:rsidR="00367393">
        <w:rPr>
          <w:rFonts w:asciiTheme="minorHAnsi" w:hAnsiTheme="minorHAnsi"/>
        </w:rPr>
        <w:t xml:space="preserve">scope of the performance budgeting system are adapted to national circumstances and </w:t>
      </w:r>
      <w:r w:rsidRPr="005A54C3">
        <w:rPr>
          <w:rFonts w:asciiTheme="minorHAnsi" w:hAnsiTheme="minorHAnsi"/>
        </w:rPr>
        <w:t xml:space="preserve">practical constraints including staff skills, the availability of performance data and the </w:t>
      </w:r>
      <w:r w:rsidR="00367393">
        <w:rPr>
          <w:rFonts w:asciiTheme="minorHAnsi" w:hAnsiTheme="minorHAnsi"/>
        </w:rPr>
        <w:t xml:space="preserve">stage of development of the </w:t>
      </w:r>
      <w:r w:rsidRPr="005A54C3">
        <w:rPr>
          <w:rFonts w:asciiTheme="minorHAnsi" w:hAnsiTheme="minorHAnsi"/>
        </w:rPr>
        <w:t>performance culture in government.</w:t>
      </w:r>
    </w:p>
    <w:p w:rsidR="005D77A7" w:rsidRPr="00C63F41" w:rsidRDefault="005D77A7" w:rsidP="005A54C3">
      <w:pPr>
        <w:spacing w:after="240"/>
        <w:rPr>
          <w:rFonts w:asciiTheme="minorHAnsi" w:hAnsiTheme="minorHAnsi"/>
          <w:b/>
          <w:color w:val="1E63AE"/>
          <w:sz w:val="24"/>
          <w:szCs w:val="24"/>
        </w:rPr>
      </w:pPr>
      <w:r w:rsidRPr="00C63F41">
        <w:rPr>
          <w:rFonts w:asciiTheme="minorHAnsi" w:hAnsiTheme="minorHAnsi"/>
          <w:b/>
          <w:color w:val="1E63AE"/>
          <w:sz w:val="24"/>
          <w:szCs w:val="24"/>
        </w:rPr>
        <w:t>2.  Link</w:t>
      </w:r>
      <w:r w:rsidR="0072504F">
        <w:rPr>
          <w:rFonts w:asciiTheme="minorHAnsi" w:hAnsiTheme="minorHAnsi"/>
          <w:b/>
          <w:color w:val="1E63AE"/>
          <w:sz w:val="24"/>
          <w:szCs w:val="24"/>
        </w:rPr>
        <w:t>ing</w:t>
      </w:r>
      <w:r w:rsidRPr="00C63F41">
        <w:rPr>
          <w:rFonts w:asciiTheme="minorHAnsi" w:hAnsiTheme="minorHAnsi"/>
          <w:b/>
          <w:color w:val="1E63AE"/>
          <w:sz w:val="24"/>
          <w:szCs w:val="24"/>
        </w:rPr>
        <w:t xml:space="preserve"> the Performance Budget to the Strategic Goals of Government </w:t>
      </w:r>
    </w:p>
    <w:p w:rsidR="005D77A7" w:rsidRPr="00A4255D" w:rsidRDefault="005D77A7" w:rsidP="009F657E">
      <w:pPr>
        <w:spacing w:after="120"/>
        <w:ind w:left="567" w:hanging="283"/>
        <w:rPr>
          <w:rFonts w:asciiTheme="minorHAnsi" w:hAnsiTheme="minorHAnsi"/>
        </w:rPr>
      </w:pPr>
      <w:r>
        <w:rPr>
          <w:rFonts w:asciiTheme="minorHAnsi" w:hAnsiTheme="minorHAnsi"/>
        </w:rPr>
        <w:t>•</w:t>
      </w:r>
      <w:r>
        <w:rPr>
          <w:rFonts w:asciiTheme="minorHAnsi" w:hAnsiTheme="minorHAnsi"/>
        </w:rPr>
        <w:tab/>
      </w:r>
      <w:r w:rsidRPr="00A4255D">
        <w:rPr>
          <w:rFonts w:asciiTheme="minorHAnsi" w:hAnsiTheme="minorHAnsi"/>
        </w:rPr>
        <w:t xml:space="preserve">Performance budgets </w:t>
      </w:r>
      <w:r w:rsidR="00465D0F">
        <w:rPr>
          <w:rFonts w:asciiTheme="minorHAnsi" w:hAnsiTheme="minorHAnsi"/>
        </w:rPr>
        <w:t xml:space="preserve">are </w:t>
      </w:r>
      <w:r w:rsidRPr="00A4255D">
        <w:rPr>
          <w:rFonts w:asciiTheme="minorHAnsi" w:hAnsiTheme="minorHAnsi"/>
        </w:rPr>
        <w:t>closely aligned to national performance f</w:t>
      </w:r>
      <w:r>
        <w:rPr>
          <w:rFonts w:asciiTheme="minorHAnsi" w:hAnsiTheme="minorHAnsi"/>
        </w:rPr>
        <w:t>rameworks</w:t>
      </w:r>
      <w:r w:rsidR="00367393">
        <w:rPr>
          <w:rFonts w:asciiTheme="minorHAnsi" w:hAnsiTheme="minorHAnsi"/>
        </w:rPr>
        <w:t xml:space="preserve">, including strategic </w:t>
      </w:r>
      <w:r w:rsidR="00EE274D">
        <w:rPr>
          <w:rFonts w:asciiTheme="minorHAnsi" w:hAnsiTheme="minorHAnsi"/>
        </w:rPr>
        <w:t>policy goals</w:t>
      </w:r>
      <w:r w:rsidR="00367393">
        <w:rPr>
          <w:rFonts w:asciiTheme="minorHAnsi" w:hAnsiTheme="minorHAnsi"/>
        </w:rPr>
        <w:t xml:space="preserve">, developmental </w:t>
      </w:r>
      <w:r w:rsidR="00EE274D">
        <w:rPr>
          <w:rFonts w:asciiTheme="minorHAnsi" w:hAnsiTheme="minorHAnsi"/>
        </w:rPr>
        <w:t xml:space="preserve">plans </w:t>
      </w:r>
      <w:r>
        <w:rPr>
          <w:rFonts w:asciiTheme="minorHAnsi" w:hAnsiTheme="minorHAnsi"/>
        </w:rPr>
        <w:t>and sector strategies.</w:t>
      </w:r>
    </w:p>
    <w:p w:rsidR="005D77A7" w:rsidRPr="00A4255D" w:rsidRDefault="005D77A7" w:rsidP="009F657E">
      <w:pPr>
        <w:spacing w:after="120"/>
        <w:ind w:left="567" w:hanging="283"/>
        <w:rPr>
          <w:rFonts w:asciiTheme="minorHAnsi" w:hAnsiTheme="minorHAnsi"/>
        </w:rPr>
      </w:pPr>
      <w:r>
        <w:rPr>
          <w:rFonts w:asciiTheme="minorHAnsi" w:hAnsiTheme="minorHAnsi"/>
        </w:rPr>
        <w:t>•</w:t>
      </w:r>
      <w:r>
        <w:rPr>
          <w:rFonts w:asciiTheme="minorHAnsi" w:hAnsiTheme="minorHAnsi"/>
        </w:rPr>
        <w:tab/>
      </w:r>
      <w:r w:rsidRPr="00A4255D">
        <w:rPr>
          <w:rFonts w:asciiTheme="minorHAnsi" w:hAnsiTheme="minorHAnsi"/>
        </w:rPr>
        <w:t>Medium term expenditure frameworks provide realistic parameters within which strategic plans</w:t>
      </w:r>
      <w:r w:rsidR="00EE274D">
        <w:rPr>
          <w:rFonts w:asciiTheme="minorHAnsi" w:hAnsiTheme="minorHAnsi"/>
        </w:rPr>
        <w:t xml:space="preserve"> are prepared, resourced and implemented</w:t>
      </w:r>
      <w:r>
        <w:rPr>
          <w:rFonts w:asciiTheme="minorHAnsi" w:hAnsiTheme="minorHAnsi"/>
        </w:rPr>
        <w:t>.</w:t>
      </w:r>
    </w:p>
    <w:p w:rsidR="005D77A7" w:rsidRPr="00A4255D" w:rsidRDefault="005D77A7" w:rsidP="009F657E">
      <w:pPr>
        <w:spacing w:after="120"/>
        <w:ind w:left="567" w:hanging="283"/>
        <w:rPr>
          <w:rFonts w:asciiTheme="minorHAnsi" w:hAnsiTheme="minorHAnsi"/>
        </w:rPr>
      </w:pPr>
      <w:r>
        <w:rPr>
          <w:rFonts w:asciiTheme="minorHAnsi" w:hAnsiTheme="minorHAnsi"/>
        </w:rPr>
        <w:t>•</w:t>
      </w:r>
      <w:r>
        <w:rPr>
          <w:rFonts w:asciiTheme="minorHAnsi" w:hAnsiTheme="minorHAnsi"/>
        </w:rPr>
        <w:tab/>
      </w:r>
      <w:r w:rsidR="00465D0F">
        <w:rPr>
          <w:rFonts w:asciiTheme="minorHAnsi" w:hAnsiTheme="minorHAnsi"/>
        </w:rPr>
        <w:t xml:space="preserve">Evidence based analysis of spending </w:t>
      </w:r>
      <w:r w:rsidR="007F0B66">
        <w:rPr>
          <w:rFonts w:asciiTheme="minorHAnsi" w:hAnsiTheme="minorHAnsi"/>
        </w:rPr>
        <w:t>is</w:t>
      </w:r>
      <w:r w:rsidRPr="00A4255D">
        <w:rPr>
          <w:rFonts w:asciiTheme="minorHAnsi" w:hAnsiTheme="minorHAnsi"/>
        </w:rPr>
        <w:t xml:space="preserve"> used in conjunction with performance budgeting to improve the alignment of r</w:t>
      </w:r>
      <w:r>
        <w:rPr>
          <w:rFonts w:asciiTheme="minorHAnsi" w:hAnsiTheme="minorHAnsi"/>
        </w:rPr>
        <w:t>esources with policy priorities.</w:t>
      </w:r>
    </w:p>
    <w:p w:rsidR="005D77A7" w:rsidRDefault="005D77A7" w:rsidP="009F657E">
      <w:pPr>
        <w:spacing w:after="360"/>
        <w:ind w:left="567" w:hanging="283"/>
        <w:rPr>
          <w:rFonts w:asciiTheme="minorHAnsi" w:hAnsiTheme="minorHAnsi"/>
        </w:rPr>
      </w:pPr>
      <w:r>
        <w:rPr>
          <w:rFonts w:asciiTheme="minorHAnsi" w:hAnsiTheme="minorHAnsi"/>
        </w:rPr>
        <w:t>•</w:t>
      </w:r>
      <w:r>
        <w:rPr>
          <w:rFonts w:asciiTheme="minorHAnsi" w:hAnsiTheme="minorHAnsi"/>
        </w:rPr>
        <w:tab/>
      </w:r>
      <w:r w:rsidRPr="00A4255D">
        <w:rPr>
          <w:rFonts w:asciiTheme="minorHAnsi" w:hAnsiTheme="minorHAnsi"/>
        </w:rPr>
        <w:t xml:space="preserve">The centre of government </w:t>
      </w:r>
      <w:r w:rsidR="00F827B1">
        <w:rPr>
          <w:rFonts w:asciiTheme="minorHAnsi" w:hAnsiTheme="minorHAnsi"/>
        </w:rPr>
        <w:t xml:space="preserve">works closely with the central budget authority to </w:t>
      </w:r>
      <w:r>
        <w:rPr>
          <w:rFonts w:asciiTheme="minorHAnsi" w:hAnsiTheme="minorHAnsi"/>
        </w:rPr>
        <w:t>monitor</w:t>
      </w:r>
      <w:r w:rsidRPr="00A4255D">
        <w:rPr>
          <w:rFonts w:asciiTheme="minorHAnsi" w:hAnsiTheme="minorHAnsi"/>
        </w:rPr>
        <w:t xml:space="preserve"> adherence to priority policy goals</w:t>
      </w:r>
      <w:r w:rsidR="00F827B1">
        <w:rPr>
          <w:rFonts w:asciiTheme="minorHAnsi" w:hAnsiTheme="minorHAnsi"/>
        </w:rPr>
        <w:t xml:space="preserve">, to </w:t>
      </w:r>
      <w:r w:rsidRPr="00A4255D">
        <w:rPr>
          <w:rFonts w:asciiTheme="minorHAnsi" w:hAnsiTheme="minorHAnsi"/>
        </w:rPr>
        <w:t>coordinate act</w:t>
      </w:r>
      <w:r>
        <w:rPr>
          <w:rFonts w:asciiTheme="minorHAnsi" w:hAnsiTheme="minorHAnsi"/>
        </w:rPr>
        <w:t>ions across government agencies</w:t>
      </w:r>
      <w:r w:rsidR="00465D0F">
        <w:rPr>
          <w:rFonts w:asciiTheme="minorHAnsi" w:hAnsiTheme="minorHAnsi"/>
        </w:rPr>
        <w:t xml:space="preserve"> </w:t>
      </w:r>
      <w:r w:rsidR="00F827B1">
        <w:rPr>
          <w:rFonts w:asciiTheme="minorHAnsi" w:hAnsiTheme="minorHAnsi"/>
        </w:rPr>
        <w:t xml:space="preserve">and </w:t>
      </w:r>
      <w:r w:rsidR="00465D0F">
        <w:rPr>
          <w:rFonts w:asciiTheme="minorHAnsi" w:hAnsiTheme="minorHAnsi"/>
        </w:rPr>
        <w:t>to address constraints</w:t>
      </w:r>
      <w:r>
        <w:rPr>
          <w:rFonts w:asciiTheme="minorHAnsi" w:hAnsiTheme="minorHAnsi"/>
        </w:rPr>
        <w:t>.</w:t>
      </w:r>
    </w:p>
    <w:p w:rsidR="005D77A7" w:rsidRPr="00C63F41" w:rsidRDefault="005D77A7" w:rsidP="005A54C3">
      <w:pPr>
        <w:spacing w:after="240"/>
        <w:rPr>
          <w:rFonts w:asciiTheme="minorHAnsi" w:hAnsiTheme="minorHAnsi"/>
          <w:b/>
          <w:color w:val="1E63AE"/>
          <w:sz w:val="24"/>
          <w:szCs w:val="24"/>
        </w:rPr>
      </w:pPr>
      <w:r w:rsidRPr="00A629D5">
        <w:rPr>
          <w:rFonts w:asciiTheme="minorHAnsi" w:hAnsiTheme="minorHAnsi"/>
          <w:b/>
          <w:color w:val="1E63AE"/>
          <w:sz w:val="24"/>
          <w:szCs w:val="24"/>
        </w:rPr>
        <w:t>3</w:t>
      </w:r>
      <w:r w:rsidR="00C67491">
        <w:rPr>
          <w:rFonts w:asciiTheme="minorHAnsi" w:hAnsiTheme="minorHAnsi"/>
          <w:b/>
          <w:color w:val="1E63AE"/>
          <w:sz w:val="24"/>
          <w:szCs w:val="24"/>
        </w:rPr>
        <w:t>.</w:t>
      </w:r>
      <w:r w:rsidR="00A629D5">
        <w:rPr>
          <w:rFonts w:asciiTheme="minorHAnsi" w:hAnsiTheme="minorHAnsi"/>
          <w:b/>
          <w:color w:val="1E63AE"/>
          <w:sz w:val="24"/>
          <w:szCs w:val="24"/>
        </w:rPr>
        <w:t xml:space="preserve">  </w:t>
      </w:r>
      <w:r w:rsidR="0040286C">
        <w:rPr>
          <w:rFonts w:asciiTheme="minorHAnsi" w:hAnsiTheme="minorHAnsi"/>
          <w:b/>
          <w:color w:val="1E63AE"/>
          <w:sz w:val="24"/>
          <w:szCs w:val="24"/>
        </w:rPr>
        <w:t xml:space="preserve">Adapting </w:t>
      </w:r>
      <w:r w:rsidR="003C2C47" w:rsidRPr="005A54C3">
        <w:rPr>
          <w:rFonts w:asciiTheme="minorHAnsi" w:hAnsiTheme="minorHAnsi"/>
          <w:b/>
          <w:color w:val="1E63AE"/>
          <w:sz w:val="24"/>
          <w:szCs w:val="24"/>
        </w:rPr>
        <w:t xml:space="preserve">Performance Budgeting </w:t>
      </w:r>
      <w:r w:rsidR="0040286C">
        <w:rPr>
          <w:rFonts w:asciiTheme="minorHAnsi" w:hAnsiTheme="minorHAnsi"/>
          <w:b/>
          <w:color w:val="1E63AE"/>
          <w:sz w:val="24"/>
          <w:szCs w:val="24"/>
        </w:rPr>
        <w:t>to the Complex, Varying Needs of Policy-making</w:t>
      </w:r>
    </w:p>
    <w:p w:rsidR="00AC53FB" w:rsidRDefault="005D77A7" w:rsidP="009F657E">
      <w:pPr>
        <w:tabs>
          <w:tab w:val="clear" w:pos="850"/>
          <w:tab w:val="clear" w:pos="1191"/>
          <w:tab w:val="clear" w:pos="1531"/>
        </w:tabs>
        <w:spacing w:after="120"/>
        <w:ind w:left="567" w:hanging="283"/>
        <w:rPr>
          <w:rFonts w:asciiTheme="minorHAnsi" w:hAnsiTheme="minorHAnsi"/>
        </w:rPr>
      </w:pPr>
      <w:r>
        <w:rPr>
          <w:rFonts w:asciiTheme="minorHAnsi" w:hAnsiTheme="minorHAnsi"/>
        </w:rPr>
        <w:t>•</w:t>
      </w:r>
      <w:r>
        <w:rPr>
          <w:rFonts w:asciiTheme="minorHAnsi" w:hAnsiTheme="minorHAnsi"/>
        </w:rPr>
        <w:tab/>
      </w:r>
      <w:r w:rsidR="00F827B1">
        <w:rPr>
          <w:rFonts w:asciiTheme="minorHAnsi" w:hAnsiTheme="minorHAnsi"/>
        </w:rPr>
        <w:t>T</w:t>
      </w:r>
      <w:r w:rsidR="00465D0F">
        <w:rPr>
          <w:rFonts w:asciiTheme="minorHAnsi" w:hAnsiTheme="minorHAnsi"/>
        </w:rPr>
        <w:t xml:space="preserve">he performance </w:t>
      </w:r>
      <w:r w:rsidRPr="00A4255D">
        <w:rPr>
          <w:rFonts w:asciiTheme="minorHAnsi" w:hAnsiTheme="minorHAnsi"/>
        </w:rPr>
        <w:t xml:space="preserve">budgeting methodology </w:t>
      </w:r>
      <w:r w:rsidR="00F827B1">
        <w:rPr>
          <w:rFonts w:asciiTheme="minorHAnsi" w:hAnsiTheme="minorHAnsi"/>
        </w:rPr>
        <w:t xml:space="preserve">includes in-built flexibility </w:t>
      </w:r>
      <w:r w:rsidRPr="00A4255D">
        <w:rPr>
          <w:rFonts w:asciiTheme="minorHAnsi" w:hAnsiTheme="minorHAnsi"/>
        </w:rPr>
        <w:t>to handle the varied nature of government business</w:t>
      </w:r>
      <w:r w:rsidR="00DA0272">
        <w:rPr>
          <w:rFonts w:asciiTheme="minorHAnsi" w:hAnsiTheme="minorHAnsi"/>
        </w:rPr>
        <w:t xml:space="preserve">, and to recognise the differing </w:t>
      </w:r>
      <w:r w:rsidR="00465D0F">
        <w:rPr>
          <w:rFonts w:asciiTheme="minorHAnsi" w:hAnsiTheme="minorHAnsi"/>
        </w:rPr>
        <w:t>relationships between inputs and outcomes.</w:t>
      </w:r>
    </w:p>
    <w:p w:rsidR="00AC53FB" w:rsidRDefault="00CB10D0" w:rsidP="009F657E">
      <w:pPr>
        <w:tabs>
          <w:tab w:val="clear" w:pos="850"/>
          <w:tab w:val="clear" w:pos="1191"/>
          <w:tab w:val="clear" w:pos="1531"/>
        </w:tabs>
        <w:spacing w:after="120"/>
        <w:ind w:left="567" w:hanging="283"/>
        <w:rPr>
          <w:rFonts w:asciiTheme="minorHAnsi" w:hAnsiTheme="minorHAnsi"/>
        </w:rPr>
      </w:pPr>
      <w:r>
        <w:rPr>
          <w:rFonts w:asciiTheme="minorHAnsi" w:hAnsiTheme="minorHAnsi"/>
        </w:rPr>
        <w:t>•</w:t>
      </w:r>
      <w:r>
        <w:rPr>
          <w:rFonts w:asciiTheme="minorHAnsi" w:hAnsiTheme="minorHAnsi"/>
        </w:rPr>
        <w:tab/>
      </w:r>
      <w:r w:rsidR="00AC53FB">
        <w:rPr>
          <w:rFonts w:asciiTheme="minorHAnsi" w:hAnsiTheme="minorHAnsi"/>
        </w:rPr>
        <w:t>Programme structures are aligned with the service delivery functions and responsibilities of ministries and agencies</w:t>
      </w:r>
      <w:r>
        <w:rPr>
          <w:rFonts w:asciiTheme="minorHAnsi" w:hAnsiTheme="minorHAnsi"/>
        </w:rPr>
        <w:t>.</w:t>
      </w:r>
    </w:p>
    <w:p w:rsidR="00465D0F" w:rsidRDefault="005D77A7" w:rsidP="009F657E">
      <w:pPr>
        <w:tabs>
          <w:tab w:val="clear" w:pos="850"/>
          <w:tab w:val="clear" w:pos="1191"/>
          <w:tab w:val="clear" w:pos="1531"/>
        </w:tabs>
        <w:spacing w:after="120"/>
        <w:ind w:left="567" w:hanging="283"/>
        <w:rPr>
          <w:rFonts w:asciiTheme="minorHAnsi" w:hAnsiTheme="minorHAnsi"/>
        </w:rPr>
      </w:pPr>
      <w:r>
        <w:rPr>
          <w:rFonts w:asciiTheme="minorHAnsi" w:hAnsiTheme="minorHAnsi"/>
        </w:rPr>
        <w:t>•</w:t>
      </w:r>
      <w:r>
        <w:rPr>
          <w:rFonts w:asciiTheme="minorHAnsi" w:hAnsiTheme="minorHAnsi"/>
        </w:rPr>
        <w:tab/>
      </w:r>
      <w:r w:rsidR="00F827B1">
        <w:rPr>
          <w:rFonts w:asciiTheme="minorHAnsi" w:hAnsiTheme="minorHAnsi"/>
        </w:rPr>
        <w:t xml:space="preserve">Complex, </w:t>
      </w:r>
      <w:r w:rsidR="00DA0272">
        <w:rPr>
          <w:rFonts w:asciiTheme="minorHAnsi" w:hAnsiTheme="minorHAnsi"/>
        </w:rPr>
        <w:t xml:space="preserve">persistent and </w:t>
      </w:r>
      <w:r w:rsidR="00F827B1">
        <w:rPr>
          <w:rFonts w:asciiTheme="minorHAnsi" w:hAnsiTheme="minorHAnsi"/>
        </w:rPr>
        <w:t xml:space="preserve">multi-dimensional social problems (so-called </w:t>
      </w:r>
      <w:r w:rsidR="00465D0F">
        <w:rPr>
          <w:rFonts w:asciiTheme="minorHAnsi" w:hAnsiTheme="minorHAnsi"/>
        </w:rPr>
        <w:t>“wicked” issues</w:t>
      </w:r>
      <w:r w:rsidR="00F827B1">
        <w:rPr>
          <w:rFonts w:asciiTheme="minorHAnsi" w:hAnsiTheme="minorHAnsi"/>
        </w:rPr>
        <w:t>) are addressed</w:t>
      </w:r>
      <w:r w:rsidR="00465D0F">
        <w:rPr>
          <w:rFonts w:asciiTheme="minorHAnsi" w:hAnsiTheme="minorHAnsi"/>
        </w:rPr>
        <w:t xml:space="preserve"> through coordination mechanisms and high level government support.</w:t>
      </w:r>
    </w:p>
    <w:p w:rsidR="00465D0F" w:rsidRDefault="005D77A7" w:rsidP="009F657E">
      <w:pPr>
        <w:tabs>
          <w:tab w:val="clear" w:pos="850"/>
          <w:tab w:val="clear" w:pos="1191"/>
          <w:tab w:val="clear" w:pos="1531"/>
        </w:tabs>
        <w:spacing w:after="360"/>
        <w:ind w:left="568" w:hanging="283"/>
        <w:rPr>
          <w:rFonts w:asciiTheme="minorHAnsi" w:hAnsiTheme="minorHAnsi"/>
        </w:rPr>
      </w:pPr>
      <w:r>
        <w:rPr>
          <w:rFonts w:asciiTheme="minorHAnsi" w:hAnsiTheme="minorHAnsi"/>
        </w:rPr>
        <w:t>•</w:t>
      </w:r>
      <w:r>
        <w:rPr>
          <w:rFonts w:asciiTheme="minorHAnsi" w:hAnsiTheme="minorHAnsi"/>
        </w:rPr>
        <w:tab/>
      </w:r>
      <w:r w:rsidR="0040286C">
        <w:rPr>
          <w:rFonts w:asciiTheme="minorHAnsi" w:hAnsiTheme="minorHAnsi"/>
        </w:rPr>
        <w:t>C</w:t>
      </w:r>
      <w:r w:rsidR="00465D0F">
        <w:rPr>
          <w:rFonts w:asciiTheme="minorHAnsi" w:hAnsiTheme="minorHAnsi"/>
        </w:rPr>
        <w:t>ontrol framework</w:t>
      </w:r>
      <w:r w:rsidR="0072504F">
        <w:rPr>
          <w:rFonts w:asciiTheme="minorHAnsi" w:hAnsiTheme="minorHAnsi"/>
        </w:rPr>
        <w:t xml:space="preserve">s </w:t>
      </w:r>
      <w:r w:rsidR="0040286C">
        <w:rPr>
          <w:rFonts w:asciiTheme="minorHAnsi" w:hAnsiTheme="minorHAnsi"/>
        </w:rPr>
        <w:t xml:space="preserve">are revised and </w:t>
      </w:r>
      <w:r w:rsidR="00C77557">
        <w:rPr>
          <w:rFonts w:asciiTheme="minorHAnsi" w:hAnsiTheme="minorHAnsi"/>
        </w:rPr>
        <w:t xml:space="preserve">adapted </w:t>
      </w:r>
      <w:r w:rsidR="0072504F">
        <w:rPr>
          <w:rFonts w:asciiTheme="minorHAnsi" w:hAnsiTheme="minorHAnsi"/>
        </w:rPr>
        <w:t xml:space="preserve">to </w:t>
      </w:r>
      <w:r w:rsidR="00C77557">
        <w:rPr>
          <w:rFonts w:asciiTheme="minorHAnsi" w:hAnsiTheme="minorHAnsi"/>
        </w:rPr>
        <w:t xml:space="preserve">support effective </w:t>
      </w:r>
      <w:r w:rsidR="0072504F">
        <w:rPr>
          <w:rFonts w:asciiTheme="minorHAnsi" w:hAnsiTheme="minorHAnsi"/>
        </w:rPr>
        <w:t>budget execution.</w:t>
      </w:r>
    </w:p>
    <w:p w:rsidR="00714563" w:rsidRDefault="00714563" w:rsidP="005A54C3">
      <w:pPr>
        <w:tabs>
          <w:tab w:val="left" w:pos="6975"/>
        </w:tabs>
        <w:spacing w:after="240"/>
        <w:rPr>
          <w:rFonts w:asciiTheme="minorHAnsi" w:hAnsiTheme="minorHAnsi"/>
          <w:b/>
          <w:color w:val="1E63AE"/>
          <w:sz w:val="24"/>
          <w:szCs w:val="24"/>
        </w:rPr>
      </w:pPr>
      <w:r>
        <w:rPr>
          <w:rFonts w:asciiTheme="minorHAnsi" w:hAnsiTheme="minorHAnsi"/>
          <w:b/>
          <w:color w:val="1E63AE"/>
          <w:sz w:val="24"/>
          <w:szCs w:val="24"/>
        </w:rPr>
        <w:br w:type="page"/>
      </w:r>
    </w:p>
    <w:p w:rsidR="005D77A7" w:rsidRPr="00C63F41" w:rsidRDefault="005D77A7" w:rsidP="005A54C3">
      <w:pPr>
        <w:tabs>
          <w:tab w:val="left" w:pos="6975"/>
        </w:tabs>
        <w:spacing w:after="240"/>
        <w:rPr>
          <w:rFonts w:asciiTheme="minorHAnsi" w:hAnsiTheme="minorHAnsi"/>
          <w:b/>
          <w:color w:val="1E63AE"/>
          <w:sz w:val="24"/>
          <w:szCs w:val="24"/>
        </w:rPr>
      </w:pPr>
      <w:r w:rsidRPr="00A629D5">
        <w:rPr>
          <w:rFonts w:asciiTheme="minorHAnsi" w:hAnsiTheme="minorHAnsi"/>
          <w:b/>
          <w:color w:val="1E63AE"/>
          <w:sz w:val="24"/>
          <w:szCs w:val="24"/>
        </w:rPr>
        <w:lastRenderedPageBreak/>
        <w:t>4</w:t>
      </w:r>
      <w:r w:rsidR="00C67491">
        <w:rPr>
          <w:rFonts w:asciiTheme="minorHAnsi" w:hAnsiTheme="minorHAnsi"/>
          <w:b/>
          <w:color w:val="1E63AE"/>
          <w:sz w:val="24"/>
          <w:szCs w:val="24"/>
        </w:rPr>
        <w:t>.</w:t>
      </w:r>
      <w:r w:rsidR="00A629D5">
        <w:rPr>
          <w:rFonts w:asciiTheme="minorHAnsi" w:hAnsiTheme="minorHAnsi"/>
          <w:b/>
          <w:color w:val="1E63AE"/>
          <w:sz w:val="24"/>
          <w:szCs w:val="24"/>
        </w:rPr>
        <w:t xml:space="preserve">  </w:t>
      </w:r>
      <w:r w:rsidR="007F0B66">
        <w:rPr>
          <w:rFonts w:asciiTheme="minorHAnsi" w:hAnsiTheme="minorHAnsi"/>
          <w:b/>
          <w:color w:val="1E63AE"/>
          <w:sz w:val="24"/>
          <w:szCs w:val="24"/>
        </w:rPr>
        <w:t xml:space="preserve">Managing </w:t>
      </w:r>
      <w:r w:rsidRPr="00C63F41">
        <w:rPr>
          <w:rFonts w:asciiTheme="minorHAnsi" w:hAnsiTheme="minorHAnsi"/>
          <w:b/>
          <w:color w:val="1E63AE"/>
          <w:sz w:val="24"/>
          <w:szCs w:val="24"/>
        </w:rPr>
        <w:t>Performance In</w:t>
      </w:r>
      <w:r w:rsidR="005A52C4">
        <w:rPr>
          <w:rFonts w:asciiTheme="minorHAnsi" w:hAnsiTheme="minorHAnsi"/>
          <w:b/>
          <w:color w:val="1E63AE"/>
          <w:sz w:val="24"/>
          <w:szCs w:val="24"/>
        </w:rPr>
        <w:t>formation</w:t>
      </w:r>
    </w:p>
    <w:p w:rsidR="007F0B66" w:rsidRDefault="005D77A7" w:rsidP="009F657E">
      <w:pPr>
        <w:tabs>
          <w:tab w:val="clear" w:pos="850"/>
          <w:tab w:val="clear" w:pos="1191"/>
          <w:tab w:val="clear" w:pos="1531"/>
        </w:tabs>
        <w:spacing w:after="120"/>
        <w:ind w:left="567" w:hanging="283"/>
        <w:rPr>
          <w:rFonts w:asciiTheme="minorHAnsi" w:hAnsiTheme="minorHAnsi"/>
        </w:rPr>
      </w:pPr>
      <w:r>
        <w:rPr>
          <w:rFonts w:asciiTheme="minorHAnsi" w:hAnsiTheme="minorHAnsi"/>
        </w:rPr>
        <w:t>•</w:t>
      </w:r>
      <w:r>
        <w:rPr>
          <w:rFonts w:asciiTheme="minorHAnsi" w:hAnsiTheme="minorHAnsi"/>
        </w:rPr>
        <w:tab/>
      </w:r>
      <w:r w:rsidR="007F0B66">
        <w:rPr>
          <w:rFonts w:asciiTheme="minorHAnsi" w:hAnsiTheme="minorHAnsi"/>
        </w:rPr>
        <w:t>The Central Budget Authority guides the production and use of performance information, promoting quality over quantity</w:t>
      </w:r>
      <w:r w:rsidR="00CB10D0">
        <w:rPr>
          <w:rFonts w:asciiTheme="minorHAnsi" w:hAnsiTheme="minorHAnsi"/>
        </w:rPr>
        <w:t>.</w:t>
      </w:r>
    </w:p>
    <w:p w:rsidR="003C2C47" w:rsidRPr="005A54C3" w:rsidRDefault="001561C0" w:rsidP="009F657E">
      <w:pPr>
        <w:tabs>
          <w:tab w:val="clear" w:pos="850"/>
          <w:tab w:val="clear" w:pos="1191"/>
          <w:tab w:val="clear" w:pos="1531"/>
        </w:tabs>
        <w:spacing w:after="120"/>
        <w:ind w:left="567" w:hanging="283"/>
        <w:rPr>
          <w:rFonts w:asciiTheme="minorHAnsi" w:hAnsiTheme="minorHAnsi"/>
        </w:rPr>
      </w:pPr>
      <w:r>
        <w:rPr>
          <w:rFonts w:asciiTheme="minorHAnsi" w:hAnsiTheme="minorHAnsi"/>
        </w:rPr>
        <w:t>•</w:t>
      </w:r>
      <w:r>
        <w:rPr>
          <w:rFonts w:asciiTheme="minorHAnsi" w:hAnsiTheme="minorHAnsi"/>
        </w:rPr>
        <w:tab/>
      </w:r>
      <w:r w:rsidR="007F0B66">
        <w:rPr>
          <w:rFonts w:asciiTheme="minorHAnsi" w:hAnsiTheme="minorHAnsi"/>
        </w:rPr>
        <w:t>P</w:t>
      </w:r>
      <w:r w:rsidR="003C2C47" w:rsidRPr="005A54C3">
        <w:rPr>
          <w:rFonts w:asciiTheme="minorHAnsi" w:hAnsiTheme="minorHAnsi"/>
        </w:rPr>
        <w:t>erformance indicators, milestones and targets are consistent with those identified in national policy and strategy documents.</w:t>
      </w:r>
    </w:p>
    <w:p w:rsidR="003C2C47" w:rsidRPr="005A54C3" w:rsidRDefault="003C2C47" w:rsidP="009F657E">
      <w:pPr>
        <w:tabs>
          <w:tab w:val="clear" w:pos="850"/>
          <w:tab w:val="clear" w:pos="1191"/>
          <w:tab w:val="clear" w:pos="1531"/>
        </w:tabs>
        <w:spacing w:after="120"/>
        <w:ind w:left="568" w:hanging="283"/>
        <w:rPr>
          <w:rFonts w:asciiTheme="minorHAnsi" w:hAnsiTheme="minorHAnsi"/>
        </w:rPr>
      </w:pPr>
      <w:r w:rsidRPr="005A54C3">
        <w:rPr>
          <w:rFonts w:asciiTheme="minorHAnsi" w:hAnsiTheme="minorHAnsi"/>
        </w:rPr>
        <w:t>•</w:t>
      </w:r>
      <w:r w:rsidRPr="005A54C3">
        <w:rPr>
          <w:rFonts w:asciiTheme="minorHAnsi" w:hAnsiTheme="minorHAnsi"/>
        </w:rPr>
        <w:tab/>
        <w:t>Ministries use outcome and output indicators, together with other indicators that are useful in measuring progress towards achieving policy objectives</w:t>
      </w:r>
      <w:r w:rsidR="00C77557">
        <w:rPr>
          <w:rFonts w:asciiTheme="minorHAnsi" w:hAnsiTheme="minorHAnsi"/>
        </w:rPr>
        <w:t>.</w:t>
      </w:r>
    </w:p>
    <w:p w:rsidR="003C2C47" w:rsidRPr="005A54C3" w:rsidRDefault="003C2C47" w:rsidP="009F657E">
      <w:pPr>
        <w:tabs>
          <w:tab w:val="clear" w:pos="850"/>
          <w:tab w:val="clear" w:pos="1191"/>
          <w:tab w:val="clear" w:pos="1531"/>
        </w:tabs>
        <w:spacing w:after="120"/>
        <w:ind w:left="567" w:hanging="283"/>
        <w:rPr>
          <w:rFonts w:asciiTheme="minorHAnsi" w:hAnsiTheme="minorHAnsi"/>
        </w:rPr>
      </w:pPr>
      <w:r w:rsidRPr="005A54C3">
        <w:rPr>
          <w:rFonts w:asciiTheme="minorHAnsi" w:hAnsiTheme="minorHAnsi"/>
        </w:rPr>
        <w:t>•</w:t>
      </w:r>
      <w:r w:rsidRPr="005A54C3">
        <w:rPr>
          <w:rFonts w:asciiTheme="minorHAnsi" w:hAnsiTheme="minorHAnsi"/>
        </w:rPr>
        <w:tab/>
      </w:r>
      <w:r w:rsidR="0072504F">
        <w:rPr>
          <w:rFonts w:asciiTheme="minorHAnsi" w:hAnsiTheme="minorHAnsi"/>
        </w:rPr>
        <w:t>Pe</w:t>
      </w:r>
      <w:r w:rsidR="0072504F" w:rsidRPr="005A54C3">
        <w:rPr>
          <w:rFonts w:asciiTheme="minorHAnsi" w:hAnsiTheme="minorHAnsi"/>
        </w:rPr>
        <w:t>rformance indicators facilitate comparison between similar entities, within the same country or internationally</w:t>
      </w:r>
      <w:r w:rsidR="0072504F">
        <w:rPr>
          <w:rFonts w:asciiTheme="minorHAnsi" w:hAnsiTheme="minorHAnsi"/>
        </w:rPr>
        <w:t>, whenever</w:t>
      </w:r>
      <w:r w:rsidRPr="005A54C3">
        <w:rPr>
          <w:rFonts w:asciiTheme="minorHAnsi" w:hAnsiTheme="minorHAnsi"/>
        </w:rPr>
        <w:t xml:space="preserve"> practical and consistent with government policy objectives.</w:t>
      </w:r>
    </w:p>
    <w:p w:rsidR="003C2C47" w:rsidRPr="005A54C3" w:rsidRDefault="003C2C47" w:rsidP="009F657E">
      <w:pPr>
        <w:pStyle w:val="ListParagraph"/>
        <w:numPr>
          <w:ilvl w:val="0"/>
          <w:numId w:val="39"/>
        </w:numPr>
        <w:tabs>
          <w:tab w:val="clear" w:pos="850"/>
          <w:tab w:val="clear" w:pos="1191"/>
          <w:tab w:val="clear" w:pos="1531"/>
        </w:tabs>
        <w:spacing w:before="120" w:after="360"/>
        <w:ind w:left="568" w:hanging="283"/>
        <w:rPr>
          <w:rFonts w:asciiTheme="minorHAnsi" w:hAnsiTheme="minorHAnsi"/>
        </w:rPr>
      </w:pPr>
      <w:r w:rsidRPr="005A54C3">
        <w:rPr>
          <w:rFonts w:asciiTheme="minorHAnsi" w:hAnsiTheme="minorHAnsi"/>
        </w:rPr>
        <w:t xml:space="preserve">The SAI </w:t>
      </w:r>
      <w:r w:rsidR="00C77557">
        <w:rPr>
          <w:rFonts w:asciiTheme="minorHAnsi" w:hAnsiTheme="minorHAnsi"/>
        </w:rPr>
        <w:t xml:space="preserve">has a role in </w:t>
      </w:r>
      <w:r w:rsidRPr="005A54C3">
        <w:rPr>
          <w:rFonts w:asciiTheme="minorHAnsi" w:hAnsiTheme="minorHAnsi"/>
        </w:rPr>
        <w:t>review</w:t>
      </w:r>
      <w:r w:rsidR="00C77557">
        <w:rPr>
          <w:rFonts w:asciiTheme="minorHAnsi" w:hAnsiTheme="minorHAnsi"/>
        </w:rPr>
        <w:t>ing</w:t>
      </w:r>
      <w:r w:rsidRPr="005A54C3">
        <w:rPr>
          <w:rFonts w:asciiTheme="minorHAnsi" w:hAnsiTheme="minorHAnsi"/>
        </w:rPr>
        <w:t xml:space="preserve"> and validat</w:t>
      </w:r>
      <w:r w:rsidR="00C77557">
        <w:rPr>
          <w:rFonts w:asciiTheme="minorHAnsi" w:hAnsiTheme="minorHAnsi"/>
        </w:rPr>
        <w:t>ing</w:t>
      </w:r>
      <w:r w:rsidRPr="005A54C3">
        <w:rPr>
          <w:rFonts w:asciiTheme="minorHAnsi" w:hAnsiTheme="minorHAnsi"/>
        </w:rPr>
        <w:t xml:space="preserve"> </w:t>
      </w:r>
      <w:r w:rsidR="00C77557">
        <w:rPr>
          <w:rFonts w:asciiTheme="minorHAnsi" w:hAnsiTheme="minorHAnsi"/>
        </w:rPr>
        <w:t xml:space="preserve">the achievement of </w:t>
      </w:r>
      <w:r w:rsidRPr="005A54C3">
        <w:rPr>
          <w:rFonts w:asciiTheme="minorHAnsi" w:hAnsiTheme="minorHAnsi"/>
        </w:rPr>
        <w:t xml:space="preserve">performance </w:t>
      </w:r>
      <w:r w:rsidR="00C77557">
        <w:rPr>
          <w:rFonts w:asciiTheme="minorHAnsi" w:hAnsiTheme="minorHAnsi"/>
        </w:rPr>
        <w:t>targets, and in assessing the quality of performance frameworks more broadly, including programme-logic models and indicators.</w:t>
      </w:r>
    </w:p>
    <w:p w:rsidR="005D77A7" w:rsidRPr="00C63F41" w:rsidRDefault="005D77A7" w:rsidP="003C2C47">
      <w:pPr>
        <w:spacing w:after="240"/>
        <w:rPr>
          <w:rFonts w:asciiTheme="minorHAnsi" w:hAnsiTheme="minorHAnsi"/>
          <w:b/>
          <w:color w:val="1E63AE"/>
          <w:sz w:val="24"/>
          <w:szCs w:val="24"/>
        </w:rPr>
      </w:pPr>
      <w:r w:rsidRPr="00A629D5">
        <w:rPr>
          <w:rFonts w:asciiTheme="minorHAnsi" w:hAnsiTheme="minorHAnsi"/>
          <w:b/>
          <w:color w:val="1E63AE"/>
          <w:sz w:val="24"/>
          <w:szCs w:val="24"/>
        </w:rPr>
        <w:t>5</w:t>
      </w:r>
      <w:r w:rsidRPr="00C63F41">
        <w:rPr>
          <w:rFonts w:asciiTheme="minorHAnsi" w:hAnsiTheme="minorHAnsi"/>
          <w:b/>
          <w:color w:val="1E63AE"/>
          <w:sz w:val="24"/>
          <w:szCs w:val="24"/>
        </w:rPr>
        <w:t xml:space="preserve">.  Creating the Infrastructure to Support Performance Budgeting  </w:t>
      </w:r>
    </w:p>
    <w:p w:rsidR="005D77A7" w:rsidRPr="003C2C47" w:rsidRDefault="005D77A7" w:rsidP="009F657E">
      <w:pPr>
        <w:tabs>
          <w:tab w:val="clear" w:pos="850"/>
          <w:tab w:val="clear" w:pos="1191"/>
          <w:tab w:val="clear" w:pos="1531"/>
        </w:tabs>
        <w:spacing w:after="120"/>
        <w:ind w:left="567" w:hanging="283"/>
        <w:rPr>
          <w:rFonts w:asciiTheme="minorHAnsi" w:hAnsiTheme="minorHAnsi"/>
        </w:rPr>
      </w:pPr>
      <w:r w:rsidRPr="005A54C3">
        <w:rPr>
          <w:rFonts w:asciiTheme="minorHAnsi" w:hAnsiTheme="minorHAnsi"/>
        </w:rPr>
        <w:t>•</w:t>
      </w:r>
      <w:r w:rsidRPr="005A54C3">
        <w:rPr>
          <w:rFonts w:asciiTheme="minorHAnsi" w:hAnsiTheme="minorHAnsi"/>
        </w:rPr>
        <w:tab/>
      </w:r>
      <w:r w:rsidR="0090328E">
        <w:rPr>
          <w:rFonts w:asciiTheme="minorHAnsi" w:hAnsiTheme="minorHAnsi"/>
        </w:rPr>
        <w:t>P</w:t>
      </w:r>
      <w:r w:rsidRPr="003C2C47">
        <w:rPr>
          <w:rFonts w:asciiTheme="minorHAnsi" w:hAnsiTheme="minorHAnsi"/>
        </w:rPr>
        <w:t>erformance budgeting</w:t>
      </w:r>
      <w:r w:rsidR="0090328E">
        <w:rPr>
          <w:rFonts w:asciiTheme="minorHAnsi" w:hAnsiTheme="minorHAnsi"/>
        </w:rPr>
        <w:t xml:space="preserve"> is supported by a core team of specialists, within each ministry and in the central budget authority</w:t>
      </w:r>
      <w:r w:rsidRPr="003C2C47">
        <w:rPr>
          <w:rFonts w:asciiTheme="minorHAnsi" w:hAnsiTheme="minorHAnsi"/>
        </w:rPr>
        <w:t>.</w:t>
      </w:r>
    </w:p>
    <w:p w:rsidR="00CB10D0" w:rsidRDefault="005D77A7" w:rsidP="009F657E">
      <w:pPr>
        <w:tabs>
          <w:tab w:val="clear" w:pos="850"/>
          <w:tab w:val="clear" w:pos="1191"/>
          <w:tab w:val="clear" w:pos="1531"/>
        </w:tabs>
        <w:spacing w:after="120"/>
        <w:ind w:left="567" w:hanging="283"/>
        <w:rPr>
          <w:rFonts w:asciiTheme="minorHAnsi" w:hAnsiTheme="minorHAnsi"/>
        </w:rPr>
      </w:pPr>
      <w:r>
        <w:rPr>
          <w:rFonts w:asciiTheme="minorHAnsi" w:hAnsiTheme="minorHAnsi"/>
        </w:rPr>
        <w:t>•</w:t>
      </w:r>
      <w:r>
        <w:rPr>
          <w:rFonts w:asciiTheme="minorHAnsi" w:hAnsiTheme="minorHAnsi"/>
        </w:rPr>
        <w:tab/>
      </w:r>
      <w:r w:rsidR="0083728A" w:rsidRPr="0083728A">
        <w:rPr>
          <w:rFonts w:asciiTheme="minorHAnsi" w:hAnsiTheme="minorHAnsi"/>
        </w:rPr>
        <w:t xml:space="preserve"> </w:t>
      </w:r>
      <w:r w:rsidR="0083728A">
        <w:rPr>
          <w:rFonts w:asciiTheme="minorHAnsi" w:hAnsiTheme="minorHAnsi"/>
        </w:rPr>
        <w:t xml:space="preserve">The performance budgeting methodology is supported by detailed guidelines and </w:t>
      </w:r>
      <w:r w:rsidR="0090328E">
        <w:rPr>
          <w:rFonts w:asciiTheme="minorHAnsi" w:hAnsiTheme="minorHAnsi"/>
        </w:rPr>
        <w:t>train</w:t>
      </w:r>
      <w:r w:rsidR="0083728A">
        <w:rPr>
          <w:rFonts w:asciiTheme="minorHAnsi" w:hAnsiTheme="minorHAnsi"/>
        </w:rPr>
        <w:t>ing of budget analysts.</w:t>
      </w:r>
    </w:p>
    <w:p w:rsidR="005D77A7" w:rsidRPr="00A4255D" w:rsidRDefault="005D77A7" w:rsidP="009F657E">
      <w:pPr>
        <w:tabs>
          <w:tab w:val="clear" w:pos="850"/>
          <w:tab w:val="clear" w:pos="1191"/>
          <w:tab w:val="clear" w:pos="1531"/>
        </w:tabs>
        <w:spacing w:after="120"/>
        <w:ind w:left="567" w:hanging="283"/>
        <w:rPr>
          <w:rFonts w:asciiTheme="minorHAnsi" w:hAnsiTheme="minorHAnsi"/>
        </w:rPr>
      </w:pPr>
      <w:r>
        <w:rPr>
          <w:rFonts w:asciiTheme="minorHAnsi" w:hAnsiTheme="minorHAnsi"/>
        </w:rPr>
        <w:t>•</w:t>
      </w:r>
      <w:r>
        <w:rPr>
          <w:rFonts w:asciiTheme="minorHAnsi" w:hAnsiTheme="minorHAnsi"/>
        </w:rPr>
        <w:tab/>
      </w:r>
      <w:r w:rsidR="00E33572" w:rsidRPr="00E33572">
        <w:rPr>
          <w:rFonts w:asciiTheme="minorHAnsi" w:hAnsiTheme="minorHAnsi"/>
        </w:rPr>
        <w:t xml:space="preserve"> </w:t>
      </w:r>
      <w:r w:rsidR="00E33572">
        <w:rPr>
          <w:rFonts w:asciiTheme="minorHAnsi" w:hAnsiTheme="minorHAnsi"/>
        </w:rPr>
        <w:t>F</w:t>
      </w:r>
      <w:r w:rsidR="00E33572" w:rsidRPr="00A4255D">
        <w:rPr>
          <w:rFonts w:asciiTheme="minorHAnsi" w:hAnsiTheme="minorHAnsi"/>
        </w:rPr>
        <w:t xml:space="preserve">inancial management information systems integrate non-financial performance data </w:t>
      </w:r>
      <w:r w:rsidR="00E33572">
        <w:rPr>
          <w:rFonts w:asciiTheme="minorHAnsi" w:hAnsiTheme="minorHAnsi"/>
        </w:rPr>
        <w:t>to</w:t>
      </w:r>
      <w:r w:rsidR="00E33572" w:rsidRPr="00A4255D">
        <w:rPr>
          <w:rFonts w:asciiTheme="minorHAnsi" w:hAnsiTheme="minorHAnsi"/>
        </w:rPr>
        <w:t xml:space="preserve"> generate reports</w:t>
      </w:r>
      <w:r w:rsidR="00E33572">
        <w:rPr>
          <w:rFonts w:asciiTheme="minorHAnsi" w:hAnsiTheme="minorHAnsi"/>
        </w:rPr>
        <w:t xml:space="preserve"> that</w:t>
      </w:r>
      <w:r w:rsidR="00E33572" w:rsidRPr="00A4255D">
        <w:rPr>
          <w:rFonts w:asciiTheme="minorHAnsi" w:hAnsiTheme="minorHAnsi"/>
        </w:rPr>
        <w:t xml:space="preserve"> meet</w:t>
      </w:r>
      <w:r w:rsidR="00E33572">
        <w:rPr>
          <w:rFonts w:asciiTheme="minorHAnsi" w:hAnsiTheme="minorHAnsi"/>
        </w:rPr>
        <w:t xml:space="preserve"> </w:t>
      </w:r>
      <w:r w:rsidR="00E33572" w:rsidRPr="00A4255D">
        <w:rPr>
          <w:rFonts w:asciiTheme="minorHAnsi" w:hAnsiTheme="minorHAnsi"/>
        </w:rPr>
        <w:t xml:space="preserve">the </w:t>
      </w:r>
      <w:r w:rsidR="00E33572">
        <w:rPr>
          <w:rFonts w:asciiTheme="minorHAnsi" w:hAnsiTheme="minorHAnsi"/>
        </w:rPr>
        <w:t xml:space="preserve">varied </w:t>
      </w:r>
      <w:r w:rsidR="00E33572" w:rsidRPr="00A4255D">
        <w:rPr>
          <w:rFonts w:asciiTheme="minorHAnsi" w:hAnsiTheme="minorHAnsi"/>
        </w:rPr>
        <w:t>needs of different users</w:t>
      </w:r>
      <w:r w:rsidR="00CB10D0">
        <w:rPr>
          <w:rFonts w:asciiTheme="minorHAnsi" w:hAnsiTheme="minorHAnsi"/>
        </w:rPr>
        <w:t>.</w:t>
      </w:r>
    </w:p>
    <w:p w:rsidR="005D77A7" w:rsidRDefault="005D77A7" w:rsidP="009F657E">
      <w:pPr>
        <w:tabs>
          <w:tab w:val="clear" w:pos="850"/>
          <w:tab w:val="clear" w:pos="1191"/>
          <w:tab w:val="clear" w:pos="1531"/>
        </w:tabs>
        <w:spacing w:after="360"/>
        <w:ind w:left="568" w:hanging="283"/>
        <w:rPr>
          <w:rFonts w:asciiTheme="minorHAnsi" w:hAnsiTheme="minorHAnsi"/>
        </w:rPr>
      </w:pPr>
      <w:r>
        <w:rPr>
          <w:rFonts w:asciiTheme="minorHAnsi" w:hAnsiTheme="minorHAnsi"/>
        </w:rPr>
        <w:t>•</w:t>
      </w:r>
      <w:r>
        <w:rPr>
          <w:rFonts w:asciiTheme="minorHAnsi" w:hAnsiTheme="minorHAnsi"/>
        </w:rPr>
        <w:tab/>
      </w:r>
      <w:r w:rsidR="0090328E">
        <w:rPr>
          <w:rFonts w:asciiTheme="minorHAnsi" w:hAnsiTheme="minorHAnsi"/>
        </w:rPr>
        <w:t>T</w:t>
      </w:r>
      <w:r w:rsidR="0072504F">
        <w:rPr>
          <w:rFonts w:asciiTheme="minorHAnsi" w:hAnsiTheme="minorHAnsi"/>
        </w:rPr>
        <w:t>he oversight role and capabilities of the l</w:t>
      </w:r>
      <w:r w:rsidR="003C2C47">
        <w:rPr>
          <w:rFonts w:asciiTheme="minorHAnsi" w:hAnsiTheme="minorHAnsi"/>
        </w:rPr>
        <w:t xml:space="preserve">egislature </w:t>
      </w:r>
      <w:r w:rsidRPr="00A4255D">
        <w:rPr>
          <w:rFonts w:asciiTheme="minorHAnsi" w:hAnsiTheme="minorHAnsi"/>
        </w:rPr>
        <w:t xml:space="preserve">and the supreme </w:t>
      </w:r>
      <w:r w:rsidR="0072504F">
        <w:rPr>
          <w:rFonts w:asciiTheme="minorHAnsi" w:hAnsiTheme="minorHAnsi"/>
        </w:rPr>
        <w:t xml:space="preserve">audit institution </w:t>
      </w:r>
      <w:r w:rsidR="0090328E">
        <w:rPr>
          <w:rFonts w:asciiTheme="minorHAnsi" w:hAnsiTheme="minorHAnsi"/>
        </w:rPr>
        <w:t xml:space="preserve">are sufficiently developed </w:t>
      </w:r>
      <w:r w:rsidRPr="00A4255D">
        <w:rPr>
          <w:rFonts w:asciiTheme="minorHAnsi" w:hAnsiTheme="minorHAnsi"/>
        </w:rPr>
        <w:t>in respect of performance budgeting</w:t>
      </w:r>
      <w:r>
        <w:rPr>
          <w:rFonts w:asciiTheme="minorHAnsi" w:hAnsiTheme="minorHAnsi"/>
        </w:rPr>
        <w:t>.</w:t>
      </w:r>
    </w:p>
    <w:p w:rsidR="005D77A7" w:rsidRPr="005A54C3" w:rsidRDefault="00AC53FB" w:rsidP="00DA1848">
      <w:pPr>
        <w:spacing w:after="240"/>
        <w:rPr>
          <w:rFonts w:asciiTheme="minorHAnsi" w:hAnsiTheme="minorHAnsi"/>
          <w:b/>
          <w:color w:val="31849B" w:themeColor="accent5" w:themeShade="BF"/>
          <w:sz w:val="24"/>
          <w:szCs w:val="24"/>
        </w:rPr>
      </w:pPr>
      <w:r>
        <w:rPr>
          <w:rFonts w:asciiTheme="minorHAnsi" w:hAnsiTheme="minorHAnsi"/>
          <w:b/>
          <w:color w:val="1E63AE"/>
          <w:sz w:val="24"/>
          <w:szCs w:val="24"/>
        </w:rPr>
        <w:t>6</w:t>
      </w:r>
      <w:r w:rsidR="005D77A7" w:rsidRPr="00C63F41">
        <w:rPr>
          <w:rFonts w:asciiTheme="minorHAnsi" w:hAnsiTheme="minorHAnsi"/>
          <w:b/>
          <w:color w:val="1E63AE"/>
          <w:sz w:val="24"/>
          <w:szCs w:val="24"/>
        </w:rPr>
        <w:t xml:space="preserve">.  </w:t>
      </w:r>
      <w:r w:rsidR="00DA1848">
        <w:rPr>
          <w:rFonts w:asciiTheme="minorHAnsi" w:hAnsiTheme="minorHAnsi"/>
          <w:b/>
          <w:color w:val="1E63AE"/>
          <w:sz w:val="24"/>
          <w:szCs w:val="24"/>
        </w:rPr>
        <w:t xml:space="preserve">Ensuring Systematic </w:t>
      </w:r>
      <w:r w:rsidR="005D77A7" w:rsidRPr="00C63F41">
        <w:rPr>
          <w:rFonts w:asciiTheme="minorHAnsi" w:hAnsiTheme="minorHAnsi"/>
          <w:b/>
          <w:color w:val="1E63AE"/>
          <w:sz w:val="24"/>
          <w:szCs w:val="24"/>
        </w:rPr>
        <w:t>Evaluation and Oversight of Performance</w:t>
      </w:r>
    </w:p>
    <w:p w:rsidR="001F6DD9" w:rsidRDefault="005D77A7" w:rsidP="00A2606F">
      <w:pPr>
        <w:tabs>
          <w:tab w:val="clear" w:pos="850"/>
          <w:tab w:val="clear" w:pos="1191"/>
          <w:tab w:val="clear" w:pos="1531"/>
        </w:tabs>
        <w:spacing w:after="120"/>
        <w:ind w:left="567" w:hanging="283"/>
        <w:rPr>
          <w:rFonts w:asciiTheme="minorHAnsi" w:hAnsiTheme="minorHAnsi"/>
        </w:rPr>
      </w:pPr>
      <w:r>
        <w:rPr>
          <w:rFonts w:asciiTheme="minorHAnsi" w:hAnsiTheme="minorHAnsi"/>
        </w:rPr>
        <w:t>•</w:t>
      </w:r>
      <w:r>
        <w:rPr>
          <w:rFonts w:asciiTheme="minorHAnsi" w:hAnsiTheme="minorHAnsi"/>
        </w:rPr>
        <w:tab/>
      </w:r>
      <w:r w:rsidR="001F6DD9" w:rsidRPr="0073483D">
        <w:rPr>
          <w:rFonts w:asciiTheme="minorHAnsi" w:hAnsiTheme="minorHAnsi"/>
        </w:rPr>
        <w:t xml:space="preserve">Senior management within line ministries, and </w:t>
      </w:r>
      <w:r w:rsidR="001F6DD9">
        <w:rPr>
          <w:rFonts w:asciiTheme="minorHAnsi" w:hAnsiTheme="minorHAnsi"/>
        </w:rPr>
        <w:t xml:space="preserve">programme </w:t>
      </w:r>
      <w:r w:rsidR="001F6DD9" w:rsidRPr="0073483D">
        <w:rPr>
          <w:rFonts w:asciiTheme="minorHAnsi" w:hAnsiTheme="minorHAnsi"/>
        </w:rPr>
        <w:t>managers, organize structured discussions to review financial and operational performance regular</w:t>
      </w:r>
      <w:r w:rsidR="001F6DD9">
        <w:rPr>
          <w:rFonts w:asciiTheme="minorHAnsi" w:hAnsiTheme="minorHAnsi"/>
        </w:rPr>
        <w:t>ly</w:t>
      </w:r>
      <w:r w:rsidR="001F6DD9" w:rsidRPr="0073483D">
        <w:rPr>
          <w:rFonts w:asciiTheme="minorHAnsi" w:hAnsiTheme="minorHAnsi"/>
        </w:rPr>
        <w:t xml:space="preserve"> throughout the year</w:t>
      </w:r>
      <w:r w:rsidR="001F6DD9" w:rsidRPr="00A4255D">
        <w:rPr>
          <w:rFonts w:asciiTheme="minorHAnsi" w:hAnsiTheme="minorHAnsi"/>
        </w:rPr>
        <w:t>.</w:t>
      </w:r>
    </w:p>
    <w:p w:rsidR="00A2606F" w:rsidRDefault="001561C0" w:rsidP="00A2606F">
      <w:pPr>
        <w:tabs>
          <w:tab w:val="clear" w:pos="850"/>
          <w:tab w:val="clear" w:pos="1191"/>
          <w:tab w:val="clear" w:pos="1531"/>
        </w:tabs>
        <w:spacing w:after="120"/>
        <w:ind w:left="567" w:hanging="283"/>
        <w:rPr>
          <w:rFonts w:asciiTheme="minorHAnsi" w:hAnsiTheme="minorHAnsi"/>
        </w:rPr>
      </w:pPr>
      <w:r>
        <w:rPr>
          <w:rFonts w:asciiTheme="minorHAnsi" w:hAnsiTheme="minorHAnsi"/>
        </w:rPr>
        <w:t>•</w:t>
      </w:r>
      <w:r>
        <w:rPr>
          <w:rFonts w:asciiTheme="minorHAnsi" w:hAnsiTheme="minorHAnsi"/>
        </w:rPr>
        <w:tab/>
      </w:r>
      <w:r w:rsidR="00DA1848">
        <w:rPr>
          <w:rFonts w:asciiTheme="minorHAnsi" w:hAnsiTheme="minorHAnsi"/>
        </w:rPr>
        <w:t xml:space="preserve">Evaluations of the performance of all major spending </w:t>
      </w:r>
      <w:r w:rsidR="0090328E">
        <w:rPr>
          <w:rFonts w:asciiTheme="minorHAnsi" w:hAnsiTheme="minorHAnsi"/>
        </w:rPr>
        <w:t>programmes</w:t>
      </w:r>
      <w:r w:rsidR="00DA1848">
        <w:rPr>
          <w:rFonts w:asciiTheme="minorHAnsi" w:hAnsiTheme="minorHAnsi"/>
        </w:rPr>
        <w:t xml:space="preserve"> are carried out on a rolling basis and the</w:t>
      </w:r>
      <w:r w:rsidR="001F6DD9">
        <w:rPr>
          <w:rFonts w:asciiTheme="minorHAnsi" w:hAnsiTheme="minorHAnsi"/>
        </w:rPr>
        <w:t xml:space="preserve"> findings are considered as part of the budget preparation proces</w:t>
      </w:r>
      <w:r w:rsidR="00DA1848">
        <w:rPr>
          <w:rFonts w:asciiTheme="minorHAnsi" w:hAnsiTheme="minorHAnsi"/>
        </w:rPr>
        <w:t>s</w:t>
      </w:r>
      <w:r w:rsidR="00CB10D0">
        <w:rPr>
          <w:rFonts w:asciiTheme="minorHAnsi" w:hAnsiTheme="minorHAnsi"/>
        </w:rPr>
        <w:t>.</w:t>
      </w:r>
    </w:p>
    <w:p w:rsidR="00A2606F" w:rsidRDefault="005D77A7" w:rsidP="005D77A7">
      <w:pPr>
        <w:tabs>
          <w:tab w:val="clear" w:pos="850"/>
          <w:tab w:val="clear" w:pos="1191"/>
          <w:tab w:val="clear" w:pos="1531"/>
        </w:tabs>
        <w:spacing w:after="120"/>
        <w:ind w:left="567" w:hanging="283"/>
        <w:rPr>
          <w:rFonts w:asciiTheme="minorHAnsi" w:hAnsiTheme="minorHAnsi"/>
        </w:rPr>
      </w:pPr>
      <w:r>
        <w:rPr>
          <w:rFonts w:asciiTheme="minorHAnsi" w:hAnsiTheme="minorHAnsi"/>
        </w:rPr>
        <w:t>•</w:t>
      </w:r>
      <w:r>
        <w:rPr>
          <w:rFonts w:asciiTheme="minorHAnsi" w:hAnsiTheme="minorHAnsi"/>
        </w:rPr>
        <w:tab/>
      </w:r>
      <w:r w:rsidR="00A2606F">
        <w:rPr>
          <w:rFonts w:asciiTheme="minorHAnsi" w:hAnsiTheme="minorHAnsi"/>
        </w:rPr>
        <w:t>Performance targets set out in the annual budget are the subject of corresponding annual reporting on performance.</w:t>
      </w:r>
    </w:p>
    <w:p w:rsidR="005D77A7" w:rsidRPr="00A4255D" w:rsidRDefault="005D77A7" w:rsidP="005D77A7">
      <w:pPr>
        <w:tabs>
          <w:tab w:val="clear" w:pos="850"/>
          <w:tab w:val="clear" w:pos="1191"/>
          <w:tab w:val="clear" w:pos="1531"/>
        </w:tabs>
        <w:spacing w:after="120"/>
        <w:ind w:left="567" w:hanging="283"/>
        <w:rPr>
          <w:rFonts w:asciiTheme="minorHAnsi" w:hAnsiTheme="minorHAnsi"/>
        </w:rPr>
      </w:pPr>
      <w:r>
        <w:rPr>
          <w:rFonts w:asciiTheme="minorHAnsi" w:hAnsiTheme="minorHAnsi"/>
        </w:rPr>
        <w:t>•</w:t>
      </w:r>
      <w:r>
        <w:rPr>
          <w:rFonts w:asciiTheme="minorHAnsi" w:hAnsiTheme="minorHAnsi"/>
        </w:rPr>
        <w:tab/>
      </w:r>
      <w:r w:rsidRPr="00A4255D">
        <w:rPr>
          <w:rFonts w:asciiTheme="minorHAnsi" w:hAnsiTheme="minorHAnsi"/>
        </w:rPr>
        <w:t xml:space="preserve">The supreme audit institution </w:t>
      </w:r>
      <w:r w:rsidR="00DA1848">
        <w:rPr>
          <w:rFonts w:asciiTheme="minorHAnsi" w:hAnsiTheme="minorHAnsi"/>
        </w:rPr>
        <w:t xml:space="preserve">carries </w:t>
      </w:r>
      <w:r w:rsidRPr="00A4255D">
        <w:rPr>
          <w:rFonts w:asciiTheme="minorHAnsi" w:hAnsiTheme="minorHAnsi"/>
        </w:rPr>
        <w:t xml:space="preserve">out performance audits of important or high risk </w:t>
      </w:r>
      <w:r w:rsidR="0090328E">
        <w:rPr>
          <w:rFonts w:asciiTheme="minorHAnsi" w:hAnsiTheme="minorHAnsi"/>
        </w:rPr>
        <w:t>programmes</w:t>
      </w:r>
      <w:r w:rsidRPr="00A4255D">
        <w:rPr>
          <w:rFonts w:asciiTheme="minorHAnsi" w:hAnsiTheme="minorHAnsi"/>
        </w:rPr>
        <w:t xml:space="preserve"> and test</w:t>
      </w:r>
      <w:r w:rsidR="00A2606F">
        <w:rPr>
          <w:rFonts w:asciiTheme="minorHAnsi" w:hAnsiTheme="minorHAnsi"/>
        </w:rPr>
        <w:t>s</w:t>
      </w:r>
      <w:r w:rsidRPr="00A4255D">
        <w:rPr>
          <w:rFonts w:asciiTheme="minorHAnsi" w:hAnsiTheme="minorHAnsi"/>
        </w:rPr>
        <w:t xml:space="preserve"> the relevance, accuracy and reliability of performance data.</w:t>
      </w:r>
    </w:p>
    <w:p w:rsidR="005D77A7" w:rsidRPr="00A4255D" w:rsidRDefault="005D77A7" w:rsidP="005D77A7">
      <w:pPr>
        <w:tabs>
          <w:tab w:val="clear" w:pos="850"/>
          <w:tab w:val="clear" w:pos="1191"/>
          <w:tab w:val="clear" w:pos="1531"/>
        </w:tabs>
        <w:spacing w:after="120"/>
        <w:ind w:left="567" w:hanging="283"/>
        <w:rPr>
          <w:rFonts w:asciiTheme="minorHAnsi" w:hAnsiTheme="minorHAnsi"/>
        </w:rPr>
      </w:pPr>
      <w:r>
        <w:rPr>
          <w:rFonts w:asciiTheme="minorHAnsi" w:hAnsiTheme="minorHAnsi"/>
        </w:rPr>
        <w:t>•</w:t>
      </w:r>
      <w:r>
        <w:rPr>
          <w:rFonts w:asciiTheme="minorHAnsi" w:hAnsiTheme="minorHAnsi"/>
        </w:rPr>
        <w:tab/>
      </w:r>
      <w:r w:rsidRPr="00A4255D">
        <w:rPr>
          <w:rFonts w:asciiTheme="minorHAnsi" w:hAnsiTheme="minorHAnsi"/>
        </w:rPr>
        <w:t>The budget and accounts committees of the legislature regularly review</w:t>
      </w:r>
      <w:r w:rsidR="00A2606F">
        <w:rPr>
          <w:rFonts w:asciiTheme="minorHAnsi" w:hAnsiTheme="minorHAnsi"/>
        </w:rPr>
        <w:t>s</w:t>
      </w:r>
      <w:r w:rsidRPr="00A4255D">
        <w:rPr>
          <w:rFonts w:asciiTheme="minorHAnsi" w:hAnsiTheme="minorHAnsi"/>
        </w:rPr>
        <w:t xml:space="preserve"> performance based budget statements and annual performance reports</w:t>
      </w:r>
      <w:r>
        <w:rPr>
          <w:rFonts w:asciiTheme="minorHAnsi" w:hAnsiTheme="minorHAnsi"/>
        </w:rPr>
        <w:t>.</w:t>
      </w:r>
    </w:p>
    <w:p w:rsidR="005D77A7" w:rsidRDefault="005D77A7" w:rsidP="005D77A7">
      <w:pPr>
        <w:tabs>
          <w:tab w:val="clear" w:pos="850"/>
          <w:tab w:val="clear" w:pos="1191"/>
          <w:tab w:val="clear" w:pos="1531"/>
        </w:tabs>
        <w:spacing w:after="240"/>
        <w:ind w:left="568" w:hanging="284"/>
        <w:rPr>
          <w:rFonts w:asciiTheme="minorHAnsi" w:hAnsiTheme="minorHAnsi"/>
        </w:rPr>
      </w:pPr>
      <w:r>
        <w:rPr>
          <w:rFonts w:asciiTheme="minorHAnsi" w:hAnsiTheme="minorHAnsi"/>
        </w:rPr>
        <w:t>•</w:t>
      </w:r>
      <w:r>
        <w:rPr>
          <w:rFonts w:asciiTheme="minorHAnsi" w:hAnsiTheme="minorHAnsi"/>
        </w:rPr>
        <w:tab/>
      </w:r>
      <w:r w:rsidRPr="00A4255D">
        <w:rPr>
          <w:rFonts w:asciiTheme="minorHAnsi" w:hAnsiTheme="minorHAnsi"/>
        </w:rPr>
        <w:t>Committees overseeing the activities of sector ministries conduct public hearings based on performance reports provided by government and performance audit report</w:t>
      </w:r>
      <w:r w:rsidR="00A2606F">
        <w:rPr>
          <w:rFonts w:asciiTheme="minorHAnsi" w:hAnsiTheme="minorHAnsi"/>
        </w:rPr>
        <w:t>s</w:t>
      </w:r>
      <w:r w:rsidRPr="00A4255D">
        <w:rPr>
          <w:rFonts w:asciiTheme="minorHAnsi" w:hAnsiTheme="minorHAnsi"/>
        </w:rPr>
        <w:t xml:space="preserve"> and hold </w:t>
      </w:r>
      <w:r w:rsidR="00A2606F">
        <w:rPr>
          <w:rFonts w:asciiTheme="minorHAnsi" w:hAnsiTheme="minorHAnsi"/>
        </w:rPr>
        <w:t xml:space="preserve">ministers and senior public managers </w:t>
      </w:r>
      <w:r w:rsidRPr="00A4255D">
        <w:rPr>
          <w:rFonts w:asciiTheme="minorHAnsi" w:hAnsiTheme="minorHAnsi"/>
        </w:rPr>
        <w:t>accountable in the event of poor pe</w:t>
      </w:r>
      <w:r>
        <w:rPr>
          <w:rFonts w:asciiTheme="minorHAnsi" w:hAnsiTheme="minorHAnsi"/>
        </w:rPr>
        <w:t>rformance or misrepresentation.</w:t>
      </w:r>
    </w:p>
    <w:p w:rsidR="00714563" w:rsidRDefault="00714563" w:rsidP="00DA1848">
      <w:pPr>
        <w:spacing w:after="240"/>
        <w:rPr>
          <w:rFonts w:asciiTheme="minorHAnsi" w:hAnsiTheme="minorHAnsi"/>
          <w:b/>
          <w:color w:val="1E63AE"/>
          <w:sz w:val="24"/>
          <w:szCs w:val="24"/>
        </w:rPr>
      </w:pPr>
      <w:r>
        <w:rPr>
          <w:rFonts w:asciiTheme="minorHAnsi" w:hAnsiTheme="minorHAnsi"/>
          <w:b/>
          <w:color w:val="1E63AE"/>
          <w:sz w:val="24"/>
          <w:szCs w:val="24"/>
        </w:rPr>
        <w:br w:type="page"/>
      </w:r>
    </w:p>
    <w:p w:rsidR="005D77A7" w:rsidRPr="00C63F41" w:rsidRDefault="00AC53FB" w:rsidP="00DA1848">
      <w:pPr>
        <w:spacing w:after="240"/>
        <w:rPr>
          <w:rFonts w:asciiTheme="minorHAnsi" w:hAnsiTheme="minorHAnsi"/>
          <w:b/>
          <w:color w:val="1E63AE"/>
          <w:sz w:val="24"/>
          <w:szCs w:val="24"/>
        </w:rPr>
      </w:pPr>
      <w:r>
        <w:rPr>
          <w:rFonts w:asciiTheme="minorHAnsi" w:hAnsiTheme="minorHAnsi"/>
          <w:b/>
          <w:color w:val="1E63AE"/>
          <w:sz w:val="24"/>
          <w:szCs w:val="24"/>
        </w:rPr>
        <w:lastRenderedPageBreak/>
        <w:t>7</w:t>
      </w:r>
      <w:r w:rsidR="005D77A7" w:rsidRPr="00C63F41">
        <w:rPr>
          <w:rFonts w:asciiTheme="minorHAnsi" w:hAnsiTheme="minorHAnsi"/>
          <w:b/>
          <w:color w:val="1E63AE"/>
          <w:sz w:val="24"/>
          <w:szCs w:val="24"/>
        </w:rPr>
        <w:t xml:space="preserve">.  </w:t>
      </w:r>
      <w:r w:rsidR="00DA1848" w:rsidRPr="005A54C3">
        <w:rPr>
          <w:rFonts w:asciiTheme="minorHAnsi" w:hAnsiTheme="minorHAnsi"/>
          <w:b/>
          <w:color w:val="1E63AE"/>
          <w:sz w:val="24"/>
          <w:szCs w:val="24"/>
        </w:rPr>
        <w:t xml:space="preserve">Incentivizing </w:t>
      </w:r>
      <w:r w:rsidR="005D77A7" w:rsidRPr="00C63F41">
        <w:rPr>
          <w:rFonts w:asciiTheme="minorHAnsi" w:hAnsiTheme="minorHAnsi"/>
          <w:b/>
          <w:color w:val="1E63AE"/>
          <w:sz w:val="24"/>
          <w:szCs w:val="24"/>
        </w:rPr>
        <w:t>Performance-orient</w:t>
      </w:r>
      <w:r>
        <w:rPr>
          <w:rFonts w:asciiTheme="minorHAnsi" w:hAnsiTheme="minorHAnsi"/>
          <w:b/>
          <w:color w:val="1E63AE"/>
          <w:sz w:val="24"/>
          <w:szCs w:val="24"/>
        </w:rPr>
        <w:t>ed Behaviour</w:t>
      </w:r>
      <w:r w:rsidR="005D77A7" w:rsidRPr="00C63F41">
        <w:rPr>
          <w:rFonts w:asciiTheme="minorHAnsi" w:hAnsiTheme="minorHAnsi"/>
          <w:b/>
          <w:color w:val="1E63AE"/>
          <w:sz w:val="24"/>
          <w:szCs w:val="24"/>
        </w:rPr>
        <w:t xml:space="preserve"> </w:t>
      </w:r>
      <w:r w:rsidR="00DA1848">
        <w:rPr>
          <w:rFonts w:asciiTheme="minorHAnsi" w:hAnsiTheme="minorHAnsi"/>
          <w:b/>
          <w:color w:val="1E63AE"/>
          <w:sz w:val="24"/>
          <w:szCs w:val="24"/>
        </w:rPr>
        <w:t>and Learning</w:t>
      </w:r>
    </w:p>
    <w:p w:rsidR="005D77A7" w:rsidRPr="00A4255D" w:rsidRDefault="005D77A7" w:rsidP="005D77A7">
      <w:pPr>
        <w:tabs>
          <w:tab w:val="clear" w:pos="850"/>
          <w:tab w:val="clear" w:pos="1191"/>
          <w:tab w:val="clear" w:pos="1531"/>
        </w:tabs>
        <w:spacing w:after="120"/>
        <w:ind w:left="567" w:hanging="283"/>
        <w:rPr>
          <w:rFonts w:asciiTheme="minorHAnsi" w:hAnsiTheme="minorHAnsi"/>
        </w:rPr>
      </w:pPr>
      <w:r>
        <w:rPr>
          <w:rFonts w:asciiTheme="minorHAnsi" w:hAnsiTheme="minorHAnsi"/>
        </w:rPr>
        <w:t>•</w:t>
      </w:r>
      <w:r>
        <w:rPr>
          <w:rFonts w:asciiTheme="minorHAnsi" w:hAnsiTheme="minorHAnsi"/>
        </w:rPr>
        <w:tab/>
      </w:r>
      <w:r w:rsidRPr="00A4255D">
        <w:rPr>
          <w:rFonts w:asciiTheme="minorHAnsi" w:hAnsiTheme="minorHAnsi"/>
        </w:rPr>
        <w:t xml:space="preserve">Identified individuals </w:t>
      </w:r>
      <w:r w:rsidR="00DA1848">
        <w:rPr>
          <w:rFonts w:asciiTheme="minorHAnsi" w:hAnsiTheme="minorHAnsi"/>
        </w:rPr>
        <w:t xml:space="preserve">and </w:t>
      </w:r>
      <w:r w:rsidRPr="00A4255D">
        <w:rPr>
          <w:rFonts w:asciiTheme="minorHAnsi" w:hAnsiTheme="minorHAnsi"/>
        </w:rPr>
        <w:t xml:space="preserve">teams </w:t>
      </w:r>
      <w:r w:rsidR="00DA1848">
        <w:rPr>
          <w:rFonts w:asciiTheme="minorHAnsi" w:hAnsiTheme="minorHAnsi"/>
        </w:rPr>
        <w:t xml:space="preserve">are </w:t>
      </w:r>
      <w:r w:rsidRPr="00A4255D">
        <w:rPr>
          <w:rFonts w:asciiTheme="minorHAnsi" w:hAnsiTheme="minorHAnsi"/>
        </w:rPr>
        <w:t>responsible and accountable for the achievement of performance goals</w:t>
      </w:r>
      <w:r>
        <w:rPr>
          <w:rFonts w:asciiTheme="minorHAnsi" w:hAnsiTheme="minorHAnsi"/>
        </w:rPr>
        <w:t>.</w:t>
      </w:r>
    </w:p>
    <w:p w:rsidR="005D77A7" w:rsidRPr="00A4255D" w:rsidRDefault="00C67491" w:rsidP="005D77A7">
      <w:pPr>
        <w:tabs>
          <w:tab w:val="clear" w:pos="850"/>
          <w:tab w:val="clear" w:pos="1191"/>
          <w:tab w:val="clear" w:pos="1531"/>
        </w:tabs>
        <w:spacing w:after="120"/>
        <w:ind w:left="567" w:hanging="283"/>
        <w:rPr>
          <w:rFonts w:asciiTheme="minorHAnsi" w:hAnsiTheme="minorHAnsi"/>
        </w:rPr>
      </w:pPr>
      <w:r>
        <w:rPr>
          <w:rFonts w:asciiTheme="minorHAnsi" w:hAnsiTheme="minorHAnsi"/>
        </w:rPr>
        <w:t>•</w:t>
      </w:r>
      <w:r>
        <w:rPr>
          <w:rFonts w:asciiTheme="minorHAnsi" w:hAnsiTheme="minorHAnsi"/>
        </w:rPr>
        <w:tab/>
      </w:r>
      <w:r w:rsidR="005D77A7" w:rsidRPr="00A4255D">
        <w:rPr>
          <w:rFonts w:asciiTheme="minorHAnsi" w:hAnsiTheme="minorHAnsi"/>
        </w:rPr>
        <w:t xml:space="preserve">Responses to </w:t>
      </w:r>
      <w:r w:rsidR="00A2606F">
        <w:rPr>
          <w:rFonts w:asciiTheme="minorHAnsi" w:hAnsiTheme="minorHAnsi"/>
        </w:rPr>
        <w:t xml:space="preserve">programme </w:t>
      </w:r>
      <w:r w:rsidR="005D77A7" w:rsidRPr="00A4255D">
        <w:rPr>
          <w:rFonts w:asciiTheme="minorHAnsi" w:hAnsiTheme="minorHAnsi"/>
        </w:rPr>
        <w:t xml:space="preserve">performance emphasise </w:t>
      </w:r>
      <w:r w:rsidR="00A2606F">
        <w:rPr>
          <w:rFonts w:asciiTheme="minorHAnsi" w:hAnsiTheme="minorHAnsi"/>
        </w:rPr>
        <w:t xml:space="preserve">recognition of successes, </w:t>
      </w:r>
      <w:r w:rsidR="005D77A7" w:rsidRPr="00A4255D">
        <w:rPr>
          <w:rFonts w:asciiTheme="minorHAnsi" w:hAnsiTheme="minorHAnsi"/>
        </w:rPr>
        <w:t>learning and problem solving</w:t>
      </w:r>
      <w:r w:rsidR="00A2606F">
        <w:rPr>
          <w:rFonts w:asciiTheme="minorHAnsi" w:hAnsiTheme="minorHAnsi"/>
        </w:rPr>
        <w:t xml:space="preserve"> in respect of under-achievement</w:t>
      </w:r>
      <w:r w:rsidR="005D77A7" w:rsidRPr="00A4255D">
        <w:rPr>
          <w:rFonts w:asciiTheme="minorHAnsi" w:hAnsiTheme="minorHAnsi"/>
        </w:rPr>
        <w:t xml:space="preserve">, rather than </w:t>
      </w:r>
      <w:r w:rsidR="00A2606F">
        <w:rPr>
          <w:rFonts w:asciiTheme="minorHAnsi" w:hAnsiTheme="minorHAnsi"/>
        </w:rPr>
        <w:t xml:space="preserve">automatic financial rewards or </w:t>
      </w:r>
      <w:r w:rsidR="005D77A7">
        <w:rPr>
          <w:rFonts w:asciiTheme="minorHAnsi" w:hAnsiTheme="minorHAnsi"/>
        </w:rPr>
        <w:t>budget cuts.</w:t>
      </w:r>
    </w:p>
    <w:p w:rsidR="005D77A7" w:rsidRPr="00A4255D" w:rsidRDefault="005D77A7" w:rsidP="005D77A7">
      <w:pPr>
        <w:tabs>
          <w:tab w:val="clear" w:pos="850"/>
          <w:tab w:val="clear" w:pos="1191"/>
          <w:tab w:val="clear" w:pos="1531"/>
        </w:tabs>
        <w:spacing w:after="120"/>
        <w:ind w:left="567" w:hanging="283"/>
        <w:rPr>
          <w:rFonts w:asciiTheme="minorHAnsi" w:hAnsiTheme="minorHAnsi"/>
        </w:rPr>
      </w:pPr>
      <w:r>
        <w:rPr>
          <w:rFonts w:asciiTheme="minorHAnsi" w:hAnsiTheme="minorHAnsi"/>
        </w:rPr>
        <w:t>•</w:t>
      </w:r>
      <w:r>
        <w:rPr>
          <w:rFonts w:asciiTheme="minorHAnsi" w:hAnsiTheme="minorHAnsi"/>
        </w:rPr>
        <w:tab/>
      </w:r>
      <w:r w:rsidRPr="00A4255D">
        <w:rPr>
          <w:rFonts w:asciiTheme="minorHAnsi" w:hAnsiTheme="minorHAnsi"/>
        </w:rPr>
        <w:t xml:space="preserve">The centre of government </w:t>
      </w:r>
      <w:r w:rsidR="00DA1848">
        <w:rPr>
          <w:rFonts w:asciiTheme="minorHAnsi" w:hAnsiTheme="minorHAnsi"/>
        </w:rPr>
        <w:t xml:space="preserve">promotes </w:t>
      </w:r>
      <w:r w:rsidR="0072504F">
        <w:rPr>
          <w:rFonts w:asciiTheme="minorHAnsi" w:hAnsiTheme="minorHAnsi"/>
        </w:rPr>
        <w:t xml:space="preserve">a broader </w:t>
      </w:r>
      <w:r w:rsidRPr="00A4255D">
        <w:rPr>
          <w:rFonts w:asciiTheme="minorHAnsi" w:hAnsiTheme="minorHAnsi"/>
        </w:rPr>
        <w:t xml:space="preserve">performance </w:t>
      </w:r>
      <w:r w:rsidR="0072504F">
        <w:rPr>
          <w:rFonts w:asciiTheme="minorHAnsi" w:hAnsiTheme="minorHAnsi"/>
        </w:rPr>
        <w:t>management culture that supports performance budgeting</w:t>
      </w:r>
      <w:r>
        <w:rPr>
          <w:rFonts w:asciiTheme="minorHAnsi" w:hAnsiTheme="minorHAnsi"/>
        </w:rPr>
        <w:t>.</w:t>
      </w:r>
    </w:p>
    <w:p w:rsidR="00714563" w:rsidRDefault="009B2A1A" w:rsidP="00A4255D">
      <w:pPr>
        <w:pStyle w:val="Heading1"/>
      </w:pPr>
      <w:r>
        <w:fldChar w:fldCharType="begin"/>
      </w:r>
      <w:r>
        <w:instrText xml:space="preserve"> MACROBUTTON NUMBERING </w:instrText>
      </w:r>
      <w:r>
        <w:fldChar w:fldCharType="end"/>
      </w:r>
      <w:r w:rsidR="00714563">
        <w:br w:type="page"/>
      </w:r>
    </w:p>
    <w:p w:rsidR="00660117" w:rsidRDefault="00660117" w:rsidP="00A4255D">
      <w:pPr>
        <w:pStyle w:val="Heading1"/>
        <w:rPr>
          <w:color w:val="1E63AE"/>
        </w:rPr>
      </w:pPr>
      <w:r w:rsidRPr="001F3F9F">
        <w:rPr>
          <w:color w:val="1E63AE"/>
        </w:rPr>
        <w:lastRenderedPageBreak/>
        <w:t>INTRODUCTION</w:t>
      </w:r>
    </w:p>
    <w:p w:rsidR="009B2A1A" w:rsidRPr="00002EE1" w:rsidRDefault="009B2A1A" w:rsidP="009B2A1A">
      <w:pPr>
        <w:pStyle w:val="Num-DocParagraph"/>
        <w:rPr>
          <w:rFonts w:asciiTheme="minorHAnsi" w:hAnsiTheme="minorHAnsi"/>
          <w:b/>
        </w:rPr>
      </w:pPr>
      <w:r w:rsidRPr="00002EE1">
        <w:rPr>
          <w:rFonts w:asciiTheme="minorHAnsi" w:hAnsiTheme="minorHAnsi"/>
          <w:b/>
        </w:rPr>
        <w:t>What is Performance Budgeting</w:t>
      </w:r>
      <w:r w:rsidR="006366AC" w:rsidRPr="00002EE1">
        <w:rPr>
          <w:rFonts w:asciiTheme="minorHAnsi" w:hAnsiTheme="minorHAnsi"/>
          <w:b/>
        </w:rPr>
        <w:t>?</w:t>
      </w:r>
    </w:p>
    <w:p w:rsidR="009B2A1A" w:rsidRDefault="009B2A1A" w:rsidP="007F027C">
      <w:pPr>
        <w:pStyle w:val="BodyText"/>
        <w:spacing w:after="120"/>
        <w:ind w:firstLine="567"/>
        <w:rPr>
          <w:rFonts w:asciiTheme="minorHAnsi" w:hAnsiTheme="minorHAnsi"/>
        </w:rPr>
      </w:pPr>
      <w:r w:rsidRPr="00A4255D">
        <w:rPr>
          <w:rFonts w:asciiTheme="minorHAnsi" w:hAnsiTheme="minorHAnsi"/>
        </w:rPr>
        <w:t xml:space="preserve">Performance budgeting is a </w:t>
      </w:r>
      <w:r w:rsidR="00295F61">
        <w:rPr>
          <w:rFonts w:asciiTheme="minorHAnsi" w:hAnsiTheme="minorHAnsi"/>
        </w:rPr>
        <w:t xml:space="preserve">somewhat diffuse </w:t>
      </w:r>
      <w:r w:rsidRPr="00A4255D">
        <w:rPr>
          <w:rFonts w:asciiTheme="minorHAnsi" w:hAnsiTheme="minorHAnsi"/>
        </w:rPr>
        <w:t>concept</w:t>
      </w:r>
      <w:r w:rsidR="00061356">
        <w:rPr>
          <w:rFonts w:asciiTheme="minorHAnsi" w:hAnsiTheme="minorHAnsi"/>
        </w:rPr>
        <w:t>, with no single agreed definition</w:t>
      </w:r>
      <w:r w:rsidRPr="00A4255D">
        <w:rPr>
          <w:rFonts w:asciiTheme="minorHAnsi" w:hAnsiTheme="minorHAnsi"/>
        </w:rPr>
        <w:t xml:space="preserve">. </w:t>
      </w:r>
      <w:r w:rsidR="00061356">
        <w:rPr>
          <w:rFonts w:asciiTheme="minorHAnsi" w:hAnsiTheme="minorHAnsi"/>
        </w:rPr>
        <w:t>A performance budget can be defined broadly as</w:t>
      </w:r>
      <w:r w:rsidR="00832D89">
        <w:rPr>
          <w:rFonts w:asciiTheme="minorHAnsi" w:hAnsiTheme="minorHAnsi"/>
        </w:rPr>
        <w:t xml:space="preserve"> </w:t>
      </w:r>
      <w:r w:rsidR="00902CDA" w:rsidRPr="00A6104B">
        <w:rPr>
          <w:rFonts w:asciiTheme="minorHAnsi" w:hAnsiTheme="minorHAnsi"/>
        </w:rPr>
        <w:t>“</w:t>
      </w:r>
      <w:r w:rsidR="00061356" w:rsidRPr="00A6104B">
        <w:rPr>
          <w:rFonts w:asciiTheme="minorHAnsi" w:hAnsiTheme="minorHAnsi"/>
        </w:rPr>
        <w:t xml:space="preserve">any </w:t>
      </w:r>
      <w:r w:rsidRPr="00A6104B">
        <w:rPr>
          <w:rFonts w:asciiTheme="minorHAnsi" w:hAnsiTheme="minorHAnsi"/>
        </w:rPr>
        <w:t>budget that represents information on what agencies have done or expect to do with the money provided to them”</w:t>
      </w:r>
      <w:r w:rsidR="00061356" w:rsidRPr="00A6104B">
        <w:rPr>
          <w:rFonts w:asciiTheme="minorHAnsi" w:hAnsiTheme="minorHAnsi"/>
        </w:rPr>
        <w:t xml:space="preserve"> (Schick)</w:t>
      </w:r>
      <w:r w:rsidRPr="00A6104B">
        <w:rPr>
          <w:rFonts w:asciiTheme="minorHAnsi" w:hAnsiTheme="minorHAnsi"/>
        </w:rPr>
        <w:t xml:space="preserve">. The </w:t>
      </w:r>
      <w:r w:rsidR="00061356" w:rsidRPr="00A6104B">
        <w:rPr>
          <w:rFonts w:asciiTheme="minorHAnsi" w:hAnsiTheme="minorHAnsi"/>
        </w:rPr>
        <w:t xml:space="preserve">OECD </w:t>
      </w:r>
      <w:r w:rsidR="00F17D78" w:rsidRPr="00A6104B">
        <w:rPr>
          <w:rFonts w:asciiTheme="minorHAnsi" w:hAnsiTheme="minorHAnsi"/>
        </w:rPr>
        <w:t>has a longer working definition</w:t>
      </w:r>
      <w:r w:rsidRPr="00A6104B">
        <w:rPr>
          <w:rFonts w:asciiTheme="minorHAnsi" w:hAnsiTheme="minorHAnsi"/>
        </w:rPr>
        <w:t xml:space="preserve">, used in this paper, </w:t>
      </w:r>
      <w:r w:rsidR="00F17D78" w:rsidRPr="00A6104B">
        <w:rPr>
          <w:rFonts w:asciiTheme="minorHAnsi" w:hAnsiTheme="minorHAnsi"/>
        </w:rPr>
        <w:t xml:space="preserve">which states that </w:t>
      </w:r>
      <w:r w:rsidRPr="00A6104B">
        <w:rPr>
          <w:rFonts w:asciiTheme="minorHAnsi" w:hAnsiTheme="minorHAnsi"/>
        </w:rPr>
        <w:t>performance budgeting is</w:t>
      </w:r>
      <w:r w:rsidR="00832D89" w:rsidRPr="00A6104B">
        <w:rPr>
          <w:rFonts w:asciiTheme="minorHAnsi" w:hAnsiTheme="minorHAnsi"/>
        </w:rPr>
        <w:t xml:space="preserve"> </w:t>
      </w:r>
      <w:r w:rsidRPr="00A6104B">
        <w:rPr>
          <w:rFonts w:asciiTheme="minorHAnsi" w:hAnsiTheme="minorHAnsi"/>
        </w:rPr>
        <w:t>“the use of performance information to inform budget decisions whether as a direct input to budget allocation decisions or as contextual information and/or inputs to budget planning, as well as to instil greater transparency and accountability throughout the budget process, by providing information to the public on performance objectives and results”.</w:t>
      </w:r>
    </w:p>
    <w:p w:rsidR="00A6104B" w:rsidRPr="00A6104B" w:rsidRDefault="00A6104B" w:rsidP="007F027C">
      <w:pPr>
        <w:pStyle w:val="BodyText"/>
        <w:spacing w:after="120"/>
        <w:ind w:firstLine="567"/>
        <w:rPr>
          <w:rFonts w:asciiTheme="minorHAnsi" w:hAnsiTheme="minorHAnsi"/>
        </w:rPr>
      </w:pPr>
      <w:r>
        <w:rPr>
          <w:rFonts w:asciiTheme="minorHAnsi" w:hAnsiTheme="minorHAnsi"/>
        </w:rPr>
        <w:t xml:space="preserve">The Best Practices </w:t>
      </w:r>
      <w:r w:rsidRPr="003C09B7">
        <w:rPr>
          <w:rFonts w:asciiTheme="minorHAnsi" w:hAnsiTheme="minorHAnsi"/>
        </w:rPr>
        <w:t>refer to the core budget processes of budget formulation, budget execution, monitor</w:t>
      </w:r>
      <w:r w:rsidR="00002EE1">
        <w:rPr>
          <w:rFonts w:asciiTheme="minorHAnsi" w:hAnsiTheme="minorHAnsi"/>
        </w:rPr>
        <w:t xml:space="preserve">ing and reporting. </w:t>
      </w:r>
      <w:r>
        <w:rPr>
          <w:rFonts w:asciiTheme="minorHAnsi" w:hAnsiTheme="minorHAnsi"/>
        </w:rPr>
        <w:t>Although ex-</w:t>
      </w:r>
      <w:r w:rsidRPr="003C09B7">
        <w:rPr>
          <w:rFonts w:asciiTheme="minorHAnsi" w:hAnsiTheme="minorHAnsi"/>
        </w:rPr>
        <w:t xml:space="preserve">ante policy impact assessment, spending reviews and </w:t>
      </w:r>
      <w:r>
        <w:rPr>
          <w:rFonts w:asciiTheme="minorHAnsi" w:hAnsiTheme="minorHAnsi"/>
        </w:rPr>
        <w:t xml:space="preserve">programme </w:t>
      </w:r>
      <w:r w:rsidRPr="003C09B7">
        <w:rPr>
          <w:rFonts w:asciiTheme="minorHAnsi" w:hAnsiTheme="minorHAnsi"/>
        </w:rPr>
        <w:t>evaluations are commonly included within the broadest definitions of performance budgeting they are not covered by these best practices.</w:t>
      </w:r>
    </w:p>
    <w:p w:rsidR="00042D87" w:rsidRDefault="00F17D78" w:rsidP="00002EE1">
      <w:pPr>
        <w:pStyle w:val="BodyText"/>
        <w:spacing w:after="120"/>
        <w:ind w:firstLine="567"/>
        <w:rPr>
          <w:rFonts w:asciiTheme="minorHAnsi" w:hAnsiTheme="minorHAnsi"/>
        </w:rPr>
      </w:pPr>
      <w:r>
        <w:rPr>
          <w:rFonts w:asciiTheme="minorHAnsi" w:hAnsiTheme="minorHAnsi"/>
        </w:rPr>
        <w:t>The adoption of p</w:t>
      </w:r>
      <w:r w:rsidR="009B2A1A" w:rsidRPr="00A4255D">
        <w:rPr>
          <w:rFonts w:asciiTheme="minorHAnsi" w:hAnsiTheme="minorHAnsi"/>
        </w:rPr>
        <w:t xml:space="preserve">erformance budgeting </w:t>
      </w:r>
      <w:r w:rsidR="00061356">
        <w:rPr>
          <w:rFonts w:asciiTheme="minorHAnsi" w:hAnsiTheme="minorHAnsi"/>
        </w:rPr>
        <w:t>implies a</w:t>
      </w:r>
      <w:r w:rsidR="009B2A1A" w:rsidRPr="00A4255D">
        <w:rPr>
          <w:rFonts w:asciiTheme="minorHAnsi" w:hAnsiTheme="minorHAnsi"/>
        </w:rPr>
        <w:t xml:space="preserve"> </w:t>
      </w:r>
      <w:r w:rsidR="00061356">
        <w:rPr>
          <w:rFonts w:asciiTheme="minorHAnsi" w:hAnsiTheme="minorHAnsi"/>
        </w:rPr>
        <w:t xml:space="preserve">shift in </w:t>
      </w:r>
      <w:r w:rsidR="00B33E4D">
        <w:rPr>
          <w:rFonts w:asciiTheme="minorHAnsi" w:hAnsiTheme="minorHAnsi"/>
        </w:rPr>
        <w:t>the focus of budgeting</w:t>
      </w:r>
      <w:r w:rsidR="00061356">
        <w:rPr>
          <w:rFonts w:asciiTheme="minorHAnsi" w:hAnsiTheme="minorHAnsi"/>
        </w:rPr>
        <w:t>, away</w:t>
      </w:r>
      <w:r w:rsidR="009B2A1A" w:rsidRPr="00A4255D">
        <w:rPr>
          <w:rFonts w:asciiTheme="minorHAnsi" w:hAnsiTheme="minorHAnsi"/>
        </w:rPr>
        <w:t xml:space="preserve"> from management of inputs</w:t>
      </w:r>
      <w:r w:rsidR="00061356">
        <w:rPr>
          <w:rFonts w:asciiTheme="minorHAnsi" w:hAnsiTheme="minorHAnsi"/>
        </w:rPr>
        <w:t xml:space="preserve"> and </w:t>
      </w:r>
      <w:r w:rsidR="009B2A1A" w:rsidRPr="00A4255D">
        <w:rPr>
          <w:rFonts w:asciiTheme="minorHAnsi" w:hAnsiTheme="minorHAnsi"/>
        </w:rPr>
        <w:t>to</w:t>
      </w:r>
      <w:r w:rsidR="00061356">
        <w:rPr>
          <w:rFonts w:asciiTheme="minorHAnsi" w:hAnsiTheme="minorHAnsi"/>
        </w:rPr>
        <w:t>wards</w:t>
      </w:r>
      <w:r w:rsidR="009B2A1A" w:rsidRPr="00A4255D">
        <w:rPr>
          <w:rFonts w:asciiTheme="minorHAnsi" w:hAnsiTheme="minorHAnsi"/>
        </w:rPr>
        <w:t xml:space="preserve"> </w:t>
      </w:r>
      <w:r w:rsidR="00061356">
        <w:rPr>
          <w:rFonts w:asciiTheme="minorHAnsi" w:hAnsiTheme="minorHAnsi"/>
        </w:rPr>
        <w:t xml:space="preserve">a focus on </w:t>
      </w:r>
      <w:r w:rsidR="009B2A1A" w:rsidRPr="00A4255D">
        <w:rPr>
          <w:rFonts w:asciiTheme="minorHAnsi" w:hAnsiTheme="minorHAnsi"/>
        </w:rPr>
        <w:t xml:space="preserve">the results of spending and the achievement of policy objectives.  </w:t>
      </w:r>
      <w:r w:rsidR="00295F61">
        <w:rPr>
          <w:rFonts w:asciiTheme="minorHAnsi" w:hAnsiTheme="minorHAnsi"/>
        </w:rPr>
        <w:t xml:space="preserve">This </w:t>
      </w:r>
      <w:r>
        <w:rPr>
          <w:rFonts w:asciiTheme="minorHAnsi" w:hAnsiTheme="minorHAnsi"/>
        </w:rPr>
        <w:t xml:space="preserve">represents </w:t>
      </w:r>
      <w:r w:rsidR="00295F61">
        <w:rPr>
          <w:rFonts w:asciiTheme="minorHAnsi" w:hAnsiTheme="minorHAnsi"/>
        </w:rPr>
        <w:t xml:space="preserve">a profound change in the character of the budget process, </w:t>
      </w:r>
      <w:r w:rsidR="000251B6">
        <w:rPr>
          <w:rFonts w:asciiTheme="minorHAnsi" w:hAnsiTheme="minorHAnsi"/>
        </w:rPr>
        <w:t>from</w:t>
      </w:r>
      <w:r w:rsidR="00295F61">
        <w:rPr>
          <w:rFonts w:asciiTheme="minorHAnsi" w:hAnsiTheme="minorHAnsi"/>
        </w:rPr>
        <w:t xml:space="preserve"> a traditionally </w:t>
      </w:r>
      <w:r w:rsidR="00B33E4D">
        <w:rPr>
          <w:rFonts w:asciiTheme="minorHAnsi" w:hAnsiTheme="minorHAnsi"/>
        </w:rPr>
        <w:t xml:space="preserve">closed </w:t>
      </w:r>
      <w:r w:rsidR="00295F61">
        <w:rPr>
          <w:rFonts w:asciiTheme="minorHAnsi" w:hAnsiTheme="minorHAnsi"/>
        </w:rPr>
        <w:t>domain of budget specialists</w:t>
      </w:r>
      <w:r w:rsidR="003C09B7">
        <w:rPr>
          <w:rFonts w:asciiTheme="minorHAnsi" w:hAnsiTheme="minorHAnsi"/>
        </w:rPr>
        <w:t xml:space="preserve">, </w:t>
      </w:r>
      <w:r w:rsidR="00295F61">
        <w:rPr>
          <w:rFonts w:asciiTheme="minorHAnsi" w:hAnsiTheme="minorHAnsi"/>
        </w:rPr>
        <w:t xml:space="preserve">focused on </w:t>
      </w:r>
      <w:r w:rsidR="00B33E4D">
        <w:rPr>
          <w:rFonts w:asciiTheme="minorHAnsi" w:hAnsiTheme="minorHAnsi"/>
        </w:rPr>
        <w:t xml:space="preserve">the </w:t>
      </w:r>
      <w:r w:rsidR="00295F61">
        <w:rPr>
          <w:rFonts w:asciiTheme="minorHAnsi" w:hAnsiTheme="minorHAnsi"/>
        </w:rPr>
        <w:t xml:space="preserve">numbers, to </w:t>
      </w:r>
      <w:r w:rsidR="00B33E4D">
        <w:rPr>
          <w:rFonts w:asciiTheme="minorHAnsi" w:hAnsiTheme="minorHAnsi"/>
        </w:rPr>
        <w:t>a</w:t>
      </w:r>
      <w:r w:rsidR="0036560A">
        <w:rPr>
          <w:rFonts w:asciiTheme="minorHAnsi" w:hAnsiTheme="minorHAnsi"/>
        </w:rPr>
        <w:t xml:space="preserve"> </w:t>
      </w:r>
      <w:r w:rsidR="00295F61">
        <w:rPr>
          <w:rFonts w:asciiTheme="minorHAnsi" w:hAnsiTheme="minorHAnsi"/>
        </w:rPr>
        <w:t>more accessible</w:t>
      </w:r>
      <w:r w:rsidR="0036560A">
        <w:rPr>
          <w:rFonts w:asciiTheme="minorHAnsi" w:hAnsiTheme="minorHAnsi"/>
        </w:rPr>
        <w:t>, transparent and multi-disciplinary</w:t>
      </w:r>
      <w:r w:rsidR="00B33E4D">
        <w:rPr>
          <w:rFonts w:asciiTheme="minorHAnsi" w:hAnsiTheme="minorHAnsi"/>
        </w:rPr>
        <w:t xml:space="preserve"> exercise, with greater involvement by the centre of government, line ministries and the legislature</w:t>
      </w:r>
      <w:r w:rsidR="007344DA">
        <w:rPr>
          <w:rFonts w:asciiTheme="minorHAnsi" w:hAnsiTheme="minorHAnsi"/>
        </w:rPr>
        <w:t>.</w:t>
      </w:r>
      <w:r w:rsidR="00002EE1">
        <w:rPr>
          <w:rFonts w:asciiTheme="minorHAnsi" w:hAnsiTheme="minorHAnsi"/>
        </w:rPr>
        <w:t xml:space="preserve"> </w:t>
      </w:r>
      <w:r w:rsidR="00042D87">
        <w:rPr>
          <w:rFonts w:asciiTheme="minorHAnsi" w:hAnsiTheme="minorHAnsi"/>
        </w:rPr>
        <w:t xml:space="preserve">Characteristic elements of </w:t>
      </w:r>
      <w:r w:rsidR="00832D89">
        <w:rPr>
          <w:rFonts w:asciiTheme="minorHAnsi" w:hAnsiTheme="minorHAnsi"/>
        </w:rPr>
        <w:t xml:space="preserve">a </w:t>
      </w:r>
      <w:r w:rsidR="009B2A1A" w:rsidRPr="00A4255D">
        <w:rPr>
          <w:rFonts w:asciiTheme="minorHAnsi" w:hAnsiTheme="minorHAnsi"/>
        </w:rPr>
        <w:t xml:space="preserve">performance budgeting system </w:t>
      </w:r>
      <w:r w:rsidR="00042D87">
        <w:rPr>
          <w:rFonts w:asciiTheme="minorHAnsi" w:hAnsiTheme="minorHAnsi"/>
        </w:rPr>
        <w:t>are</w:t>
      </w:r>
      <w:r w:rsidR="005F40A5">
        <w:rPr>
          <w:rFonts w:asciiTheme="minorHAnsi" w:hAnsiTheme="minorHAnsi"/>
        </w:rPr>
        <w:t xml:space="preserve"> the following</w:t>
      </w:r>
      <w:r w:rsidR="00042D87">
        <w:rPr>
          <w:rFonts w:asciiTheme="minorHAnsi" w:hAnsiTheme="minorHAnsi"/>
        </w:rPr>
        <w:t xml:space="preserve">: </w:t>
      </w:r>
    </w:p>
    <w:p w:rsidR="00902CDA" w:rsidRDefault="00902CDA" w:rsidP="007F027C">
      <w:pPr>
        <w:pStyle w:val="BodyText"/>
        <w:numPr>
          <w:ilvl w:val="0"/>
          <w:numId w:val="28"/>
        </w:numPr>
        <w:tabs>
          <w:tab w:val="clear" w:pos="850"/>
          <w:tab w:val="clear" w:pos="1191"/>
          <w:tab w:val="clear" w:pos="1531"/>
          <w:tab w:val="left" w:pos="851"/>
        </w:tabs>
        <w:spacing w:after="120"/>
        <w:ind w:left="851" w:hanging="284"/>
        <w:rPr>
          <w:rFonts w:asciiTheme="minorHAnsi" w:hAnsiTheme="minorHAnsi"/>
        </w:rPr>
      </w:pPr>
      <w:r>
        <w:rPr>
          <w:rFonts w:asciiTheme="minorHAnsi" w:hAnsiTheme="minorHAnsi"/>
        </w:rPr>
        <w:t>In the preparation of the budget, spending decisions take account of priority objectives a</w:t>
      </w:r>
      <w:r w:rsidR="00A83584">
        <w:rPr>
          <w:rFonts w:asciiTheme="minorHAnsi" w:hAnsiTheme="minorHAnsi"/>
        </w:rPr>
        <w:t xml:space="preserve">s well as </w:t>
      </w:r>
      <w:r w:rsidR="0063196B">
        <w:rPr>
          <w:rFonts w:asciiTheme="minorHAnsi" w:hAnsiTheme="minorHAnsi"/>
        </w:rPr>
        <w:t xml:space="preserve">past </w:t>
      </w:r>
      <w:r w:rsidR="003B33CC">
        <w:rPr>
          <w:rFonts w:asciiTheme="minorHAnsi" w:hAnsiTheme="minorHAnsi"/>
        </w:rPr>
        <w:t>programme</w:t>
      </w:r>
      <w:r w:rsidR="00DA0272">
        <w:rPr>
          <w:rFonts w:asciiTheme="minorHAnsi" w:hAnsiTheme="minorHAnsi"/>
        </w:rPr>
        <w:t xml:space="preserve"> </w:t>
      </w:r>
      <w:r w:rsidR="0063196B">
        <w:rPr>
          <w:rFonts w:asciiTheme="minorHAnsi" w:hAnsiTheme="minorHAnsi"/>
        </w:rPr>
        <w:t>performance</w:t>
      </w:r>
    </w:p>
    <w:p w:rsidR="00042D87" w:rsidRPr="00902CDA" w:rsidRDefault="00042D87" w:rsidP="007F027C">
      <w:pPr>
        <w:pStyle w:val="BodyText"/>
        <w:numPr>
          <w:ilvl w:val="0"/>
          <w:numId w:val="28"/>
        </w:numPr>
        <w:tabs>
          <w:tab w:val="clear" w:pos="850"/>
          <w:tab w:val="clear" w:pos="1191"/>
          <w:tab w:val="clear" w:pos="1531"/>
          <w:tab w:val="left" w:pos="851"/>
        </w:tabs>
        <w:spacing w:after="120"/>
        <w:ind w:left="851" w:hanging="284"/>
        <w:rPr>
          <w:rFonts w:asciiTheme="minorHAnsi" w:hAnsiTheme="minorHAnsi"/>
        </w:rPr>
      </w:pPr>
      <w:r w:rsidRPr="00902CDA">
        <w:rPr>
          <w:rFonts w:asciiTheme="minorHAnsi" w:hAnsiTheme="minorHAnsi"/>
        </w:rPr>
        <w:t xml:space="preserve">The budget is presented </w:t>
      </w:r>
      <w:r w:rsidR="00B33E4D">
        <w:rPr>
          <w:rFonts w:asciiTheme="minorHAnsi" w:hAnsiTheme="minorHAnsi"/>
        </w:rPr>
        <w:t xml:space="preserve">to the legislature </w:t>
      </w:r>
      <w:r w:rsidRPr="00902CDA">
        <w:rPr>
          <w:rFonts w:asciiTheme="minorHAnsi" w:hAnsiTheme="minorHAnsi"/>
        </w:rPr>
        <w:t xml:space="preserve">as a set of </w:t>
      </w:r>
      <w:r w:rsidR="0090328E">
        <w:rPr>
          <w:rFonts w:asciiTheme="minorHAnsi" w:hAnsiTheme="minorHAnsi"/>
        </w:rPr>
        <w:t>programmes</w:t>
      </w:r>
      <w:r w:rsidRPr="00902CDA">
        <w:rPr>
          <w:rFonts w:asciiTheme="minorHAnsi" w:hAnsiTheme="minorHAnsi"/>
        </w:rPr>
        <w:t xml:space="preserve">. This may be </w:t>
      </w:r>
      <w:r w:rsidR="00A83584">
        <w:rPr>
          <w:rFonts w:asciiTheme="minorHAnsi" w:hAnsiTheme="minorHAnsi"/>
        </w:rPr>
        <w:t xml:space="preserve">in addition to, </w:t>
      </w:r>
      <w:r w:rsidRPr="00902CDA">
        <w:rPr>
          <w:rFonts w:asciiTheme="minorHAnsi" w:hAnsiTheme="minorHAnsi"/>
        </w:rPr>
        <w:t>or replac</w:t>
      </w:r>
      <w:r w:rsidR="00A83584">
        <w:rPr>
          <w:rFonts w:asciiTheme="minorHAnsi" w:hAnsiTheme="minorHAnsi"/>
        </w:rPr>
        <w:t>e</w:t>
      </w:r>
      <w:r w:rsidRPr="00902CDA">
        <w:rPr>
          <w:rFonts w:asciiTheme="minorHAnsi" w:hAnsiTheme="minorHAnsi"/>
        </w:rPr>
        <w:t xml:space="preserve">, presentation based on </w:t>
      </w:r>
      <w:r w:rsidR="00A83584">
        <w:rPr>
          <w:rFonts w:asciiTheme="minorHAnsi" w:hAnsiTheme="minorHAnsi"/>
        </w:rPr>
        <w:t xml:space="preserve">administrative and </w:t>
      </w:r>
      <w:r w:rsidRPr="00902CDA">
        <w:rPr>
          <w:rFonts w:asciiTheme="minorHAnsi" w:hAnsiTheme="minorHAnsi"/>
        </w:rPr>
        <w:t>economic classification</w:t>
      </w:r>
      <w:r w:rsidR="00C93453">
        <w:rPr>
          <w:rFonts w:asciiTheme="minorHAnsi" w:hAnsiTheme="minorHAnsi"/>
        </w:rPr>
        <w:t>;</w:t>
      </w:r>
    </w:p>
    <w:p w:rsidR="00042D87" w:rsidRDefault="00042D87" w:rsidP="007F027C">
      <w:pPr>
        <w:pStyle w:val="BodyText"/>
        <w:numPr>
          <w:ilvl w:val="0"/>
          <w:numId w:val="28"/>
        </w:numPr>
        <w:tabs>
          <w:tab w:val="clear" w:pos="850"/>
          <w:tab w:val="clear" w:pos="1191"/>
          <w:tab w:val="clear" w:pos="1531"/>
          <w:tab w:val="left" w:pos="851"/>
        </w:tabs>
        <w:spacing w:after="120"/>
        <w:ind w:left="851" w:hanging="284"/>
        <w:rPr>
          <w:rFonts w:asciiTheme="minorHAnsi" w:hAnsiTheme="minorHAnsi"/>
        </w:rPr>
      </w:pPr>
      <w:r>
        <w:rPr>
          <w:rFonts w:asciiTheme="minorHAnsi" w:hAnsiTheme="minorHAnsi"/>
        </w:rPr>
        <w:t>Non-financial</w:t>
      </w:r>
      <w:r w:rsidR="00F17D78">
        <w:rPr>
          <w:rFonts w:asciiTheme="minorHAnsi" w:hAnsiTheme="minorHAnsi"/>
        </w:rPr>
        <w:t xml:space="preserve"> performance indicators and</w:t>
      </w:r>
      <w:r>
        <w:rPr>
          <w:rFonts w:asciiTheme="minorHAnsi" w:hAnsiTheme="minorHAnsi"/>
        </w:rPr>
        <w:t xml:space="preserve"> </w:t>
      </w:r>
      <w:r w:rsidR="00902CDA">
        <w:rPr>
          <w:rFonts w:asciiTheme="minorHAnsi" w:hAnsiTheme="minorHAnsi"/>
        </w:rPr>
        <w:t xml:space="preserve">targets, representing the </w:t>
      </w:r>
      <w:r>
        <w:rPr>
          <w:rFonts w:asciiTheme="minorHAnsi" w:hAnsiTheme="minorHAnsi"/>
        </w:rPr>
        <w:t xml:space="preserve">planned </w:t>
      </w:r>
      <w:r w:rsidR="00F17D78">
        <w:rPr>
          <w:rFonts w:asciiTheme="minorHAnsi" w:hAnsiTheme="minorHAnsi"/>
        </w:rPr>
        <w:t xml:space="preserve">objectives </w:t>
      </w:r>
      <w:r>
        <w:rPr>
          <w:rFonts w:asciiTheme="minorHAnsi" w:hAnsiTheme="minorHAnsi"/>
        </w:rPr>
        <w:t>of spending</w:t>
      </w:r>
      <w:r w:rsidR="00B33E4D">
        <w:rPr>
          <w:rFonts w:asciiTheme="minorHAnsi" w:hAnsiTheme="minorHAnsi"/>
        </w:rPr>
        <w:t xml:space="preserve"> </w:t>
      </w:r>
      <w:r>
        <w:rPr>
          <w:rFonts w:asciiTheme="minorHAnsi" w:hAnsiTheme="minorHAnsi"/>
        </w:rPr>
        <w:t>are presented in the budget</w:t>
      </w:r>
      <w:r w:rsidR="00F17D78">
        <w:rPr>
          <w:rFonts w:asciiTheme="minorHAnsi" w:hAnsiTheme="minorHAnsi"/>
        </w:rPr>
        <w:t>, and</w:t>
      </w:r>
      <w:r w:rsidR="0063196B">
        <w:rPr>
          <w:rFonts w:asciiTheme="minorHAnsi" w:hAnsiTheme="minorHAnsi"/>
        </w:rPr>
        <w:t xml:space="preserve"> </w:t>
      </w:r>
      <w:r w:rsidR="00902CDA">
        <w:rPr>
          <w:rFonts w:asciiTheme="minorHAnsi" w:hAnsiTheme="minorHAnsi"/>
        </w:rPr>
        <w:t xml:space="preserve">linked to spending </w:t>
      </w:r>
      <w:r w:rsidR="0090328E">
        <w:rPr>
          <w:rFonts w:asciiTheme="minorHAnsi" w:hAnsiTheme="minorHAnsi"/>
        </w:rPr>
        <w:t>programmes</w:t>
      </w:r>
      <w:r w:rsidR="00C93453">
        <w:rPr>
          <w:rFonts w:asciiTheme="minorHAnsi" w:hAnsiTheme="minorHAnsi"/>
        </w:rPr>
        <w:t>;</w:t>
      </w:r>
    </w:p>
    <w:p w:rsidR="00042D87" w:rsidRDefault="00902CDA" w:rsidP="007F027C">
      <w:pPr>
        <w:pStyle w:val="BodyText"/>
        <w:numPr>
          <w:ilvl w:val="0"/>
          <w:numId w:val="28"/>
        </w:numPr>
        <w:tabs>
          <w:tab w:val="clear" w:pos="850"/>
          <w:tab w:val="clear" w:pos="1191"/>
          <w:tab w:val="clear" w:pos="1531"/>
          <w:tab w:val="left" w:pos="851"/>
        </w:tabs>
        <w:spacing w:after="120"/>
        <w:ind w:left="851" w:hanging="284"/>
        <w:rPr>
          <w:rFonts w:asciiTheme="minorHAnsi" w:hAnsiTheme="minorHAnsi"/>
        </w:rPr>
      </w:pPr>
      <w:r>
        <w:rPr>
          <w:rFonts w:asciiTheme="minorHAnsi" w:hAnsiTheme="minorHAnsi"/>
        </w:rPr>
        <w:t>Reports to parliament on budget</w:t>
      </w:r>
      <w:r w:rsidR="00A83584">
        <w:rPr>
          <w:rFonts w:asciiTheme="minorHAnsi" w:hAnsiTheme="minorHAnsi"/>
        </w:rPr>
        <w:t xml:space="preserve"> execution</w:t>
      </w:r>
      <w:r>
        <w:rPr>
          <w:rFonts w:asciiTheme="minorHAnsi" w:hAnsiTheme="minorHAnsi"/>
        </w:rPr>
        <w:t xml:space="preserve"> include performance information and a narrative explaining the reason</w:t>
      </w:r>
      <w:r w:rsidR="00C93453">
        <w:rPr>
          <w:rFonts w:asciiTheme="minorHAnsi" w:hAnsiTheme="minorHAnsi"/>
        </w:rPr>
        <w:t>s for under or over-performance;</w:t>
      </w:r>
    </w:p>
    <w:p w:rsidR="003C09B7" w:rsidRPr="00042D87" w:rsidRDefault="003C09B7" w:rsidP="007F027C">
      <w:pPr>
        <w:pStyle w:val="BodyText"/>
        <w:numPr>
          <w:ilvl w:val="0"/>
          <w:numId w:val="28"/>
        </w:numPr>
        <w:tabs>
          <w:tab w:val="clear" w:pos="850"/>
          <w:tab w:val="clear" w:pos="1191"/>
          <w:tab w:val="clear" w:pos="1531"/>
          <w:tab w:val="left" w:pos="851"/>
        </w:tabs>
        <w:spacing w:after="120"/>
        <w:ind w:left="851" w:hanging="284"/>
        <w:rPr>
          <w:rFonts w:asciiTheme="minorHAnsi" w:hAnsiTheme="minorHAnsi"/>
        </w:rPr>
      </w:pPr>
      <w:r>
        <w:rPr>
          <w:rFonts w:asciiTheme="minorHAnsi" w:hAnsiTheme="minorHAnsi"/>
        </w:rPr>
        <w:t xml:space="preserve">During budget execution, budget managers may be given </w:t>
      </w:r>
      <w:r w:rsidRPr="00042D87">
        <w:rPr>
          <w:rFonts w:asciiTheme="minorHAnsi" w:hAnsiTheme="minorHAnsi"/>
        </w:rPr>
        <w:t xml:space="preserve">increased </w:t>
      </w:r>
      <w:r>
        <w:rPr>
          <w:rFonts w:asciiTheme="minorHAnsi" w:hAnsiTheme="minorHAnsi"/>
        </w:rPr>
        <w:t>autonomy t</w:t>
      </w:r>
      <w:r w:rsidRPr="00042D87">
        <w:rPr>
          <w:rFonts w:asciiTheme="minorHAnsi" w:hAnsiTheme="minorHAnsi"/>
        </w:rPr>
        <w:t>o manage financial resources</w:t>
      </w:r>
      <w:r>
        <w:rPr>
          <w:rFonts w:asciiTheme="minorHAnsi" w:hAnsiTheme="minorHAnsi"/>
        </w:rPr>
        <w:t>, balanced by increased accountability for achieving results</w:t>
      </w:r>
      <w:r w:rsidRPr="00042D87">
        <w:rPr>
          <w:rFonts w:asciiTheme="minorHAnsi" w:hAnsiTheme="minorHAnsi"/>
        </w:rPr>
        <w:t>.</w:t>
      </w:r>
    </w:p>
    <w:p w:rsidR="003C09B7" w:rsidRDefault="003C09B7" w:rsidP="007F027C">
      <w:pPr>
        <w:pStyle w:val="BodyText"/>
        <w:numPr>
          <w:ilvl w:val="0"/>
          <w:numId w:val="28"/>
        </w:numPr>
        <w:tabs>
          <w:tab w:val="clear" w:pos="850"/>
          <w:tab w:val="clear" w:pos="1191"/>
          <w:tab w:val="clear" w:pos="1531"/>
          <w:tab w:val="left" w:pos="851"/>
        </w:tabs>
        <w:ind w:left="851" w:hanging="284"/>
        <w:rPr>
          <w:rFonts w:asciiTheme="minorHAnsi" w:hAnsiTheme="minorHAnsi"/>
        </w:rPr>
      </w:pPr>
      <w:r>
        <w:rPr>
          <w:rFonts w:asciiTheme="minorHAnsi" w:hAnsiTheme="minorHAnsi"/>
        </w:rPr>
        <w:t xml:space="preserve">Performance </w:t>
      </w:r>
      <w:r w:rsidRPr="00042D87">
        <w:rPr>
          <w:rFonts w:asciiTheme="minorHAnsi" w:hAnsiTheme="minorHAnsi"/>
        </w:rPr>
        <w:t xml:space="preserve">information </w:t>
      </w:r>
      <w:r>
        <w:rPr>
          <w:rFonts w:asciiTheme="minorHAnsi" w:hAnsiTheme="minorHAnsi"/>
        </w:rPr>
        <w:t xml:space="preserve">is provided </w:t>
      </w:r>
      <w:r w:rsidRPr="00042D87">
        <w:rPr>
          <w:rFonts w:asciiTheme="minorHAnsi" w:hAnsiTheme="minorHAnsi"/>
        </w:rPr>
        <w:t xml:space="preserve">to managers </w:t>
      </w:r>
      <w:r>
        <w:rPr>
          <w:rFonts w:asciiTheme="minorHAnsi" w:hAnsiTheme="minorHAnsi"/>
        </w:rPr>
        <w:t xml:space="preserve">together with budget execution data to help them </w:t>
      </w:r>
      <w:r w:rsidRPr="00042D87">
        <w:rPr>
          <w:rFonts w:asciiTheme="minorHAnsi" w:hAnsiTheme="minorHAnsi"/>
        </w:rPr>
        <w:t xml:space="preserve">monitor performance and improve </w:t>
      </w:r>
      <w:r>
        <w:rPr>
          <w:rFonts w:asciiTheme="minorHAnsi" w:hAnsiTheme="minorHAnsi"/>
        </w:rPr>
        <w:t xml:space="preserve">the quality of </w:t>
      </w:r>
      <w:r w:rsidRPr="00042D87">
        <w:rPr>
          <w:rFonts w:asciiTheme="minorHAnsi" w:hAnsiTheme="minorHAnsi"/>
        </w:rPr>
        <w:t xml:space="preserve">spending. </w:t>
      </w:r>
    </w:p>
    <w:p w:rsidR="000251B6" w:rsidRDefault="00B33E4D" w:rsidP="007F027C">
      <w:pPr>
        <w:pStyle w:val="BodyText"/>
        <w:spacing w:after="120"/>
        <w:ind w:firstLine="567"/>
        <w:rPr>
          <w:rFonts w:asciiTheme="minorHAnsi" w:hAnsiTheme="minorHAnsi"/>
        </w:rPr>
      </w:pPr>
      <w:r>
        <w:rPr>
          <w:rFonts w:asciiTheme="minorHAnsi" w:hAnsiTheme="minorHAnsi"/>
        </w:rPr>
        <w:t>In practice, the emphasis that countries have placed on performance</w:t>
      </w:r>
      <w:r w:rsidR="003C09B7">
        <w:rPr>
          <w:rFonts w:asciiTheme="minorHAnsi" w:hAnsiTheme="minorHAnsi"/>
        </w:rPr>
        <w:t>,</w:t>
      </w:r>
      <w:r w:rsidR="000251B6">
        <w:rPr>
          <w:rFonts w:asciiTheme="minorHAnsi" w:hAnsiTheme="minorHAnsi"/>
        </w:rPr>
        <w:t xml:space="preserve"> and the extent to which it</w:t>
      </w:r>
      <w:r>
        <w:rPr>
          <w:rFonts w:asciiTheme="minorHAnsi" w:hAnsiTheme="minorHAnsi"/>
        </w:rPr>
        <w:t xml:space="preserve"> has replaced more traditional forms of budgeting</w:t>
      </w:r>
      <w:r w:rsidR="003C09B7">
        <w:rPr>
          <w:rFonts w:asciiTheme="minorHAnsi" w:hAnsiTheme="minorHAnsi"/>
        </w:rPr>
        <w:t>,</w:t>
      </w:r>
      <w:r>
        <w:rPr>
          <w:rFonts w:asciiTheme="minorHAnsi" w:hAnsiTheme="minorHAnsi"/>
        </w:rPr>
        <w:t xml:space="preserve"> varie</w:t>
      </w:r>
      <w:r w:rsidR="003C09B7">
        <w:rPr>
          <w:rFonts w:asciiTheme="minorHAnsi" w:hAnsiTheme="minorHAnsi"/>
        </w:rPr>
        <w:t xml:space="preserve">s widely across OECD countries and, while the first four features described above are common to most systems, fewer incorporate the managerial dimensions described in the last two bullets. </w:t>
      </w:r>
      <w:r w:rsidR="0077119F">
        <w:rPr>
          <w:rFonts w:asciiTheme="minorHAnsi" w:hAnsiTheme="minorHAnsi"/>
        </w:rPr>
        <w:t>The different approaches to</w:t>
      </w:r>
      <w:r w:rsidR="00A83584">
        <w:rPr>
          <w:rFonts w:asciiTheme="minorHAnsi" w:hAnsiTheme="minorHAnsi"/>
        </w:rPr>
        <w:t xml:space="preserve"> </w:t>
      </w:r>
      <w:r w:rsidR="0077119F">
        <w:rPr>
          <w:rFonts w:asciiTheme="minorHAnsi" w:hAnsiTheme="minorHAnsi"/>
        </w:rPr>
        <w:t>performance budgeting can be classified as follows:</w:t>
      </w:r>
      <w:r w:rsidR="00A83584" w:rsidRPr="00A4255D">
        <w:rPr>
          <w:rFonts w:asciiTheme="minorHAnsi" w:hAnsiTheme="minorHAnsi"/>
        </w:rPr>
        <w:t xml:space="preserve"> </w:t>
      </w:r>
    </w:p>
    <w:p w:rsidR="00A83584" w:rsidRPr="00002EE1" w:rsidRDefault="00A83584" w:rsidP="007F027C">
      <w:pPr>
        <w:pStyle w:val="BodyText"/>
        <w:keepNext/>
        <w:spacing w:after="120"/>
        <w:ind w:firstLine="567"/>
        <w:rPr>
          <w:rFonts w:asciiTheme="minorHAnsi" w:hAnsiTheme="minorHAnsi"/>
          <w:i/>
        </w:rPr>
      </w:pPr>
      <w:r w:rsidRPr="00002EE1">
        <w:rPr>
          <w:rFonts w:asciiTheme="minorHAnsi" w:hAnsiTheme="minorHAnsi"/>
          <w:b/>
          <w:bCs/>
          <w:i/>
        </w:rPr>
        <w:lastRenderedPageBreak/>
        <w:t xml:space="preserve">Presentational </w:t>
      </w:r>
      <w:r w:rsidR="000E74CA" w:rsidRPr="00002EE1">
        <w:rPr>
          <w:rFonts w:asciiTheme="minorHAnsi" w:hAnsiTheme="minorHAnsi"/>
          <w:b/>
          <w:bCs/>
          <w:i/>
        </w:rPr>
        <w:t>Performance Budgeting</w:t>
      </w:r>
    </w:p>
    <w:p w:rsidR="00A83584" w:rsidRPr="00A4255D" w:rsidRDefault="00A83584" w:rsidP="005D77A7">
      <w:pPr>
        <w:pStyle w:val="BodyText"/>
        <w:ind w:firstLine="567"/>
        <w:rPr>
          <w:rFonts w:asciiTheme="minorHAnsi" w:hAnsiTheme="minorHAnsi"/>
        </w:rPr>
      </w:pPr>
      <w:r w:rsidRPr="00A4255D">
        <w:rPr>
          <w:rFonts w:asciiTheme="minorHAnsi" w:hAnsiTheme="minorHAnsi"/>
        </w:rPr>
        <w:t>This shows outputs</w:t>
      </w:r>
      <w:r w:rsidR="007D5F9B">
        <w:rPr>
          <w:rFonts w:asciiTheme="minorHAnsi" w:hAnsiTheme="minorHAnsi"/>
        </w:rPr>
        <w:t>, outcomes</w:t>
      </w:r>
      <w:r w:rsidRPr="00A4255D">
        <w:rPr>
          <w:rFonts w:asciiTheme="minorHAnsi" w:hAnsiTheme="minorHAnsi"/>
        </w:rPr>
        <w:t xml:space="preserve"> and performance indicators </w:t>
      </w:r>
      <w:r w:rsidRPr="00BF6B81">
        <w:rPr>
          <w:rFonts w:asciiTheme="minorHAnsi" w:hAnsiTheme="minorHAnsi"/>
          <w:bCs/>
          <w:iCs/>
        </w:rPr>
        <w:t>separately from</w:t>
      </w:r>
      <w:r w:rsidRPr="00A4255D">
        <w:rPr>
          <w:rFonts w:asciiTheme="minorHAnsi" w:hAnsiTheme="minorHAnsi"/>
          <w:b/>
          <w:bCs/>
          <w:i/>
          <w:iCs/>
        </w:rPr>
        <w:t xml:space="preserve"> </w:t>
      </w:r>
      <w:r w:rsidR="00002EE1">
        <w:rPr>
          <w:rFonts w:asciiTheme="minorHAnsi" w:hAnsiTheme="minorHAnsi"/>
        </w:rPr>
        <w:t xml:space="preserve">the main budget document. </w:t>
      </w:r>
      <w:r w:rsidRPr="00A4255D">
        <w:rPr>
          <w:rFonts w:asciiTheme="minorHAnsi" w:hAnsiTheme="minorHAnsi"/>
        </w:rPr>
        <w:t>This is relatively easy to achieve and is appropriate where the objective is limited to demonstrating that budget allocations</w:t>
      </w:r>
      <w:r w:rsidR="000251B6">
        <w:rPr>
          <w:rFonts w:asciiTheme="minorHAnsi" w:hAnsiTheme="minorHAnsi"/>
        </w:rPr>
        <w:t xml:space="preserve"> </w:t>
      </w:r>
      <w:r w:rsidRPr="00A4255D">
        <w:rPr>
          <w:rFonts w:asciiTheme="minorHAnsi" w:hAnsiTheme="minorHAnsi"/>
        </w:rPr>
        <w:t>and actual expenditures are responsive to government’s strategic objectives and policy priorities.  On the other hand by separating performance and budget data it is harder to relate the two.</w:t>
      </w:r>
    </w:p>
    <w:p w:rsidR="00A83584" w:rsidRPr="00002EE1" w:rsidRDefault="00A83584" w:rsidP="007F027C">
      <w:pPr>
        <w:pStyle w:val="BodyText"/>
        <w:keepNext/>
        <w:spacing w:after="120"/>
        <w:ind w:firstLine="567"/>
        <w:rPr>
          <w:rFonts w:asciiTheme="minorHAnsi" w:hAnsiTheme="minorHAnsi"/>
          <w:b/>
          <w:bCs/>
          <w:i/>
        </w:rPr>
      </w:pPr>
      <w:r w:rsidRPr="00002EE1">
        <w:rPr>
          <w:rFonts w:asciiTheme="minorHAnsi" w:hAnsiTheme="minorHAnsi"/>
          <w:b/>
          <w:bCs/>
          <w:i/>
        </w:rPr>
        <w:t xml:space="preserve">Performance-Informed </w:t>
      </w:r>
      <w:r w:rsidR="000E74CA" w:rsidRPr="00002EE1">
        <w:rPr>
          <w:rFonts w:asciiTheme="minorHAnsi" w:hAnsiTheme="minorHAnsi"/>
          <w:b/>
          <w:bCs/>
          <w:i/>
        </w:rPr>
        <w:t>Budgeting</w:t>
      </w:r>
    </w:p>
    <w:p w:rsidR="00A83584" w:rsidRPr="00A4255D" w:rsidRDefault="00A83584" w:rsidP="005D77A7">
      <w:pPr>
        <w:pStyle w:val="BodyText"/>
        <w:ind w:firstLine="567"/>
        <w:rPr>
          <w:rFonts w:asciiTheme="minorHAnsi" w:hAnsiTheme="minorHAnsi"/>
        </w:rPr>
      </w:pPr>
      <w:r w:rsidRPr="00A4255D">
        <w:rPr>
          <w:rFonts w:asciiTheme="minorHAnsi" w:hAnsiTheme="minorHAnsi"/>
        </w:rPr>
        <w:t xml:space="preserve">This includes performance metrics </w:t>
      </w:r>
      <w:r w:rsidRPr="00BF6B81">
        <w:rPr>
          <w:rFonts w:asciiTheme="minorHAnsi" w:hAnsiTheme="minorHAnsi"/>
          <w:bCs/>
          <w:iCs/>
        </w:rPr>
        <w:t>within</w:t>
      </w:r>
      <w:r w:rsidRPr="00A4255D">
        <w:rPr>
          <w:rFonts w:asciiTheme="minorHAnsi" w:hAnsiTheme="minorHAnsi"/>
        </w:rPr>
        <w:t xml:space="preserve"> the budget document and involves re-structuring of budget document on the basis of </w:t>
      </w:r>
      <w:r w:rsidR="0048423A">
        <w:rPr>
          <w:rFonts w:asciiTheme="minorHAnsi" w:hAnsiTheme="minorHAnsi"/>
        </w:rPr>
        <w:t>programmes</w:t>
      </w:r>
      <w:r w:rsidRPr="00A4255D">
        <w:rPr>
          <w:rFonts w:asciiTheme="minorHAnsi" w:hAnsiTheme="minorHAnsi"/>
        </w:rPr>
        <w:t>.  This approach requires considerable effort to achieve and is appropriate for governments that want to achieve more ambitious goals such as re-prioritization of expenditure linked to performance</w:t>
      </w:r>
      <w:r w:rsidR="000251B6">
        <w:rPr>
          <w:rFonts w:asciiTheme="minorHAnsi" w:hAnsiTheme="minorHAnsi"/>
        </w:rPr>
        <w:t xml:space="preserve"> and</w:t>
      </w:r>
      <w:r w:rsidRPr="00A4255D">
        <w:rPr>
          <w:rFonts w:asciiTheme="minorHAnsi" w:hAnsiTheme="minorHAnsi"/>
        </w:rPr>
        <w:t xml:space="preserve"> increased devolution of budget control to </w:t>
      </w:r>
      <w:r w:rsidR="003B33CC">
        <w:rPr>
          <w:rFonts w:asciiTheme="minorHAnsi" w:hAnsiTheme="minorHAnsi"/>
        </w:rPr>
        <w:t>programme</w:t>
      </w:r>
      <w:r w:rsidR="00DA0272">
        <w:rPr>
          <w:rFonts w:asciiTheme="minorHAnsi" w:hAnsiTheme="minorHAnsi"/>
        </w:rPr>
        <w:t xml:space="preserve"> </w:t>
      </w:r>
      <w:r w:rsidRPr="00A4255D">
        <w:rPr>
          <w:rFonts w:asciiTheme="minorHAnsi" w:hAnsiTheme="minorHAnsi"/>
        </w:rPr>
        <w:t>managers. This is the form of performance budgeting that many OECD countries have adopted.</w:t>
      </w:r>
    </w:p>
    <w:p w:rsidR="00A83584" w:rsidRPr="00002EE1" w:rsidRDefault="00A83584" w:rsidP="007F027C">
      <w:pPr>
        <w:pStyle w:val="BodyText"/>
        <w:keepNext/>
        <w:spacing w:after="120"/>
        <w:ind w:firstLine="567"/>
        <w:rPr>
          <w:rFonts w:asciiTheme="minorHAnsi" w:hAnsiTheme="minorHAnsi"/>
          <w:b/>
          <w:bCs/>
          <w:i/>
        </w:rPr>
      </w:pPr>
      <w:r w:rsidRPr="00002EE1">
        <w:rPr>
          <w:rFonts w:asciiTheme="minorHAnsi" w:hAnsiTheme="minorHAnsi"/>
          <w:b/>
          <w:bCs/>
          <w:i/>
        </w:rPr>
        <w:t xml:space="preserve">Managerial Performance </w:t>
      </w:r>
      <w:r w:rsidR="000E74CA" w:rsidRPr="00002EE1">
        <w:rPr>
          <w:rFonts w:asciiTheme="minorHAnsi" w:hAnsiTheme="minorHAnsi"/>
          <w:b/>
          <w:bCs/>
          <w:i/>
        </w:rPr>
        <w:t>Budgeting</w:t>
      </w:r>
    </w:p>
    <w:p w:rsidR="00A83584" w:rsidRDefault="00A83584" w:rsidP="005D77A7">
      <w:pPr>
        <w:pStyle w:val="BodyText"/>
        <w:ind w:firstLine="567"/>
        <w:rPr>
          <w:rFonts w:asciiTheme="minorHAnsi" w:hAnsiTheme="minorHAnsi"/>
        </w:rPr>
      </w:pPr>
      <w:r w:rsidRPr="00A4255D">
        <w:rPr>
          <w:rFonts w:asciiTheme="minorHAnsi" w:hAnsiTheme="minorHAnsi"/>
        </w:rPr>
        <w:t xml:space="preserve">A variant on performance informed budgeting.  In this approach the focus is on </w:t>
      </w:r>
      <w:r w:rsidRPr="000251B6">
        <w:rPr>
          <w:rFonts w:asciiTheme="minorHAnsi" w:hAnsiTheme="minorHAnsi"/>
        </w:rPr>
        <w:t xml:space="preserve">managerial </w:t>
      </w:r>
      <w:r w:rsidRPr="000251B6">
        <w:rPr>
          <w:rFonts w:asciiTheme="minorHAnsi" w:hAnsiTheme="minorHAnsi"/>
          <w:bCs/>
          <w:iCs/>
        </w:rPr>
        <w:t>impacts and changes</w:t>
      </w:r>
      <w:r w:rsidRPr="00A4255D">
        <w:rPr>
          <w:rFonts w:asciiTheme="minorHAnsi" w:hAnsiTheme="minorHAnsi"/>
          <w:b/>
          <w:bCs/>
          <w:i/>
          <w:iCs/>
        </w:rPr>
        <w:t xml:space="preserve"> </w:t>
      </w:r>
      <w:r w:rsidRPr="00A4255D">
        <w:rPr>
          <w:rFonts w:asciiTheme="minorHAnsi" w:hAnsiTheme="minorHAnsi"/>
        </w:rPr>
        <w:t>in organisational behaviour</w:t>
      </w:r>
      <w:r w:rsidR="001F39D5">
        <w:rPr>
          <w:rFonts w:asciiTheme="minorHAnsi" w:hAnsiTheme="minorHAnsi"/>
        </w:rPr>
        <w:t>, achieved</w:t>
      </w:r>
      <w:r w:rsidRPr="00A4255D">
        <w:rPr>
          <w:rFonts w:asciiTheme="minorHAnsi" w:hAnsiTheme="minorHAnsi"/>
        </w:rPr>
        <w:t xml:space="preserve"> through combined use of budget and related performance information. This depends on a performance culture existing within government that </w:t>
      </w:r>
      <w:r w:rsidR="00A629D5">
        <w:rPr>
          <w:rFonts w:asciiTheme="minorHAnsi" w:hAnsiTheme="minorHAnsi"/>
        </w:rPr>
        <w:t>will take time to establish</w:t>
      </w:r>
      <w:r w:rsidRPr="00A4255D">
        <w:rPr>
          <w:rFonts w:asciiTheme="minorHAnsi" w:hAnsiTheme="minorHAnsi"/>
        </w:rPr>
        <w:t xml:space="preserve"> </w:t>
      </w:r>
      <w:r w:rsidR="001F39D5">
        <w:rPr>
          <w:rFonts w:asciiTheme="minorHAnsi" w:hAnsiTheme="minorHAnsi"/>
        </w:rPr>
        <w:t xml:space="preserve">if </w:t>
      </w:r>
      <w:r w:rsidRPr="00A4255D">
        <w:rPr>
          <w:rFonts w:asciiTheme="minorHAnsi" w:hAnsiTheme="minorHAnsi"/>
        </w:rPr>
        <w:t>it does not already exist.</w:t>
      </w:r>
    </w:p>
    <w:p w:rsidR="00A83584" w:rsidRPr="00002EE1" w:rsidRDefault="000E74CA" w:rsidP="007F027C">
      <w:pPr>
        <w:pStyle w:val="BodyText"/>
        <w:keepNext/>
        <w:spacing w:after="120"/>
        <w:ind w:firstLine="567"/>
        <w:rPr>
          <w:rFonts w:asciiTheme="minorHAnsi" w:hAnsiTheme="minorHAnsi"/>
          <w:b/>
          <w:bCs/>
          <w:i/>
        </w:rPr>
      </w:pPr>
      <w:r w:rsidRPr="00002EE1">
        <w:rPr>
          <w:rFonts w:asciiTheme="minorHAnsi" w:hAnsiTheme="minorHAnsi"/>
          <w:b/>
          <w:bCs/>
          <w:i/>
        </w:rPr>
        <w:t xml:space="preserve">Direct </w:t>
      </w:r>
      <w:r w:rsidR="00A83584" w:rsidRPr="00002EE1">
        <w:rPr>
          <w:rFonts w:asciiTheme="minorHAnsi" w:hAnsiTheme="minorHAnsi"/>
          <w:b/>
          <w:bCs/>
          <w:i/>
        </w:rPr>
        <w:t>Performance</w:t>
      </w:r>
      <w:r w:rsidRPr="00002EE1">
        <w:rPr>
          <w:rFonts w:asciiTheme="minorHAnsi" w:hAnsiTheme="minorHAnsi"/>
          <w:b/>
          <w:bCs/>
          <w:i/>
        </w:rPr>
        <w:t xml:space="preserve"> Budgeting</w:t>
      </w:r>
    </w:p>
    <w:p w:rsidR="000251B6" w:rsidRDefault="00A83584" w:rsidP="005D77A7">
      <w:pPr>
        <w:pStyle w:val="BodyText"/>
        <w:ind w:firstLine="567"/>
        <w:rPr>
          <w:rFonts w:asciiTheme="minorHAnsi" w:hAnsiTheme="minorHAnsi"/>
        </w:rPr>
      </w:pPr>
      <w:r w:rsidRPr="00A4255D">
        <w:rPr>
          <w:rFonts w:asciiTheme="minorHAnsi" w:hAnsiTheme="minorHAnsi"/>
        </w:rPr>
        <w:t xml:space="preserve">This establishes a </w:t>
      </w:r>
      <w:r w:rsidRPr="0072504F">
        <w:rPr>
          <w:rFonts w:asciiTheme="minorHAnsi" w:hAnsiTheme="minorHAnsi"/>
          <w:bCs/>
          <w:iCs/>
        </w:rPr>
        <w:t>direct link</w:t>
      </w:r>
      <w:r w:rsidRPr="00A4255D">
        <w:rPr>
          <w:rFonts w:asciiTheme="minorHAnsi" w:hAnsiTheme="minorHAnsi"/>
          <w:b/>
          <w:bCs/>
          <w:i/>
          <w:iCs/>
        </w:rPr>
        <w:t xml:space="preserve"> </w:t>
      </w:r>
      <w:r w:rsidRPr="00A4255D">
        <w:rPr>
          <w:rFonts w:asciiTheme="minorHAnsi" w:hAnsiTheme="minorHAnsi"/>
        </w:rPr>
        <w:t>between results and resources, usually implying contractual type mechanisms that directly link budget allocations to the achievement of results, implying a budgetary response to over or under-achievement of performance objectives. In practice it is hard to make direct links between resources and performance</w:t>
      </w:r>
      <w:r w:rsidR="000251B6">
        <w:rPr>
          <w:rFonts w:asciiTheme="minorHAnsi" w:hAnsiTheme="minorHAnsi"/>
        </w:rPr>
        <w:t>,</w:t>
      </w:r>
      <w:r w:rsidRPr="00A4255D">
        <w:rPr>
          <w:rFonts w:asciiTheme="minorHAnsi" w:hAnsiTheme="minorHAnsi"/>
        </w:rPr>
        <w:t xml:space="preserve"> due to the complexity of government goods and services</w:t>
      </w:r>
      <w:r w:rsidR="000251B6">
        <w:rPr>
          <w:rFonts w:asciiTheme="minorHAnsi" w:hAnsiTheme="minorHAnsi"/>
        </w:rPr>
        <w:t>.</w:t>
      </w:r>
    </w:p>
    <w:p w:rsidR="0077119F" w:rsidRPr="0077119F" w:rsidRDefault="0077119F" w:rsidP="005D77A7">
      <w:pPr>
        <w:pStyle w:val="BodyText"/>
        <w:ind w:firstLine="567"/>
        <w:rPr>
          <w:rFonts w:asciiTheme="minorHAnsi" w:hAnsiTheme="minorHAnsi"/>
        </w:rPr>
      </w:pPr>
      <w:r>
        <w:rPr>
          <w:rFonts w:asciiTheme="minorHAnsi" w:hAnsiTheme="minorHAnsi"/>
        </w:rPr>
        <w:t>Most OECD countries that have implemented performance budgeting describe their approaches as either presentational or performance informed budgeting. No OECD country claims to u</w:t>
      </w:r>
      <w:r w:rsidR="00633BA2">
        <w:rPr>
          <w:rFonts w:asciiTheme="minorHAnsi" w:hAnsiTheme="minorHAnsi"/>
        </w:rPr>
        <w:t xml:space="preserve">se a performance based approach and given the complex factors that determine wither policy goals are achieved or not, and the limited role played by finance, it seems unlikely that any country will attempt to make direct linkage a general principle. </w:t>
      </w:r>
    </w:p>
    <w:p w:rsidR="00502AD8" w:rsidRPr="00002EE1" w:rsidRDefault="00502AD8" w:rsidP="00002EE1">
      <w:pPr>
        <w:pStyle w:val="Heading2"/>
        <w:rPr>
          <w:rFonts w:asciiTheme="minorHAnsi" w:hAnsiTheme="minorHAnsi"/>
        </w:rPr>
      </w:pPr>
      <w:r w:rsidRPr="00002EE1">
        <w:rPr>
          <w:rFonts w:asciiTheme="minorHAnsi" w:hAnsiTheme="minorHAnsi"/>
        </w:rPr>
        <w:t>Why is Performance Budgeting important?</w:t>
      </w:r>
    </w:p>
    <w:p w:rsidR="00923C85" w:rsidRDefault="00EA7236" w:rsidP="007F027C">
      <w:pPr>
        <w:pStyle w:val="BodyText"/>
        <w:ind w:firstLine="567"/>
        <w:rPr>
          <w:rFonts w:asciiTheme="minorHAnsi" w:hAnsiTheme="minorHAnsi"/>
        </w:rPr>
      </w:pPr>
      <w:r>
        <w:rPr>
          <w:rFonts w:asciiTheme="minorHAnsi" w:hAnsiTheme="minorHAnsi"/>
        </w:rPr>
        <w:t xml:space="preserve">Performance budgeting </w:t>
      </w:r>
      <w:r w:rsidR="0096478B">
        <w:rPr>
          <w:rFonts w:asciiTheme="minorHAnsi" w:hAnsiTheme="minorHAnsi"/>
        </w:rPr>
        <w:t xml:space="preserve">offers a wide range of potential benefits that are attractive </w:t>
      </w:r>
      <w:r>
        <w:rPr>
          <w:rFonts w:asciiTheme="minorHAnsi" w:hAnsiTheme="minorHAnsi"/>
        </w:rPr>
        <w:t>to different stakeholders. For the centre of government</w:t>
      </w:r>
      <w:r w:rsidR="0064352E">
        <w:rPr>
          <w:rFonts w:asciiTheme="minorHAnsi" w:hAnsiTheme="minorHAnsi"/>
        </w:rPr>
        <w:t>,</w:t>
      </w:r>
      <w:r>
        <w:rPr>
          <w:rFonts w:asciiTheme="minorHAnsi" w:hAnsiTheme="minorHAnsi"/>
        </w:rPr>
        <w:t xml:space="preserve"> performance budgeting offers the chance to strengthen </w:t>
      </w:r>
      <w:r w:rsidR="0064352E">
        <w:rPr>
          <w:rFonts w:asciiTheme="minorHAnsi" w:hAnsiTheme="minorHAnsi"/>
        </w:rPr>
        <w:t xml:space="preserve">the </w:t>
      </w:r>
      <w:r>
        <w:rPr>
          <w:rFonts w:asciiTheme="minorHAnsi" w:hAnsiTheme="minorHAnsi"/>
        </w:rPr>
        <w:t>links between government policy priorities</w:t>
      </w:r>
      <w:r w:rsidR="0064352E">
        <w:rPr>
          <w:rFonts w:asciiTheme="minorHAnsi" w:hAnsiTheme="minorHAnsi"/>
        </w:rPr>
        <w:t xml:space="preserve"> and </w:t>
      </w:r>
      <w:r w:rsidR="00923C85">
        <w:rPr>
          <w:rFonts w:asciiTheme="minorHAnsi" w:hAnsiTheme="minorHAnsi"/>
        </w:rPr>
        <w:t>decisions on budget allocation</w:t>
      </w:r>
      <w:r w:rsidR="000251B6">
        <w:rPr>
          <w:rFonts w:asciiTheme="minorHAnsi" w:hAnsiTheme="minorHAnsi"/>
        </w:rPr>
        <w:t>,</w:t>
      </w:r>
      <w:r w:rsidR="0096478B">
        <w:rPr>
          <w:rFonts w:asciiTheme="minorHAnsi" w:hAnsiTheme="minorHAnsi"/>
        </w:rPr>
        <w:t xml:space="preserve"> thereby boosting the chances that the government will be successful in delivering on important pledges</w:t>
      </w:r>
      <w:r>
        <w:rPr>
          <w:rFonts w:asciiTheme="minorHAnsi" w:hAnsiTheme="minorHAnsi"/>
        </w:rPr>
        <w:t>.</w:t>
      </w:r>
      <w:r w:rsidR="0064352E">
        <w:rPr>
          <w:rFonts w:asciiTheme="minorHAnsi" w:hAnsiTheme="minorHAnsi"/>
        </w:rPr>
        <w:t xml:space="preserve"> For parliaments</w:t>
      </w:r>
      <w:r w:rsidR="000251B6">
        <w:rPr>
          <w:rFonts w:asciiTheme="minorHAnsi" w:hAnsiTheme="minorHAnsi"/>
        </w:rPr>
        <w:t>,</w:t>
      </w:r>
      <w:r w:rsidR="00881465">
        <w:rPr>
          <w:rFonts w:asciiTheme="minorHAnsi" w:hAnsiTheme="minorHAnsi"/>
        </w:rPr>
        <w:t xml:space="preserve"> performance budgeting </w:t>
      </w:r>
      <w:r w:rsidR="0064352E">
        <w:rPr>
          <w:rFonts w:asciiTheme="minorHAnsi" w:hAnsiTheme="minorHAnsi"/>
        </w:rPr>
        <w:t xml:space="preserve">offers greater clarity on what public goods and services </w:t>
      </w:r>
      <w:r w:rsidR="00D7169C">
        <w:rPr>
          <w:rFonts w:asciiTheme="minorHAnsi" w:hAnsiTheme="minorHAnsi"/>
        </w:rPr>
        <w:t xml:space="preserve">will be </w:t>
      </w:r>
      <w:r w:rsidR="0064352E">
        <w:rPr>
          <w:rFonts w:asciiTheme="minorHAnsi" w:hAnsiTheme="minorHAnsi"/>
        </w:rPr>
        <w:t>del</w:t>
      </w:r>
      <w:r w:rsidR="00923C85">
        <w:rPr>
          <w:rFonts w:asciiTheme="minorHAnsi" w:hAnsiTheme="minorHAnsi"/>
        </w:rPr>
        <w:t xml:space="preserve">ivered in return for the </w:t>
      </w:r>
      <w:r w:rsidR="0064352E">
        <w:rPr>
          <w:rFonts w:asciiTheme="minorHAnsi" w:hAnsiTheme="minorHAnsi"/>
        </w:rPr>
        <w:t>resources they have voted</w:t>
      </w:r>
      <w:r w:rsidR="00D7169C">
        <w:rPr>
          <w:rFonts w:asciiTheme="minorHAnsi" w:hAnsiTheme="minorHAnsi"/>
        </w:rPr>
        <w:t>,</w:t>
      </w:r>
      <w:r w:rsidR="0096478B">
        <w:rPr>
          <w:rFonts w:asciiTheme="minorHAnsi" w:hAnsiTheme="minorHAnsi"/>
        </w:rPr>
        <w:t xml:space="preserve"> as well as a means of holding </w:t>
      </w:r>
      <w:r w:rsidR="00633BA2">
        <w:rPr>
          <w:rFonts w:asciiTheme="minorHAnsi" w:hAnsiTheme="minorHAnsi"/>
        </w:rPr>
        <w:t xml:space="preserve">officials </w:t>
      </w:r>
      <w:r w:rsidR="0096478B">
        <w:rPr>
          <w:rFonts w:asciiTheme="minorHAnsi" w:hAnsiTheme="minorHAnsi"/>
        </w:rPr>
        <w:t>to account for the achievement of results</w:t>
      </w:r>
      <w:r w:rsidR="00633BA2">
        <w:rPr>
          <w:rFonts w:asciiTheme="minorHAnsi" w:hAnsiTheme="minorHAnsi"/>
        </w:rPr>
        <w:t>. For Ministries of F</w:t>
      </w:r>
      <w:r w:rsidR="0064352E">
        <w:rPr>
          <w:rFonts w:asciiTheme="minorHAnsi" w:hAnsiTheme="minorHAnsi"/>
        </w:rPr>
        <w:t>inance</w:t>
      </w:r>
      <w:r w:rsidR="000251B6">
        <w:rPr>
          <w:rFonts w:asciiTheme="minorHAnsi" w:hAnsiTheme="minorHAnsi"/>
        </w:rPr>
        <w:t>,</w:t>
      </w:r>
      <w:r w:rsidR="0064352E">
        <w:rPr>
          <w:rFonts w:asciiTheme="minorHAnsi" w:hAnsiTheme="minorHAnsi"/>
        </w:rPr>
        <w:t xml:space="preserve"> performance budgeting offers </w:t>
      </w:r>
      <w:r w:rsidR="00923C85">
        <w:rPr>
          <w:rFonts w:asciiTheme="minorHAnsi" w:hAnsiTheme="minorHAnsi"/>
        </w:rPr>
        <w:t xml:space="preserve">new information that helps them </w:t>
      </w:r>
      <w:r w:rsidR="0064352E">
        <w:rPr>
          <w:rFonts w:asciiTheme="minorHAnsi" w:hAnsiTheme="minorHAnsi"/>
        </w:rPr>
        <w:t>analyse expenditure</w:t>
      </w:r>
      <w:r w:rsidR="0096478B">
        <w:rPr>
          <w:rFonts w:asciiTheme="minorHAnsi" w:hAnsiTheme="minorHAnsi"/>
        </w:rPr>
        <w:t xml:space="preserve"> and support </w:t>
      </w:r>
      <w:r w:rsidR="0064352E">
        <w:rPr>
          <w:rFonts w:asciiTheme="minorHAnsi" w:hAnsiTheme="minorHAnsi"/>
        </w:rPr>
        <w:t xml:space="preserve">more rational and informed </w:t>
      </w:r>
      <w:r w:rsidR="0096478B">
        <w:rPr>
          <w:rFonts w:asciiTheme="minorHAnsi" w:hAnsiTheme="minorHAnsi"/>
        </w:rPr>
        <w:t xml:space="preserve">spending </w:t>
      </w:r>
      <w:r w:rsidR="0064352E">
        <w:rPr>
          <w:rFonts w:asciiTheme="minorHAnsi" w:hAnsiTheme="minorHAnsi"/>
        </w:rPr>
        <w:t>decisions</w:t>
      </w:r>
      <w:r w:rsidR="00923C85">
        <w:rPr>
          <w:rFonts w:asciiTheme="minorHAnsi" w:hAnsiTheme="minorHAnsi"/>
        </w:rPr>
        <w:t xml:space="preserve">, together with </w:t>
      </w:r>
      <w:r w:rsidR="0064352E">
        <w:rPr>
          <w:rFonts w:asciiTheme="minorHAnsi" w:hAnsiTheme="minorHAnsi"/>
        </w:rPr>
        <w:t xml:space="preserve">a means </w:t>
      </w:r>
      <w:r w:rsidR="00923C85">
        <w:rPr>
          <w:rFonts w:asciiTheme="minorHAnsi" w:hAnsiTheme="minorHAnsi"/>
        </w:rPr>
        <w:t xml:space="preserve">of </w:t>
      </w:r>
      <w:r w:rsidR="0064352E">
        <w:rPr>
          <w:rFonts w:asciiTheme="minorHAnsi" w:hAnsiTheme="minorHAnsi"/>
        </w:rPr>
        <w:t>mak</w:t>
      </w:r>
      <w:r w:rsidR="00923C85">
        <w:rPr>
          <w:rFonts w:asciiTheme="minorHAnsi" w:hAnsiTheme="minorHAnsi"/>
        </w:rPr>
        <w:t>ing</w:t>
      </w:r>
      <w:r w:rsidR="0064352E">
        <w:rPr>
          <w:rFonts w:asciiTheme="minorHAnsi" w:hAnsiTheme="minorHAnsi"/>
        </w:rPr>
        <w:t xml:space="preserve"> line ministries more accountable</w:t>
      </w:r>
      <w:r w:rsidR="00923C85">
        <w:rPr>
          <w:rFonts w:asciiTheme="minorHAnsi" w:hAnsiTheme="minorHAnsi"/>
        </w:rPr>
        <w:t>.</w:t>
      </w:r>
      <w:r w:rsidR="0064352E">
        <w:rPr>
          <w:rFonts w:asciiTheme="minorHAnsi" w:hAnsiTheme="minorHAnsi"/>
        </w:rPr>
        <w:t xml:space="preserve"> For line ministries</w:t>
      </w:r>
      <w:r w:rsidR="000251B6">
        <w:rPr>
          <w:rFonts w:asciiTheme="minorHAnsi" w:hAnsiTheme="minorHAnsi"/>
        </w:rPr>
        <w:t>,</w:t>
      </w:r>
      <w:r w:rsidR="0064352E">
        <w:rPr>
          <w:rFonts w:asciiTheme="minorHAnsi" w:hAnsiTheme="minorHAnsi"/>
        </w:rPr>
        <w:t xml:space="preserve"> performance budgeting provides </w:t>
      </w:r>
      <w:r w:rsidR="00E37F1E">
        <w:rPr>
          <w:rFonts w:asciiTheme="minorHAnsi" w:hAnsiTheme="minorHAnsi"/>
        </w:rPr>
        <w:t xml:space="preserve">tools </w:t>
      </w:r>
      <w:r w:rsidR="0064352E">
        <w:rPr>
          <w:rFonts w:asciiTheme="minorHAnsi" w:hAnsiTheme="minorHAnsi"/>
        </w:rPr>
        <w:t>to improve their internal decision</w:t>
      </w:r>
      <w:r w:rsidR="00923C85">
        <w:rPr>
          <w:rFonts w:asciiTheme="minorHAnsi" w:hAnsiTheme="minorHAnsi"/>
        </w:rPr>
        <w:t xml:space="preserve"> making, </w:t>
      </w:r>
      <w:r w:rsidR="00E37F1E">
        <w:rPr>
          <w:rFonts w:asciiTheme="minorHAnsi" w:hAnsiTheme="minorHAnsi"/>
        </w:rPr>
        <w:t xml:space="preserve">and make a stronger case to government in support of their budget proposals. It also helps </w:t>
      </w:r>
      <w:r w:rsidR="003B33CC">
        <w:rPr>
          <w:rFonts w:asciiTheme="minorHAnsi" w:hAnsiTheme="minorHAnsi"/>
        </w:rPr>
        <w:t>programme</w:t>
      </w:r>
      <w:r w:rsidR="00DA0272">
        <w:rPr>
          <w:rFonts w:asciiTheme="minorHAnsi" w:hAnsiTheme="minorHAnsi"/>
        </w:rPr>
        <w:t xml:space="preserve"> </w:t>
      </w:r>
      <w:r w:rsidR="00E37F1E">
        <w:rPr>
          <w:rFonts w:asciiTheme="minorHAnsi" w:hAnsiTheme="minorHAnsi"/>
        </w:rPr>
        <w:t>managers to do their job, enabling them to track performance as well as spending</w:t>
      </w:r>
      <w:r w:rsidR="00923C85">
        <w:rPr>
          <w:rFonts w:asciiTheme="minorHAnsi" w:hAnsiTheme="minorHAnsi"/>
        </w:rPr>
        <w:t xml:space="preserve">. For </w:t>
      </w:r>
      <w:r w:rsidR="00D7169C">
        <w:rPr>
          <w:rFonts w:asciiTheme="minorHAnsi" w:hAnsiTheme="minorHAnsi"/>
        </w:rPr>
        <w:t xml:space="preserve">citizens and </w:t>
      </w:r>
      <w:r w:rsidR="00923C85">
        <w:rPr>
          <w:rFonts w:asciiTheme="minorHAnsi" w:hAnsiTheme="minorHAnsi"/>
        </w:rPr>
        <w:t>civil society</w:t>
      </w:r>
      <w:r w:rsidR="00D7169C">
        <w:rPr>
          <w:rFonts w:asciiTheme="minorHAnsi" w:hAnsiTheme="minorHAnsi"/>
        </w:rPr>
        <w:t xml:space="preserve"> organizations</w:t>
      </w:r>
      <w:r w:rsidR="000251B6">
        <w:rPr>
          <w:rFonts w:asciiTheme="minorHAnsi" w:hAnsiTheme="minorHAnsi"/>
        </w:rPr>
        <w:t>,</w:t>
      </w:r>
      <w:r w:rsidR="00923C85">
        <w:rPr>
          <w:rFonts w:asciiTheme="minorHAnsi" w:hAnsiTheme="minorHAnsi"/>
        </w:rPr>
        <w:t xml:space="preserve"> </w:t>
      </w:r>
      <w:r w:rsidR="00D7169C">
        <w:rPr>
          <w:rFonts w:asciiTheme="minorHAnsi" w:hAnsiTheme="minorHAnsi"/>
        </w:rPr>
        <w:t xml:space="preserve">performance budgeting </w:t>
      </w:r>
      <w:r w:rsidR="00923C85">
        <w:rPr>
          <w:rFonts w:asciiTheme="minorHAnsi" w:hAnsiTheme="minorHAnsi"/>
        </w:rPr>
        <w:t xml:space="preserve">offers the prospect of greater transparency </w:t>
      </w:r>
      <w:r w:rsidR="00502AD8" w:rsidRPr="00A4255D">
        <w:rPr>
          <w:rFonts w:asciiTheme="minorHAnsi" w:hAnsiTheme="minorHAnsi"/>
        </w:rPr>
        <w:t>and accountability</w:t>
      </w:r>
      <w:r w:rsidR="00502AD8">
        <w:rPr>
          <w:rFonts w:asciiTheme="minorHAnsi" w:hAnsiTheme="minorHAnsi"/>
        </w:rPr>
        <w:t xml:space="preserve"> in respect of the purposes and results of public </w:t>
      </w:r>
      <w:r w:rsidR="00502AD8">
        <w:rPr>
          <w:rFonts w:asciiTheme="minorHAnsi" w:hAnsiTheme="minorHAnsi"/>
        </w:rPr>
        <w:lastRenderedPageBreak/>
        <w:t>spending</w:t>
      </w:r>
      <w:r w:rsidR="00D7169C">
        <w:rPr>
          <w:rFonts w:asciiTheme="minorHAnsi" w:hAnsiTheme="minorHAnsi"/>
        </w:rPr>
        <w:t xml:space="preserve"> and, by opening up the ‘black box’ of the budget, it strengthens the basis for direct citizen engagement in the budget process</w:t>
      </w:r>
      <w:r w:rsidR="000251B6">
        <w:rPr>
          <w:rFonts w:asciiTheme="minorHAnsi" w:hAnsiTheme="minorHAnsi"/>
        </w:rPr>
        <w:t>.</w:t>
      </w:r>
      <w:r w:rsidR="00502AD8" w:rsidRPr="00A4255D">
        <w:rPr>
          <w:rFonts w:asciiTheme="minorHAnsi" w:hAnsiTheme="minorHAnsi"/>
        </w:rPr>
        <w:t xml:space="preserve">  </w:t>
      </w:r>
    </w:p>
    <w:p w:rsidR="00881465" w:rsidRDefault="00383ED0" w:rsidP="007F027C">
      <w:pPr>
        <w:keepNext/>
        <w:spacing w:before="240" w:after="120"/>
        <w:ind w:firstLine="567"/>
        <w:rPr>
          <w:rFonts w:asciiTheme="minorHAnsi" w:hAnsiTheme="minorHAnsi"/>
        </w:rPr>
      </w:pPr>
      <w:r>
        <w:rPr>
          <w:rFonts w:asciiTheme="minorHAnsi" w:hAnsiTheme="minorHAnsi"/>
        </w:rPr>
        <w:tab/>
      </w:r>
      <w:r w:rsidR="0096478B">
        <w:rPr>
          <w:rFonts w:asciiTheme="minorHAnsi" w:hAnsiTheme="minorHAnsi"/>
        </w:rPr>
        <w:t>In practice</w:t>
      </w:r>
      <w:r w:rsidR="00D7169C">
        <w:rPr>
          <w:rFonts w:asciiTheme="minorHAnsi" w:hAnsiTheme="minorHAnsi"/>
        </w:rPr>
        <w:t>,</w:t>
      </w:r>
      <w:r w:rsidR="00502AD8" w:rsidRPr="0096478B">
        <w:rPr>
          <w:rFonts w:asciiTheme="minorHAnsi" w:hAnsiTheme="minorHAnsi"/>
        </w:rPr>
        <w:t xml:space="preserve"> </w:t>
      </w:r>
      <w:r w:rsidR="000251B6">
        <w:rPr>
          <w:rFonts w:asciiTheme="minorHAnsi" w:hAnsiTheme="minorHAnsi"/>
        </w:rPr>
        <w:t xml:space="preserve">a </w:t>
      </w:r>
      <w:r w:rsidR="00502AD8" w:rsidRPr="0096478B">
        <w:rPr>
          <w:rFonts w:asciiTheme="minorHAnsi" w:hAnsiTheme="minorHAnsi"/>
        </w:rPr>
        <w:t>multi</w:t>
      </w:r>
      <w:r w:rsidR="00E37F1E">
        <w:rPr>
          <w:rFonts w:asciiTheme="minorHAnsi" w:hAnsiTheme="minorHAnsi"/>
        </w:rPr>
        <w:t>pl</w:t>
      </w:r>
      <w:r w:rsidR="000251B6">
        <w:rPr>
          <w:rFonts w:asciiTheme="minorHAnsi" w:hAnsiTheme="minorHAnsi"/>
        </w:rPr>
        <w:t>icity of</w:t>
      </w:r>
      <w:r w:rsidR="00502AD8" w:rsidRPr="0096478B">
        <w:rPr>
          <w:rFonts w:asciiTheme="minorHAnsi" w:hAnsiTheme="minorHAnsi"/>
        </w:rPr>
        <w:t xml:space="preserve"> objectives</w:t>
      </w:r>
      <w:r w:rsidR="00E37F1E">
        <w:rPr>
          <w:rFonts w:asciiTheme="minorHAnsi" w:hAnsiTheme="minorHAnsi"/>
        </w:rPr>
        <w:t xml:space="preserve"> </w:t>
      </w:r>
      <w:r w:rsidR="000251B6">
        <w:rPr>
          <w:rFonts w:asciiTheme="minorHAnsi" w:hAnsiTheme="minorHAnsi"/>
        </w:rPr>
        <w:t xml:space="preserve">has </w:t>
      </w:r>
      <w:r w:rsidR="0096478B">
        <w:rPr>
          <w:rFonts w:asciiTheme="minorHAnsi" w:hAnsiTheme="minorHAnsi"/>
        </w:rPr>
        <w:t>tend</w:t>
      </w:r>
      <w:r w:rsidR="000251B6">
        <w:rPr>
          <w:rFonts w:asciiTheme="minorHAnsi" w:hAnsiTheme="minorHAnsi"/>
        </w:rPr>
        <w:t>ed</w:t>
      </w:r>
      <w:r w:rsidR="0096478B">
        <w:rPr>
          <w:rFonts w:asciiTheme="minorHAnsi" w:hAnsiTheme="minorHAnsi"/>
        </w:rPr>
        <w:t xml:space="preserve"> to lead to the </w:t>
      </w:r>
      <w:r w:rsidR="00502AD8" w:rsidRPr="0096478B">
        <w:rPr>
          <w:rFonts w:asciiTheme="minorHAnsi" w:hAnsiTheme="minorHAnsi"/>
        </w:rPr>
        <w:t>development of complex systems</w:t>
      </w:r>
      <w:r w:rsidR="00E37F1E">
        <w:rPr>
          <w:rFonts w:asciiTheme="minorHAnsi" w:hAnsiTheme="minorHAnsi"/>
        </w:rPr>
        <w:t xml:space="preserve"> that have added a significant</w:t>
      </w:r>
      <w:r w:rsidR="00502AD8" w:rsidRPr="0096478B">
        <w:rPr>
          <w:rFonts w:asciiTheme="minorHAnsi" w:hAnsiTheme="minorHAnsi"/>
        </w:rPr>
        <w:t xml:space="preserve"> administrative burden, while produ</w:t>
      </w:r>
      <w:r w:rsidR="00DE5FA9">
        <w:rPr>
          <w:rFonts w:asciiTheme="minorHAnsi" w:hAnsiTheme="minorHAnsi"/>
        </w:rPr>
        <w:t xml:space="preserve">cing relatively few </w:t>
      </w:r>
      <w:r w:rsidR="00502AD8" w:rsidRPr="0096478B">
        <w:rPr>
          <w:rFonts w:asciiTheme="minorHAnsi" w:hAnsiTheme="minorHAnsi"/>
        </w:rPr>
        <w:t>quantifiable benefits, in the form of cost savings or reallocation of resources</w:t>
      </w:r>
      <w:r w:rsidR="00A6104B">
        <w:rPr>
          <w:rFonts w:asciiTheme="minorHAnsi" w:hAnsiTheme="minorHAnsi"/>
        </w:rPr>
        <w:t xml:space="preserve"> (see Figure </w:t>
      </w:r>
      <w:r w:rsidR="00A6104B" w:rsidRPr="0096478B">
        <w:rPr>
          <w:rFonts w:asciiTheme="minorHAnsi" w:hAnsiTheme="minorHAnsi"/>
        </w:rPr>
        <w:t>1)</w:t>
      </w:r>
      <w:r w:rsidR="00502AD8" w:rsidRPr="0096478B">
        <w:rPr>
          <w:rFonts w:asciiTheme="minorHAnsi" w:hAnsiTheme="minorHAnsi"/>
        </w:rPr>
        <w:t xml:space="preserve">. </w:t>
      </w:r>
    </w:p>
    <w:p w:rsidR="00881465" w:rsidRPr="00A4255D" w:rsidRDefault="00881465" w:rsidP="00881465">
      <w:pPr>
        <w:keepNext/>
        <w:spacing w:before="240" w:after="120"/>
        <w:jc w:val="center"/>
        <w:rPr>
          <w:rFonts w:asciiTheme="minorHAnsi" w:hAnsiTheme="minorHAnsi" w:cs="Arial"/>
          <w:b/>
          <w:bCs/>
          <w:color w:val="000000"/>
        </w:rPr>
      </w:pPr>
      <w:r>
        <w:rPr>
          <w:rFonts w:asciiTheme="minorHAnsi" w:hAnsiTheme="minorHAnsi" w:cs="Arial"/>
          <w:b/>
          <w:bCs/>
          <w:color w:val="000000"/>
        </w:rPr>
        <w:t xml:space="preserve">Figure 1 -- </w:t>
      </w:r>
      <w:r w:rsidRPr="00A4255D">
        <w:rPr>
          <w:rFonts w:asciiTheme="minorHAnsi" w:hAnsiTheme="minorHAnsi" w:cs="Arial"/>
          <w:b/>
          <w:bCs/>
          <w:color w:val="000000"/>
        </w:rPr>
        <w:t>Have Performance Budgeting Systems and Processes Contributed to Improved Quality of Public Finances in Your Country?</w:t>
      </w:r>
    </w:p>
    <w:p w:rsidR="00881465" w:rsidRDefault="00881465" w:rsidP="00881465">
      <w:pPr>
        <w:pStyle w:val="BodyText"/>
        <w:spacing w:before="360"/>
        <w:rPr>
          <w:rFonts w:asciiTheme="minorHAnsi" w:hAnsiTheme="minorHAnsi"/>
        </w:rPr>
      </w:pPr>
      <w:r w:rsidRPr="002F4FBC">
        <w:rPr>
          <w:rFonts w:asciiTheme="minorHAnsi" w:hAnsiTheme="minorHAnsi"/>
          <w:noProof/>
          <w:lang w:eastAsia="en-GB"/>
        </w:rPr>
        <w:drawing>
          <wp:inline distT="0" distB="0" distL="0" distR="0" wp14:anchorId="1B9D4700" wp14:editId="7BB992AA">
            <wp:extent cx="5786588" cy="19573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81748" cy="1955664"/>
                    </a:xfrm>
                    <a:prstGeom prst="rect">
                      <a:avLst/>
                    </a:prstGeom>
                  </pic:spPr>
                </pic:pic>
              </a:graphicData>
            </a:graphic>
          </wp:inline>
        </w:drawing>
      </w:r>
    </w:p>
    <w:p w:rsidR="00502AD8" w:rsidRPr="0096478B" w:rsidRDefault="007F027C" w:rsidP="007F027C">
      <w:pPr>
        <w:pStyle w:val="BodyText"/>
        <w:tabs>
          <w:tab w:val="clear" w:pos="850"/>
          <w:tab w:val="left" w:pos="567"/>
        </w:tabs>
        <w:spacing w:before="360"/>
        <w:ind w:firstLine="0"/>
        <w:rPr>
          <w:rFonts w:asciiTheme="minorHAnsi" w:hAnsiTheme="minorHAnsi"/>
        </w:rPr>
      </w:pPr>
      <w:r>
        <w:rPr>
          <w:rFonts w:asciiTheme="minorHAnsi" w:hAnsiTheme="minorHAnsi"/>
        </w:rPr>
        <w:tab/>
      </w:r>
      <w:r w:rsidR="00881465" w:rsidRPr="00A4255D">
        <w:rPr>
          <w:rFonts w:asciiTheme="minorHAnsi" w:hAnsiTheme="minorHAnsi"/>
        </w:rPr>
        <w:t>Despite these disappointments, the appeal of performance budgeting remains strong enough that most OECD governments have shrugged off the initial difficulties and persevered in their efforts to make the system work.  Through a combination of more realistic expectations and adaptation of approaches, OECD governments now see benefit</w:t>
      </w:r>
      <w:r w:rsidR="00881465">
        <w:rPr>
          <w:rFonts w:asciiTheme="minorHAnsi" w:hAnsiTheme="minorHAnsi"/>
        </w:rPr>
        <w:t>s</w:t>
      </w:r>
      <w:r w:rsidR="00881465" w:rsidRPr="00A4255D">
        <w:rPr>
          <w:rFonts w:asciiTheme="minorHAnsi" w:hAnsiTheme="minorHAnsi"/>
        </w:rPr>
        <w:t xml:space="preserve"> emerging from these reforms. </w:t>
      </w:r>
      <w:r w:rsidR="00502AD8" w:rsidRPr="0096478B">
        <w:rPr>
          <w:rFonts w:asciiTheme="minorHAnsi" w:hAnsiTheme="minorHAnsi"/>
        </w:rPr>
        <w:t xml:space="preserve">The process has provided more and better understanding of government goals and priorities and how different programmes contribute to them.  It has also contributed to improving transparency and accountability, and </w:t>
      </w:r>
      <w:r w:rsidR="000251B6">
        <w:rPr>
          <w:rFonts w:asciiTheme="minorHAnsi" w:hAnsiTheme="minorHAnsi"/>
        </w:rPr>
        <w:t xml:space="preserve">helped to foster </w:t>
      </w:r>
      <w:r w:rsidR="00502AD8" w:rsidRPr="0096478B">
        <w:rPr>
          <w:rFonts w:asciiTheme="minorHAnsi" w:hAnsiTheme="minorHAnsi"/>
        </w:rPr>
        <w:t>a performance culture</w:t>
      </w:r>
      <w:r w:rsidR="00A6104B">
        <w:rPr>
          <w:rFonts w:asciiTheme="minorHAnsi" w:hAnsiTheme="minorHAnsi"/>
        </w:rPr>
        <w:t xml:space="preserve"> in government</w:t>
      </w:r>
      <w:r w:rsidR="00502AD8" w:rsidRPr="0096478B">
        <w:rPr>
          <w:rFonts w:asciiTheme="minorHAnsi" w:hAnsiTheme="minorHAnsi"/>
        </w:rPr>
        <w:t>.</w:t>
      </w:r>
    </w:p>
    <w:p w:rsidR="005F40A5" w:rsidRPr="00002EE1" w:rsidRDefault="005F40A5" w:rsidP="00002EE1">
      <w:pPr>
        <w:pStyle w:val="Heading2"/>
        <w:rPr>
          <w:rFonts w:asciiTheme="minorHAnsi" w:hAnsiTheme="minorHAnsi"/>
        </w:rPr>
      </w:pPr>
      <w:r w:rsidRPr="00002EE1">
        <w:rPr>
          <w:rFonts w:asciiTheme="minorHAnsi" w:hAnsiTheme="minorHAnsi"/>
        </w:rPr>
        <w:t xml:space="preserve">Performance budgeting </w:t>
      </w:r>
      <w:r w:rsidR="00A84CD9" w:rsidRPr="00002EE1">
        <w:rPr>
          <w:rFonts w:asciiTheme="minorHAnsi" w:hAnsiTheme="minorHAnsi"/>
        </w:rPr>
        <w:t xml:space="preserve">and </w:t>
      </w:r>
      <w:r w:rsidRPr="00002EE1">
        <w:rPr>
          <w:rFonts w:asciiTheme="minorHAnsi" w:hAnsiTheme="minorHAnsi"/>
        </w:rPr>
        <w:t>performance improvement</w:t>
      </w:r>
    </w:p>
    <w:p w:rsidR="00412438" w:rsidRDefault="00A84CD9" w:rsidP="007F027C">
      <w:pPr>
        <w:pStyle w:val="BodyText"/>
        <w:ind w:firstLine="567"/>
        <w:rPr>
          <w:rFonts w:asciiTheme="minorHAnsi" w:hAnsiTheme="minorHAnsi"/>
        </w:rPr>
      </w:pPr>
      <w:r>
        <w:rPr>
          <w:rFonts w:asciiTheme="minorHAnsi" w:hAnsiTheme="minorHAnsi"/>
        </w:rPr>
        <w:t>P</w:t>
      </w:r>
      <w:r w:rsidR="005D059C" w:rsidRPr="005F40A5">
        <w:rPr>
          <w:rFonts w:asciiTheme="minorHAnsi" w:hAnsiTheme="minorHAnsi"/>
        </w:rPr>
        <w:t xml:space="preserve">erformance budgeting </w:t>
      </w:r>
      <w:r w:rsidR="005D059C">
        <w:rPr>
          <w:rFonts w:asciiTheme="minorHAnsi" w:hAnsiTheme="minorHAnsi"/>
        </w:rPr>
        <w:t xml:space="preserve">should be thought of as </w:t>
      </w:r>
      <w:r w:rsidR="005D059C" w:rsidRPr="005F40A5">
        <w:rPr>
          <w:rFonts w:asciiTheme="minorHAnsi" w:hAnsiTheme="minorHAnsi"/>
        </w:rPr>
        <w:t xml:space="preserve">one element of a wider set of reforms aimed </w:t>
      </w:r>
      <w:r w:rsidR="00A6104B">
        <w:rPr>
          <w:rFonts w:asciiTheme="minorHAnsi" w:hAnsiTheme="minorHAnsi"/>
        </w:rPr>
        <w:t>at creating a</w:t>
      </w:r>
      <w:r w:rsidR="005D059C" w:rsidRPr="005F40A5">
        <w:rPr>
          <w:rFonts w:asciiTheme="minorHAnsi" w:hAnsiTheme="minorHAnsi"/>
        </w:rPr>
        <w:t xml:space="preserve"> performance oriented</w:t>
      </w:r>
      <w:r w:rsidR="00A6104B">
        <w:rPr>
          <w:rFonts w:asciiTheme="minorHAnsi" w:hAnsiTheme="minorHAnsi"/>
        </w:rPr>
        <w:t xml:space="preserve"> public sector</w:t>
      </w:r>
      <w:r w:rsidR="005D059C" w:rsidRPr="005F40A5">
        <w:rPr>
          <w:rFonts w:asciiTheme="minorHAnsi" w:hAnsiTheme="minorHAnsi"/>
        </w:rPr>
        <w:t>.</w:t>
      </w:r>
      <w:r w:rsidR="005D059C">
        <w:rPr>
          <w:rFonts w:asciiTheme="minorHAnsi" w:hAnsiTheme="minorHAnsi"/>
        </w:rPr>
        <w:t xml:space="preserve">  </w:t>
      </w:r>
      <w:r>
        <w:rPr>
          <w:rFonts w:asciiTheme="minorHAnsi" w:hAnsiTheme="minorHAnsi"/>
        </w:rPr>
        <w:t xml:space="preserve">Experience suggests that performance budgeting </w:t>
      </w:r>
      <w:r w:rsidR="00A6104B">
        <w:rPr>
          <w:rFonts w:asciiTheme="minorHAnsi" w:hAnsiTheme="minorHAnsi"/>
        </w:rPr>
        <w:t xml:space="preserve">is less effective when it is </w:t>
      </w:r>
      <w:r w:rsidR="00FA786D">
        <w:rPr>
          <w:rFonts w:asciiTheme="minorHAnsi" w:hAnsiTheme="minorHAnsi"/>
        </w:rPr>
        <w:t>pursued as</w:t>
      </w:r>
      <w:r w:rsidR="00A6104B">
        <w:rPr>
          <w:rFonts w:asciiTheme="minorHAnsi" w:hAnsiTheme="minorHAnsi"/>
        </w:rPr>
        <w:t xml:space="preserve"> </w:t>
      </w:r>
      <w:r>
        <w:rPr>
          <w:rFonts w:asciiTheme="minorHAnsi" w:hAnsiTheme="minorHAnsi"/>
        </w:rPr>
        <w:t xml:space="preserve">an isolated reform, </w:t>
      </w:r>
      <w:r w:rsidR="00FA786D">
        <w:rPr>
          <w:rFonts w:asciiTheme="minorHAnsi" w:hAnsiTheme="minorHAnsi"/>
        </w:rPr>
        <w:t xml:space="preserve">and should be seen as a reform that supports rather than leads </w:t>
      </w:r>
      <w:r>
        <w:rPr>
          <w:rFonts w:asciiTheme="minorHAnsi" w:hAnsiTheme="minorHAnsi"/>
        </w:rPr>
        <w:t>broader government effort</w:t>
      </w:r>
      <w:r w:rsidR="00FA786D">
        <w:rPr>
          <w:rFonts w:asciiTheme="minorHAnsi" w:hAnsiTheme="minorHAnsi"/>
        </w:rPr>
        <w:t>s</w:t>
      </w:r>
      <w:r>
        <w:rPr>
          <w:rFonts w:asciiTheme="minorHAnsi" w:hAnsiTheme="minorHAnsi"/>
        </w:rPr>
        <w:t xml:space="preserve"> to </w:t>
      </w:r>
      <w:r w:rsidR="0036560A">
        <w:rPr>
          <w:rFonts w:asciiTheme="minorHAnsi" w:hAnsiTheme="minorHAnsi"/>
        </w:rPr>
        <w:t xml:space="preserve">improve </w:t>
      </w:r>
      <w:r>
        <w:rPr>
          <w:rFonts w:asciiTheme="minorHAnsi" w:hAnsiTheme="minorHAnsi"/>
        </w:rPr>
        <w:t xml:space="preserve">performance. </w:t>
      </w:r>
    </w:p>
    <w:p w:rsidR="00070B41" w:rsidRPr="00412438" w:rsidRDefault="0063196B" w:rsidP="007F027C">
      <w:pPr>
        <w:pStyle w:val="BodyText"/>
        <w:spacing w:after="120"/>
        <w:ind w:firstLine="567"/>
        <w:rPr>
          <w:rFonts w:asciiTheme="minorHAnsi" w:hAnsiTheme="minorHAnsi"/>
        </w:rPr>
      </w:pPr>
      <w:r w:rsidRPr="00412438">
        <w:rPr>
          <w:rFonts w:asciiTheme="minorHAnsi" w:hAnsiTheme="minorHAnsi"/>
        </w:rPr>
        <w:t xml:space="preserve">The </w:t>
      </w:r>
      <w:r w:rsidR="005F40A5" w:rsidRPr="00412438">
        <w:rPr>
          <w:rFonts w:asciiTheme="minorHAnsi" w:hAnsiTheme="minorHAnsi"/>
        </w:rPr>
        <w:t>design</w:t>
      </w:r>
      <w:r w:rsidR="00FA786D">
        <w:rPr>
          <w:rFonts w:asciiTheme="minorHAnsi" w:hAnsiTheme="minorHAnsi"/>
        </w:rPr>
        <w:t>, implementation</w:t>
      </w:r>
      <w:r w:rsidR="005F40A5" w:rsidRPr="00412438">
        <w:rPr>
          <w:rFonts w:asciiTheme="minorHAnsi" w:hAnsiTheme="minorHAnsi"/>
        </w:rPr>
        <w:t xml:space="preserve"> and </w:t>
      </w:r>
      <w:r w:rsidR="00FA786D">
        <w:rPr>
          <w:rFonts w:asciiTheme="minorHAnsi" w:hAnsiTheme="minorHAnsi"/>
        </w:rPr>
        <w:t xml:space="preserve">ultimate </w:t>
      </w:r>
      <w:r w:rsidRPr="00412438">
        <w:rPr>
          <w:rFonts w:asciiTheme="minorHAnsi" w:hAnsiTheme="minorHAnsi"/>
        </w:rPr>
        <w:t xml:space="preserve">effectiveness of the performance budgeting system will </w:t>
      </w:r>
      <w:r w:rsidR="00A84CD9">
        <w:rPr>
          <w:rFonts w:asciiTheme="minorHAnsi" w:hAnsiTheme="minorHAnsi"/>
        </w:rPr>
        <w:t>depend on</w:t>
      </w:r>
      <w:r w:rsidRPr="00412438">
        <w:rPr>
          <w:rFonts w:asciiTheme="minorHAnsi" w:hAnsiTheme="minorHAnsi"/>
        </w:rPr>
        <w:t xml:space="preserve"> the extent to which </w:t>
      </w:r>
      <w:r w:rsidR="00FA786D">
        <w:rPr>
          <w:rFonts w:asciiTheme="minorHAnsi" w:hAnsiTheme="minorHAnsi"/>
        </w:rPr>
        <w:t xml:space="preserve">the </w:t>
      </w:r>
      <w:r w:rsidRPr="00412438">
        <w:rPr>
          <w:rFonts w:asciiTheme="minorHAnsi" w:hAnsiTheme="minorHAnsi"/>
        </w:rPr>
        <w:t>o</w:t>
      </w:r>
      <w:r w:rsidR="009B2A1A" w:rsidRPr="00412438">
        <w:rPr>
          <w:rFonts w:asciiTheme="minorHAnsi" w:hAnsiTheme="minorHAnsi"/>
        </w:rPr>
        <w:t xml:space="preserve">ther elements </w:t>
      </w:r>
      <w:r w:rsidRPr="00412438">
        <w:rPr>
          <w:rFonts w:asciiTheme="minorHAnsi" w:hAnsiTheme="minorHAnsi"/>
        </w:rPr>
        <w:t>of a performance management system are</w:t>
      </w:r>
      <w:r w:rsidR="00043913" w:rsidRPr="00412438">
        <w:rPr>
          <w:rFonts w:asciiTheme="minorHAnsi" w:hAnsiTheme="minorHAnsi"/>
        </w:rPr>
        <w:t xml:space="preserve"> in place and functioning effectively</w:t>
      </w:r>
      <w:r w:rsidRPr="00412438">
        <w:rPr>
          <w:rFonts w:asciiTheme="minorHAnsi" w:hAnsiTheme="minorHAnsi"/>
        </w:rPr>
        <w:t xml:space="preserve">. </w:t>
      </w:r>
      <w:r w:rsidR="00070B41" w:rsidRPr="00412438">
        <w:rPr>
          <w:rFonts w:asciiTheme="minorHAnsi" w:hAnsiTheme="minorHAnsi"/>
        </w:rPr>
        <w:t xml:space="preserve">Therefore, </w:t>
      </w:r>
      <w:r w:rsidR="005D059C">
        <w:rPr>
          <w:rFonts w:asciiTheme="minorHAnsi" w:hAnsiTheme="minorHAnsi"/>
        </w:rPr>
        <w:t xml:space="preserve">in designing the approach to performance budgeting, close </w:t>
      </w:r>
      <w:r w:rsidR="00070B41" w:rsidRPr="00412438">
        <w:rPr>
          <w:rFonts w:asciiTheme="minorHAnsi" w:hAnsiTheme="minorHAnsi"/>
        </w:rPr>
        <w:t>attention needs to be paid to</w:t>
      </w:r>
      <w:r w:rsidR="005D059C">
        <w:rPr>
          <w:rFonts w:asciiTheme="minorHAnsi" w:hAnsiTheme="minorHAnsi"/>
        </w:rPr>
        <w:t xml:space="preserve"> the state of</w:t>
      </w:r>
      <w:r w:rsidR="00A84CD9">
        <w:rPr>
          <w:rFonts w:asciiTheme="minorHAnsi" w:hAnsiTheme="minorHAnsi"/>
        </w:rPr>
        <w:t xml:space="preserve"> other related performance reforms including</w:t>
      </w:r>
      <w:r w:rsidR="002F4FBC">
        <w:rPr>
          <w:rFonts w:asciiTheme="minorHAnsi" w:hAnsiTheme="minorHAnsi"/>
        </w:rPr>
        <w:t>:</w:t>
      </w:r>
    </w:p>
    <w:p w:rsidR="00A84CD9" w:rsidRDefault="00070B41" w:rsidP="007F027C">
      <w:pPr>
        <w:pStyle w:val="BodyText"/>
        <w:numPr>
          <w:ilvl w:val="0"/>
          <w:numId w:val="29"/>
        </w:numPr>
        <w:tabs>
          <w:tab w:val="clear" w:pos="1191"/>
          <w:tab w:val="clear" w:pos="1531"/>
        </w:tabs>
        <w:spacing w:after="120"/>
        <w:ind w:left="850" w:hanging="283"/>
        <w:rPr>
          <w:rFonts w:asciiTheme="minorHAnsi" w:hAnsiTheme="minorHAnsi"/>
        </w:rPr>
      </w:pPr>
      <w:r w:rsidRPr="00A84CD9">
        <w:rPr>
          <w:rFonts w:asciiTheme="minorHAnsi" w:hAnsiTheme="minorHAnsi"/>
        </w:rPr>
        <w:t>s</w:t>
      </w:r>
      <w:r w:rsidR="0063196B" w:rsidRPr="00A84CD9">
        <w:rPr>
          <w:rFonts w:asciiTheme="minorHAnsi" w:hAnsiTheme="minorHAnsi"/>
        </w:rPr>
        <w:t>trategic planning</w:t>
      </w:r>
      <w:r w:rsidR="005D059C" w:rsidRPr="00A84CD9">
        <w:rPr>
          <w:rFonts w:asciiTheme="minorHAnsi" w:hAnsiTheme="minorHAnsi"/>
        </w:rPr>
        <w:t xml:space="preserve"> at both national and sector levels</w:t>
      </w:r>
      <w:r w:rsidR="00043913" w:rsidRPr="00A84CD9">
        <w:rPr>
          <w:rFonts w:asciiTheme="minorHAnsi" w:hAnsiTheme="minorHAnsi"/>
        </w:rPr>
        <w:t xml:space="preserve"> and, in particular, the </w:t>
      </w:r>
      <w:r w:rsidR="005F07F5" w:rsidRPr="00A84CD9">
        <w:rPr>
          <w:rFonts w:asciiTheme="minorHAnsi" w:hAnsiTheme="minorHAnsi"/>
        </w:rPr>
        <w:t xml:space="preserve">quality of </w:t>
      </w:r>
      <w:r w:rsidR="00043913" w:rsidRPr="00A84CD9">
        <w:rPr>
          <w:rFonts w:asciiTheme="minorHAnsi" w:hAnsiTheme="minorHAnsi"/>
        </w:rPr>
        <w:t>key performance indicators</w:t>
      </w:r>
      <w:r w:rsidRPr="00A84CD9">
        <w:rPr>
          <w:rFonts w:asciiTheme="minorHAnsi" w:hAnsiTheme="minorHAnsi"/>
        </w:rPr>
        <w:t xml:space="preserve"> and </w:t>
      </w:r>
      <w:r w:rsidR="005F07F5" w:rsidRPr="00A84CD9">
        <w:rPr>
          <w:rFonts w:asciiTheme="minorHAnsi" w:hAnsiTheme="minorHAnsi"/>
        </w:rPr>
        <w:t xml:space="preserve">the realism of </w:t>
      </w:r>
      <w:r w:rsidRPr="00A84CD9">
        <w:rPr>
          <w:rFonts w:asciiTheme="minorHAnsi" w:hAnsiTheme="minorHAnsi"/>
        </w:rPr>
        <w:t>targets</w:t>
      </w:r>
    </w:p>
    <w:p w:rsidR="00070B41" w:rsidRPr="00A84CD9" w:rsidRDefault="0063196B" w:rsidP="007F027C">
      <w:pPr>
        <w:pStyle w:val="BodyText"/>
        <w:numPr>
          <w:ilvl w:val="0"/>
          <w:numId w:val="29"/>
        </w:numPr>
        <w:tabs>
          <w:tab w:val="clear" w:pos="1191"/>
          <w:tab w:val="clear" w:pos="1531"/>
        </w:tabs>
        <w:spacing w:after="120"/>
        <w:ind w:left="850" w:hanging="283"/>
        <w:rPr>
          <w:rFonts w:asciiTheme="minorHAnsi" w:hAnsiTheme="minorHAnsi"/>
        </w:rPr>
      </w:pPr>
      <w:r w:rsidRPr="00A84CD9">
        <w:rPr>
          <w:rFonts w:asciiTheme="minorHAnsi" w:hAnsiTheme="minorHAnsi"/>
        </w:rPr>
        <w:t xml:space="preserve">medium term </w:t>
      </w:r>
      <w:r w:rsidR="009B2A1A" w:rsidRPr="00A84CD9">
        <w:rPr>
          <w:rFonts w:asciiTheme="minorHAnsi" w:hAnsiTheme="minorHAnsi"/>
        </w:rPr>
        <w:t>budget</w:t>
      </w:r>
      <w:r w:rsidR="00070B41" w:rsidRPr="00A84CD9">
        <w:rPr>
          <w:rFonts w:asciiTheme="minorHAnsi" w:hAnsiTheme="minorHAnsi"/>
        </w:rPr>
        <w:t xml:space="preserve"> frameworks </w:t>
      </w:r>
      <w:r w:rsidR="00043913" w:rsidRPr="00A84CD9">
        <w:rPr>
          <w:rFonts w:asciiTheme="minorHAnsi" w:hAnsiTheme="minorHAnsi"/>
        </w:rPr>
        <w:t>and</w:t>
      </w:r>
      <w:r w:rsidR="00070B41" w:rsidRPr="00A84CD9">
        <w:rPr>
          <w:rFonts w:asciiTheme="minorHAnsi" w:hAnsiTheme="minorHAnsi"/>
        </w:rPr>
        <w:t xml:space="preserve">, in particular, </w:t>
      </w:r>
      <w:r w:rsidR="00043913" w:rsidRPr="00A84CD9">
        <w:rPr>
          <w:rFonts w:asciiTheme="minorHAnsi" w:hAnsiTheme="minorHAnsi"/>
        </w:rPr>
        <w:t>the extent to which th</w:t>
      </w:r>
      <w:r w:rsidR="00070B41" w:rsidRPr="00A84CD9">
        <w:rPr>
          <w:rFonts w:asciiTheme="minorHAnsi" w:hAnsiTheme="minorHAnsi"/>
        </w:rPr>
        <w:t>ese</w:t>
      </w:r>
      <w:r w:rsidR="00043913" w:rsidRPr="00A84CD9">
        <w:rPr>
          <w:rFonts w:asciiTheme="minorHAnsi" w:hAnsiTheme="minorHAnsi"/>
        </w:rPr>
        <w:t xml:space="preserve"> </w:t>
      </w:r>
      <w:r w:rsidR="00070B41" w:rsidRPr="00A84CD9">
        <w:rPr>
          <w:rFonts w:asciiTheme="minorHAnsi" w:hAnsiTheme="minorHAnsi"/>
        </w:rPr>
        <w:t xml:space="preserve">take account of performance </w:t>
      </w:r>
      <w:r w:rsidR="00010CB1" w:rsidRPr="00A84CD9">
        <w:rPr>
          <w:rFonts w:asciiTheme="minorHAnsi" w:hAnsiTheme="minorHAnsi"/>
        </w:rPr>
        <w:t xml:space="preserve">goals </w:t>
      </w:r>
      <w:r w:rsidR="00070B41" w:rsidRPr="00A84CD9">
        <w:rPr>
          <w:rFonts w:asciiTheme="minorHAnsi" w:hAnsiTheme="minorHAnsi"/>
        </w:rPr>
        <w:t xml:space="preserve">and </w:t>
      </w:r>
      <w:r w:rsidR="00043913" w:rsidRPr="00A84CD9">
        <w:rPr>
          <w:rFonts w:asciiTheme="minorHAnsi" w:hAnsiTheme="minorHAnsi"/>
        </w:rPr>
        <w:t xml:space="preserve">provide </w:t>
      </w:r>
      <w:r w:rsidR="00070B41" w:rsidRPr="00A84CD9">
        <w:rPr>
          <w:rFonts w:asciiTheme="minorHAnsi" w:hAnsiTheme="minorHAnsi"/>
        </w:rPr>
        <w:t xml:space="preserve">a </w:t>
      </w:r>
      <w:r w:rsidR="00043913" w:rsidRPr="00A84CD9">
        <w:rPr>
          <w:rFonts w:asciiTheme="minorHAnsi" w:hAnsiTheme="minorHAnsi"/>
        </w:rPr>
        <w:t xml:space="preserve">reliable </w:t>
      </w:r>
      <w:r w:rsidR="00070B41" w:rsidRPr="00A84CD9">
        <w:rPr>
          <w:rFonts w:asciiTheme="minorHAnsi" w:hAnsiTheme="minorHAnsi"/>
        </w:rPr>
        <w:t xml:space="preserve">basis </w:t>
      </w:r>
      <w:r w:rsidR="00043913" w:rsidRPr="00A84CD9">
        <w:rPr>
          <w:rFonts w:asciiTheme="minorHAnsi" w:hAnsiTheme="minorHAnsi"/>
        </w:rPr>
        <w:t xml:space="preserve">for </w:t>
      </w:r>
      <w:r w:rsidR="00070B41" w:rsidRPr="00A84CD9">
        <w:rPr>
          <w:rFonts w:asciiTheme="minorHAnsi" w:hAnsiTheme="minorHAnsi"/>
        </w:rPr>
        <w:t xml:space="preserve">annual </w:t>
      </w:r>
      <w:r w:rsidR="00043913" w:rsidRPr="00A84CD9">
        <w:rPr>
          <w:rFonts w:asciiTheme="minorHAnsi" w:hAnsiTheme="minorHAnsi"/>
        </w:rPr>
        <w:t>budget planning;</w:t>
      </w:r>
      <w:r w:rsidR="009B2A1A" w:rsidRPr="00A84CD9">
        <w:rPr>
          <w:rFonts w:asciiTheme="minorHAnsi" w:hAnsiTheme="minorHAnsi"/>
        </w:rPr>
        <w:t xml:space="preserve"> </w:t>
      </w:r>
    </w:p>
    <w:p w:rsidR="00070B41" w:rsidRDefault="009B2A1A" w:rsidP="007F027C">
      <w:pPr>
        <w:pStyle w:val="BodyText"/>
        <w:numPr>
          <w:ilvl w:val="0"/>
          <w:numId w:val="29"/>
        </w:numPr>
        <w:tabs>
          <w:tab w:val="clear" w:pos="1191"/>
          <w:tab w:val="clear" w:pos="1531"/>
        </w:tabs>
        <w:spacing w:after="120"/>
        <w:ind w:left="850" w:hanging="283"/>
        <w:rPr>
          <w:rFonts w:asciiTheme="minorHAnsi" w:hAnsiTheme="minorHAnsi"/>
        </w:rPr>
      </w:pPr>
      <w:r w:rsidRPr="00070B41">
        <w:rPr>
          <w:rFonts w:asciiTheme="minorHAnsi" w:hAnsiTheme="minorHAnsi"/>
        </w:rPr>
        <w:lastRenderedPageBreak/>
        <w:t>human resource management</w:t>
      </w:r>
      <w:r w:rsidR="00070B41">
        <w:rPr>
          <w:rFonts w:asciiTheme="minorHAnsi" w:hAnsiTheme="minorHAnsi"/>
        </w:rPr>
        <w:t xml:space="preserve"> system</w:t>
      </w:r>
      <w:r w:rsidR="005D059C">
        <w:rPr>
          <w:rFonts w:asciiTheme="minorHAnsi" w:hAnsiTheme="minorHAnsi"/>
        </w:rPr>
        <w:t>s,</w:t>
      </w:r>
      <w:r w:rsidR="00070B41">
        <w:rPr>
          <w:rFonts w:asciiTheme="minorHAnsi" w:hAnsiTheme="minorHAnsi"/>
        </w:rPr>
        <w:t xml:space="preserve"> and the extent to which this </w:t>
      </w:r>
      <w:r w:rsidR="00010CB1">
        <w:rPr>
          <w:rFonts w:asciiTheme="minorHAnsi" w:hAnsiTheme="minorHAnsi"/>
        </w:rPr>
        <w:t xml:space="preserve">is effective in </w:t>
      </w:r>
      <w:r w:rsidRPr="00070B41">
        <w:rPr>
          <w:rFonts w:asciiTheme="minorHAnsi" w:hAnsiTheme="minorHAnsi"/>
        </w:rPr>
        <w:t>align</w:t>
      </w:r>
      <w:r w:rsidR="00010CB1">
        <w:rPr>
          <w:rFonts w:asciiTheme="minorHAnsi" w:hAnsiTheme="minorHAnsi"/>
        </w:rPr>
        <w:t>ing</w:t>
      </w:r>
      <w:r w:rsidRPr="00070B41">
        <w:rPr>
          <w:rFonts w:asciiTheme="minorHAnsi" w:hAnsiTheme="minorHAnsi"/>
        </w:rPr>
        <w:t xml:space="preserve"> individual incentives </w:t>
      </w:r>
      <w:r w:rsidR="00010CB1">
        <w:rPr>
          <w:rFonts w:asciiTheme="minorHAnsi" w:hAnsiTheme="minorHAnsi"/>
        </w:rPr>
        <w:t xml:space="preserve">with higher level government </w:t>
      </w:r>
      <w:r w:rsidRPr="00070B41">
        <w:rPr>
          <w:rFonts w:asciiTheme="minorHAnsi" w:hAnsiTheme="minorHAnsi"/>
        </w:rPr>
        <w:t xml:space="preserve">performance </w:t>
      </w:r>
      <w:r w:rsidR="00010CB1">
        <w:rPr>
          <w:rFonts w:asciiTheme="minorHAnsi" w:hAnsiTheme="minorHAnsi"/>
        </w:rPr>
        <w:t>targets</w:t>
      </w:r>
      <w:r w:rsidR="00043913" w:rsidRPr="00070B41">
        <w:rPr>
          <w:rFonts w:asciiTheme="minorHAnsi" w:hAnsiTheme="minorHAnsi"/>
        </w:rPr>
        <w:t xml:space="preserve">; </w:t>
      </w:r>
    </w:p>
    <w:p w:rsidR="00070B41" w:rsidRDefault="009B2A1A" w:rsidP="007F027C">
      <w:pPr>
        <w:pStyle w:val="BodyText"/>
        <w:numPr>
          <w:ilvl w:val="0"/>
          <w:numId w:val="29"/>
        </w:numPr>
        <w:tabs>
          <w:tab w:val="clear" w:pos="1191"/>
          <w:tab w:val="clear" w:pos="1531"/>
        </w:tabs>
        <w:spacing w:after="120"/>
        <w:ind w:left="850" w:hanging="283"/>
        <w:rPr>
          <w:rFonts w:asciiTheme="minorHAnsi" w:hAnsiTheme="minorHAnsi"/>
        </w:rPr>
      </w:pPr>
      <w:r w:rsidRPr="00070B41">
        <w:rPr>
          <w:rFonts w:asciiTheme="minorHAnsi" w:hAnsiTheme="minorHAnsi"/>
        </w:rPr>
        <w:t xml:space="preserve">performance </w:t>
      </w:r>
      <w:r w:rsidR="00043913" w:rsidRPr="00070B41">
        <w:rPr>
          <w:rFonts w:asciiTheme="minorHAnsi" w:hAnsiTheme="minorHAnsi"/>
        </w:rPr>
        <w:t xml:space="preserve">based </w:t>
      </w:r>
      <w:r w:rsidRPr="00070B41">
        <w:rPr>
          <w:rFonts w:asciiTheme="minorHAnsi" w:hAnsiTheme="minorHAnsi"/>
        </w:rPr>
        <w:t>contract</w:t>
      </w:r>
      <w:r w:rsidR="00070B41">
        <w:rPr>
          <w:rFonts w:asciiTheme="minorHAnsi" w:hAnsiTheme="minorHAnsi"/>
        </w:rPr>
        <w:t>ing and payment system</w:t>
      </w:r>
      <w:r w:rsidRPr="00070B41">
        <w:rPr>
          <w:rFonts w:asciiTheme="minorHAnsi" w:hAnsiTheme="minorHAnsi"/>
        </w:rPr>
        <w:t>s</w:t>
      </w:r>
      <w:r w:rsidR="005D059C">
        <w:rPr>
          <w:rFonts w:asciiTheme="minorHAnsi" w:hAnsiTheme="minorHAnsi"/>
        </w:rPr>
        <w:t xml:space="preserve">, and the extent to which these create incentives for </w:t>
      </w:r>
      <w:r w:rsidR="00043913" w:rsidRPr="00070B41">
        <w:rPr>
          <w:rFonts w:asciiTheme="minorHAnsi" w:hAnsiTheme="minorHAnsi"/>
        </w:rPr>
        <w:t xml:space="preserve">agencies </w:t>
      </w:r>
      <w:r w:rsidR="005D059C">
        <w:rPr>
          <w:rFonts w:asciiTheme="minorHAnsi" w:hAnsiTheme="minorHAnsi"/>
        </w:rPr>
        <w:t>and other suppliers to</w:t>
      </w:r>
      <w:r w:rsidR="00043913" w:rsidRPr="00070B41">
        <w:rPr>
          <w:rFonts w:asciiTheme="minorHAnsi" w:hAnsiTheme="minorHAnsi"/>
        </w:rPr>
        <w:t xml:space="preserve"> </w:t>
      </w:r>
      <w:r w:rsidR="00070B41">
        <w:rPr>
          <w:rFonts w:asciiTheme="minorHAnsi" w:hAnsiTheme="minorHAnsi"/>
        </w:rPr>
        <w:t>achiev</w:t>
      </w:r>
      <w:r w:rsidR="005D059C">
        <w:rPr>
          <w:rFonts w:asciiTheme="minorHAnsi" w:hAnsiTheme="minorHAnsi"/>
        </w:rPr>
        <w:t>e</w:t>
      </w:r>
      <w:r w:rsidR="00070B41">
        <w:rPr>
          <w:rFonts w:asciiTheme="minorHAnsi" w:hAnsiTheme="minorHAnsi"/>
        </w:rPr>
        <w:t xml:space="preserve"> performance targets</w:t>
      </w:r>
      <w:r w:rsidR="002F4FBC">
        <w:rPr>
          <w:rFonts w:asciiTheme="minorHAnsi" w:hAnsiTheme="minorHAnsi"/>
        </w:rPr>
        <w:t>;</w:t>
      </w:r>
    </w:p>
    <w:p w:rsidR="00070B41" w:rsidRDefault="00DA0272" w:rsidP="007F027C">
      <w:pPr>
        <w:pStyle w:val="BodyText"/>
        <w:numPr>
          <w:ilvl w:val="0"/>
          <w:numId w:val="29"/>
        </w:numPr>
        <w:tabs>
          <w:tab w:val="clear" w:pos="1191"/>
          <w:tab w:val="clear" w:pos="1531"/>
        </w:tabs>
        <w:spacing w:after="120"/>
        <w:ind w:left="850" w:hanging="283"/>
        <w:rPr>
          <w:rFonts w:asciiTheme="minorHAnsi" w:hAnsiTheme="minorHAnsi"/>
        </w:rPr>
      </w:pPr>
      <w:r>
        <w:rPr>
          <w:rFonts w:asciiTheme="minorHAnsi" w:hAnsiTheme="minorHAnsi"/>
        </w:rPr>
        <w:t xml:space="preserve">programme </w:t>
      </w:r>
      <w:r w:rsidR="00043913" w:rsidRPr="00070B41">
        <w:rPr>
          <w:rFonts w:asciiTheme="minorHAnsi" w:hAnsiTheme="minorHAnsi"/>
        </w:rPr>
        <w:t>evaluation</w:t>
      </w:r>
      <w:r w:rsidR="005D059C">
        <w:rPr>
          <w:rFonts w:asciiTheme="minorHAnsi" w:hAnsiTheme="minorHAnsi"/>
        </w:rPr>
        <w:t xml:space="preserve">, and how effectively this </w:t>
      </w:r>
      <w:r w:rsidR="00010CB1">
        <w:rPr>
          <w:rFonts w:asciiTheme="minorHAnsi" w:hAnsiTheme="minorHAnsi"/>
        </w:rPr>
        <w:t>integrate</w:t>
      </w:r>
      <w:r w:rsidR="005D059C">
        <w:rPr>
          <w:rFonts w:asciiTheme="minorHAnsi" w:hAnsiTheme="minorHAnsi"/>
        </w:rPr>
        <w:t>s</w:t>
      </w:r>
      <w:r w:rsidR="00010CB1">
        <w:rPr>
          <w:rFonts w:asciiTheme="minorHAnsi" w:hAnsiTheme="minorHAnsi"/>
        </w:rPr>
        <w:t xml:space="preserve"> financial and performance perspectives</w:t>
      </w:r>
      <w:r w:rsidR="002F4FBC">
        <w:rPr>
          <w:rFonts w:asciiTheme="minorHAnsi" w:hAnsiTheme="minorHAnsi"/>
        </w:rPr>
        <w:t>;</w:t>
      </w:r>
    </w:p>
    <w:p w:rsidR="0036560A" w:rsidRDefault="005D059C" w:rsidP="007F027C">
      <w:pPr>
        <w:pStyle w:val="BodyText"/>
        <w:numPr>
          <w:ilvl w:val="0"/>
          <w:numId w:val="29"/>
        </w:numPr>
        <w:tabs>
          <w:tab w:val="clear" w:pos="1191"/>
          <w:tab w:val="clear" w:pos="1531"/>
        </w:tabs>
        <w:ind w:left="850" w:hanging="283"/>
        <w:rPr>
          <w:rFonts w:asciiTheme="minorHAnsi" w:hAnsiTheme="minorHAnsi"/>
        </w:rPr>
      </w:pPr>
      <w:proofErr w:type="gramStart"/>
      <w:r>
        <w:rPr>
          <w:rFonts w:asciiTheme="minorHAnsi" w:hAnsiTheme="minorHAnsi"/>
        </w:rPr>
        <w:t>external</w:t>
      </w:r>
      <w:proofErr w:type="gramEnd"/>
      <w:r>
        <w:rPr>
          <w:rFonts w:asciiTheme="minorHAnsi" w:hAnsiTheme="minorHAnsi"/>
        </w:rPr>
        <w:t xml:space="preserve"> </w:t>
      </w:r>
      <w:r w:rsidR="009B2A1A" w:rsidRPr="00070B41">
        <w:rPr>
          <w:rFonts w:asciiTheme="minorHAnsi" w:hAnsiTheme="minorHAnsi"/>
        </w:rPr>
        <w:t>audit</w:t>
      </w:r>
      <w:r>
        <w:rPr>
          <w:rFonts w:asciiTheme="minorHAnsi" w:hAnsiTheme="minorHAnsi"/>
        </w:rPr>
        <w:t>, and the extent to which the supreme audit institution is able to carry out performance audits and validate performance data</w:t>
      </w:r>
      <w:r w:rsidR="009B2A1A" w:rsidRPr="00070B41">
        <w:rPr>
          <w:rFonts w:asciiTheme="minorHAnsi" w:hAnsiTheme="minorHAnsi"/>
        </w:rPr>
        <w:t>.</w:t>
      </w:r>
    </w:p>
    <w:p w:rsidR="009B2A1A" w:rsidRPr="0036560A" w:rsidRDefault="00383ED0" w:rsidP="007F027C">
      <w:pPr>
        <w:pStyle w:val="BodyText"/>
        <w:tabs>
          <w:tab w:val="clear" w:pos="850"/>
          <w:tab w:val="left" w:pos="567"/>
        </w:tabs>
        <w:ind w:firstLine="0"/>
        <w:rPr>
          <w:rFonts w:asciiTheme="minorHAnsi" w:hAnsiTheme="minorHAnsi"/>
        </w:rPr>
      </w:pPr>
      <w:r>
        <w:rPr>
          <w:rFonts w:asciiTheme="minorHAnsi" w:hAnsiTheme="minorHAnsi"/>
        </w:rPr>
        <w:tab/>
      </w:r>
      <w:r w:rsidR="0036560A">
        <w:rPr>
          <w:rFonts w:asciiTheme="minorHAnsi" w:hAnsiTheme="minorHAnsi"/>
        </w:rPr>
        <w:t xml:space="preserve">Ideally </w:t>
      </w:r>
      <w:r w:rsidR="00FA786D">
        <w:rPr>
          <w:rFonts w:asciiTheme="minorHAnsi" w:hAnsiTheme="minorHAnsi"/>
        </w:rPr>
        <w:t xml:space="preserve">the development of </w:t>
      </w:r>
      <w:r w:rsidR="0036560A">
        <w:rPr>
          <w:rFonts w:asciiTheme="minorHAnsi" w:hAnsiTheme="minorHAnsi"/>
        </w:rPr>
        <w:t>performance budgeting should be coordinated with these other performance oriented reforms. To the extent that these are lagging</w:t>
      </w:r>
      <w:r w:rsidR="004A7A05">
        <w:rPr>
          <w:rFonts w:asciiTheme="minorHAnsi" w:hAnsiTheme="minorHAnsi"/>
        </w:rPr>
        <w:t>, the pace and depth of</w:t>
      </w:r>
      <w:r w:rsidR="00C67491">
        <w:rPr>
          <w:rFonts w:asciiTheme="minorHAnsi" w:hAnsiTheme="minorHAnsi"/>
        </w:rPr>
        <w:t xml:space="preserve"> performance budgeting </w:t>
      </w:r>
      <w:r w:rsidR="004A7A05">
        <w:rPr>
          <w:rFonts w:asciiTheme="minorHAnsi" w:hAnsiTheme="minorHAnsi"/>
        </w:rPr>
        <w:t xml:space="preserve">reforms may be adjusted. </w:t>
      </w:r>
      <w:r w:rsidR="00D7169C">
        <w:rPr>
          <w:rFonts w:asciiTheme="minorHAnsi" w:hAnsiTheme="minorHAnsi"/>
        </w:rPr>
        <w:t xml:space="preserve">Given the far reaching and complex nature of such reforms it is hardly surprising that the introduction of performance budgeting often takes many years and requires continuous attention and updating. </w:t>
      </w:r>
    </w:p>
    <w:p w:rsidR="005D059C" w:rsidRPr="00002EE1" w:rsidRDefault="005D059C" w:rsidP="00002EE1">
      <w:pPr>
        <w:pStyle w:val="Heading2"/>
        <w:rPr>
          <w:rFonts w:asciiTheme="minorHAnsi" w:hAnsiTheme="minorHAnsi"/>
        </w:rPr>
      </w:pPr>
      <w:r w:rsidRPr="00002EE1">
        <w:rPr>
          <w:rFonts w:asciiTheme="minorHAnsi" w:hAnsiTheme="minorHAnsi"/>
        </w:rPr>
        <w:t>Political and institutional context</w:t>
      </w:r>
    </w:p>
    <w:p w:rsidR="006D2722" w:rsidRDefault="00383ED0" w:rsidP="007F027C">
      <w:pPr>
        <w:pStyle w:val="BodyText"/>
        <w:tabs>
          <w:tab w:val="clear" w:pos="850"/>
          <w:tab w:val="left" w:pos="567"/>
        </w:tabs>
        <w:ind w:firstLine="0"/>
        <w:rPr>
          <w:rFonts w:asciiTheme="minorHAnsi" w:hAnsiTheme="minorHAnsi"/>
        </w:rPr>
      </w:pPr>
      <w:r>
        <w:rPr>
          <w:rFonts w:asciiTheme="minorHAnsi" w:hAnsiTheme="minorHAnsi"/>
        </w:rPr>
        <w:tab/>
      </w:r>
      <w:r w:rsidR="005D059C" w:rsidRPr="009C0E91">
        <w:rPr>
          <w:rFonts w:asciiTheme="minorHAnsi" w:hAnsiTheme="minorHAnsi"/>
        </w:rPr>
        <w:t xml:space="preserve">When considering </w:t>
      </w:r>
      <w:r w:rsidR="005F07F5" w:rsidRPr="009C0E91">
        <w:rPr>
          <w:rFonts w:asciiTheme="minorHAnsi" w:hAnsiTheme="minorHAnsi"/>
        </w:rPr>
        <w:t xml:space="preserve">how to </w:t>
      </w:r>
      <w:r w:rsidR="00DC250E">
        <w:rPr>
          <w:rFonts w:asciiTheme="minorHAnsi" w:hAnsiTheme="minorHAnsi"/>
        </w:rPr>
        <w:t xml:space="preserve">create a workable </w:t>
      </w:r>
      <w:r w:rsidR="005F07F5" w:rsidRPr="009C0E91">
        <w:rPr>
          <w:rFonts w:asciiTheme="minorHAnsi" w:hAnsiTheme="minorHAnsi"/>
        </w:rPr>
        <w:t>performance budgeting</w:t>
      </w:r>
      <w:r w:rsidR="00DC250E">
        <w:rPr>
          <w:rFonts w:asciiTheme="minorHAnsi" w:hAnsiTheme="minorHAnsi"/>
        </w:rPr>
        <w:t xml:space="preserve"> system,</w:t>
      </w:r>
      <w:r w:rsidR="005F07F5" w:rsidRPr="009C0E91">
        <w:rPr>
          <w:rFonts w:asciiTheme="minorHAnsi" w:hAnsiTheme="minorHAnsi"/>
        </w:rPr>
        <w:t xml:space="preserve"> </w:t>
      </w:r>
      <w:r w:rsidR="00DC250E">
        <w:rPr>
          <w:rFonts w:asciiTheme="minorHAnsi" w:hAnsiTheme="minorHAnsi"/>
        </w:rPr>
        <w:t>i</w:t>
      </w:r>
      <w:r w:rsidR="005F07F5" w:rsidRPr="009C0E91">
        <w:rPr>
          <w:rFonts w:asciiTheme="minorHAnsi" w:hAnsiTheme="minorHAnsi"/>
        </w:rPr>
        <w:t xml:space="preserve">t is important to </w:t>
      </w:r>
      <w:r w:rsidR="00F5487B" w:rsidRPr="009C0E91">
        <w:rPr>
          <w:rFonts w:asciiTheme="minorHAnsi" w:hAnsiTheme="minorHAnsi"/>
        </w:rPr>
        <w:t xml:space="preserve">consider </w:t>
      </w:r>
      <w:r w:rsidR="005F07F5" w:rsidRPr="009C0E91">
        <w:rPr>
          <w:rFonts w:asciiTheme="minorHAnsi" w:hAnsiTheme="minorHAnsi"/>
        </w:rPr>
        <w:t xml:space="preserve">the political and institutional context within which it </w:t>
      </w:r>
      <w:r w:rsidR="00F5487B" w:rsidRPr="009C0E91">
        <w:rPr>
          <w:rFonts w:asciiTheme="minorHAnsi" w:hAnsiTheme="minorHAnsi"/>
        </w:rPr>
        <w:t xml:space="preserve">will </w:t>
      </w:r>
      <w:r w:rsidR="005F07F5" w:rsidRPr="009C0E91">
        <w:rPr>
          <w:rFonts w:asciiTheme="minorHAnsi" w:hAnsiTheme="minorHAnsi"/>
        </w:rPr>
        <w:t>operate</w:t>
      </w:r>
      <w:r w:rsidR="00A044BD">
        <w:rPr>
          <w:rFonts w:asciiTheme="minorHAnsi" w:hAnsiTheme="minorHAnsi"/>
        </w:rPr>
        <w:t>,</w:t>
      </w:r>
      <w:r w:rsidR="005F07F5" w:rsidRPr="009C0E91">
        <w:rPr>
          <w:rFonts w:asciiTheme="minorHAnsi" w:hAnsiTheme="minorHAnsi"/>
        </w:rPr>
        <w:t xml:space="preserve"> </w:t>
      </w:r>
      <w:r w:rsidR="004A7A05">
        <w:rPr>
          <w:rFonts w:asciiTheme="minorHAnsi" w:hAnsiTheme="minorHAnsi"/>
        </w:rPr>
        <w:t xml:space="preserve">including </w:t>
      </w:r>
      <w:r w:rsidR="005F07F5" w:rsidRPr="009C0E91">
        <w:rPr>
          <w:rFonts w:asciiTheme="minorHAnsi" w:hAnsiTheme="minorHAnsi"/>
        </w:rPr>
        <w:t>the co</w:t>
      </w:r>
      <w:r w:rsidR="00A629D5">
        <w:rPr>
          <w:rFonts w:asciiTheme="minorHAnsi" w:hAnsiTheme="minorHAnsi"/>
        </w:rPr>
        <w:t>nstraints that this may impose.</w:t>
      </w:r>
      <w:r w:rsidR="005F07F5" w:rsidRPr="009C0E91">
        <w:rPr>
          <w:rFonts w:asciiTheme="minorHAnsi" w:hAnsiTheme="minorHAnsi"/>
        </w:rPr>
        <w:t xml:space="preserve"> </w:t>
      </w:r>
      <w:r w:rsidR="00DC250E">
        <w:rPr>
          <w:rFonts w:asciiTheme="minorHAnsi" w:hAnsiTheme="minorHAnsi"/>
        </w:rPr>
        <w:t>First</w:t>
      </w:r>
      <w:r w:rsidR="005F07F5" w:rsidRPr="009C0E91">
        <w:rPr>
          <w:rFonts w:asciiTheme="minorHAnsi" w:hAnsiTheme="minorHAnsi"/>
        </w:rPr>
        <w:t xml:space="preserve">, it is important to </w:t>
      </w:r>
      <w:r w:rsidR="00A044BD">
        <w:rPr>
          <w:rFonts w:asciiTheme="minorHAnsi" w:hAnsiTheme="minorHAnsi"/>
        </w:rPr>
        <w:t xml:space="preserve">recognize </w:t>
      </w:r>
      <w:r w:rsidR="005F07F5" w:rsidRPr="009C0E91">
        <w:rPr>
          <w:rFonts w:asciiTheme="minorHAnsi" w:hAnsiTheme="minorHAnsi"/>
        </w:rPr>
        <w:t>that the budget is a political instrument and</w:t>
      </w:r>
      <w:r w:rsidR="004A7A05">
        <w:rPr>
          <w:rFonts w:asciiTheme="minorHAnsi" w:hAnsiTheme="minorHAnsi"/>
        </w:rPr>
        <w:t xml:space="preserve"> so</w:t>
      </w:r>
      <w:r w:rsidR="006D2722" w:rsidRPr="006D2722">
        <w:rPr>
          <w:rFonts w:asciiTheme="minorHAnsi" w:hAnsiTheme="minorHAnsi"/>
        </w:rPr>
        <w:t xml:space="preserve"> </w:t>
      </w:r>
      <w:r w:rsidR="0072504F">
        <w:rPr>
          <w:rFonts w:asciiTheme="minorHAnsi" w:hAnsiTheme="minorHAnsi"/>
        </w:rPr>
        <w:t>r</w:t>
      </w:r>
      <w:r w:rsidR="006D2722">
        <w:rPr>
          <w:rFonts w:asciiTheme="minorHAnsi" w:hAnsiTheme="minorHAnsi"/>
        </w:rPr>
        <w:t>ational analysis, aimed at optimizing efficiency and performance, may often be subordinated to</w:t>
      </w:r>
      <w:r w:rsidR="004A7A05">
        <w:rPr>
          <w:rFonts w:asciiTheme="minorHAnsi" w:hAnsiTheme="minorHAnsi"/>
        </w:rPr>
        <w:t xml:space="preserve"> </w:t>
      </w:r>
      <w:r w:rsidR="005F07F5" w:rsidRPr="009C0E91">
        <w:rPr>
          <w:rFonts w:asciiTheme="minorHAnsi" w:hAnsiTheme="minorHAnsi"/>
        </w:rPr>
        <w:t xml:space="preserve">short term </w:t>
      </w:r>
      <w:r w:rsidR="006D2722">
        <w:rPr>
          <w:rFonts w:asciiTheme="minorHAnsi" w:hAnsiTheme="minorHAnsi"/>
        </w:rPr>
        <w:t xml:space="preserve">political </w:t>
      </w:r>
      <w:r w:rsidR="005F07F5" w:rsidRPr="009C0E91">
        <w:rPr>
          <w:rFonts w:asciiTheme="minorHAnsi" w:hAnsiTheme="minorHAnsi"/>
        </w:rPr>
        <w:t>interests</w:t>
      </w:r>
      <w:r w:rsidR="006D2722">
        <w:rPr>
          <w:rFonts w:asciiTheme="minorHAnsi" w:hAnsiTheme="minorHAnsi"/>
        </w:rPr>
        <w:t>.</w:t>
      </w:r>
      <w:r w:rsidR="004A7A05">
        <w:rPr>
          <w:rFonts w:asciiTheme="minorHAnsi" w:hAnsiTheme="minorHAnsi"/>
        </w:rPr>
        <w:t xml:space="preserve"> </w:t>
      </w:r>
      <w:r w:rsidR="006D2722">
        <w:rPr>
          <w:rFonts w:asciiTheme="minorHAnsi" w:hAnsiTheme="minorHAnsi"/>
        </w:rPr>
        <w:t xml:space="preserve">For example, a rational analysis of health spending might suggest </w:t>
      </w:r>
      <w:r w:rsidR="006D2722" w:rsidRPr="00C67491">
        <w:rPr>
          <w:rFonts w:asciiTheme="minorHAnsi" w:hAnsiTheme="minorHAnsi"/>
        </w:rPr>
        <w:t xml:space="preserve">concentration of services and closure of some local health facilities, while at the same time shifting resources to </w:t>
      </w:r>
      <w:r w:rsidR="0072504F" w:rsidRPr="00C67491">
        <w:rPr>
          <w:rFonts w:asciiTheme="minorHAnsi" w:hAnsiTheme="minorHAnsi"/>
        </w:rPr>
        <w:t>health</w:t>
      </w:r>
      <w:r w:rsidR="00C67491" w:rsidRPr="00C67491">
        <w:rPr>
          <w:rFonts w:asciiTheme="minorHAnsi" w:hAnsiTheme="minorHAnsi"/>
        </w:rPr>
        <w:t>,</w:t>
      </w:r>
      <w:r w:rsidR="0072504F" w:rsidRPr="00C67491">
        <w:rPr>
          <w:rFonts w:asciiTheme="minorHAnsi" w:hAnsiTheme="minorHAnsi"/>
        </w:rPr>
        <w:t xml:space="preserve"> </w:t>
      </w:r>
      <w:r w:rsidR="006D2722">
        <w:rPr>
          <w:rFonts w:asciiTheme="minorHAnsi" w:hAnsiTheme="minorHAnsi"/>
        </w:rPr>
        <w:t>education and preventive c</w:t>
      </w:r>
      <w:r w:rsidR="00CB44B0">
        <w:rPr>
          <w:rFonts w:asciiTheme="minorHAnsi" w:hAnsiTheme="minorHAnsi"/>
        </w:rPr>
        <w:t>are, whereas local political re</w:t>
      </w:r>
      <w:r w:rsidR="006D2722">
        <w:rPr>
          <w:rFonts w:asciiTheme="minorHAnsi" w:hAnsiTheme="minorHAnsi"/>
        </w:rPr>
        <w:t>presentatives will often defend existing institutions or p</w:t>
      </w:r>
      <w:r w:rsidR="00CB44B0">
        <w:rPr>
          <w:rFonts w:asciiTheme="minorHAnsi" w:hAnsiTheme="minorHAnsi"/>
        </w:rPr>
        <w:t>ress</w:t>
      </w:r>
      <w:r w:rsidR="006D2722">
        <w:rPr>
          <w:rFonts w:asciiTheme="minorHAnsi" w:hAnsiTheme="minorHAnsi"/>
        </w:rPr>
        <w:t xml:space="preserve"> for new facilities to be built in their constituencies</w:t>
      </w:r>
      <w:r w:rsidR="00CB44B0">
        <w:rPr>
          <w:rFonts w:asciiTheme="minorHAnsi" w:hAnsiTheme="minorHAnsi"/>
        </w:rPr>
        <w:t xml:space="preserve"> despite inconsistency with the government’s higher level goals</w:t>
      </w:r>
      <w:r w:rsidR="006D2722">
        <w:rPr>
          <w:rFonts w:asciiTheme="minorHAnsi" w:hAnsiTheme="minorHAnsi"/>
        </w:rPr>
        <w:t>.</w:t>
      </w:r>
    </w:p>
    <w:p w:rsidR="00600E84" w:rsidRPr="006D2722" w:rsidRDefault="00383ED0" w:rsidP="007F027C">
      <w:pPr>
        <w:pStyle w:val="BodyText"/>
        <w:tabs>
          <w:tab w:val="clear" w:pos="850"/>
          <w:tab w:val="left" w:pos="567"/>
        </w:tabs>
        <w:ind w:firstLine="0"/>
        <w:rPr>
          <w:rFonts w:asciiTheme="minorHAnsi" w:hAnsiTheme="minorHAnsi"/>
        </w:rPr>
      </w:pPr>
      <w:r>
        <w:rPr>
          <w:rFonts w:asciiTheme="minorHAnsi" w:hAnsiTheme="minorHAnsi"/>
        </w:rPr>
        <w:tab/>
      </w:r>
      <w:r w:rsidR="000577FD" w:rsidRPr="006D2722">
        <w:rPr>
          <w:rFonts w:asciiTheme="minorHAnsi" w:hAnsiTheme="minorHAnsi"/>
        </w:rPr>
        <w:t xml:space="preserve">Second, the </w:t>
      </w:r>
      <w:r w:rsidR="009C0E91" w:rsidRPr="006D2722">
        <w:rPr>
          <w:rFonts w:asciiTheme="minorHAnsi" w:hAnsiTheme="minorHAnsi"/>
        </w:rPr>
        <w:t xml:space="preserve">roles and concerns of </w:t>
      </w:r>
      <w:r w:rsidR="000577FD" w:rsidRPr="006D2722">
        <w:rPr>
          <w:rFonts w:asciiTheme="minorHAnsi" w:hAnsiTheme="minorHAnsi"/>
        </w:rPr>
        <w:t>different</w:t>
      </w:r>
      <w:r w:rsidR="00A044BD" w:rsidRPr="006D2722">
        <w:rPr>
          <w:rFonts w:asciiTheme="minorHAnsi" w:hAnsiTheme="minorHAnsi"/>
        </w:rPr>
        <w:t xml:space="preserve"> institutions and stakeholders have to </w:t>
      </w:r>
      <w:r w:rsidR="00DC250E" w:rsidRPr="006D2722">
        <w:rPr>
          <w:rFonts w:asciiTheme="minorHAnsi" w:hAnsiTheme="minorHAnsi"/>
        </w:rPr>
        <w:t xml:space="preserve">be </w:t>
      </w:r>
      <w:r w:rsidR="00A044BD" w:rsidRPr="006D2722">
        <w:rPr>
          <w:rFonts w:asciiTheme="minorHAnsi" w:hAnsiTheme="minorHAnsi"/>
        </w:rPr>
        <w:t>balanced out</w:t>
      </w:r>
      <w:r w:rsidR="00DC250E" w:rsidRPr="006D2722">
        <w:rPr>
          <w:rFonts w:asciiTheme="minorHAnsi" w:hAnsiTheme="minorHAnsi"/>
        </w:rPr>
        <w:t xml:space="preserve">, </w:t>
      </w:r>
      <w:r w:rsidR="006D2722">
        <w:rPr>
          <w:rFonts w:asciiTheme="minorHAnsi" w:hAnsiTheme="minorHAnsi"/>
        </w:rPr>
        <w:t xml:space="preserve">with the results that </w:t>
      </w:r>
      <w:r w:rsidR="00DC250E" w:rsidRPr="006D2722">
        <w:rPr>
          <w:rFonts w:asciiTheme="minorHAnsi" w:hAnsiTheme="minorHAnsi"/>
        </w:rPr>
        <w:t>the system</w:t>
      </w:r>
      <w:r w:rsidR="00EF00CF">
        <w:rPr>
          <w:rFonts w:asciiTheme="minorHAnsi" w:hAnsiTheme="minorHAnsi"/>
        </w:rPr>
        <w:t>s may look quite different while having similar objectives.</w:t>
      </w:r>
      <w:r w:rsidR="00A044BD" w:rsidRPr="006D2722">
        <w:rPr>
          <w:rFonts w:asciiTheme="minorHAnsi" w:hAnsiTheme="minorHAnsi"/>
        </w:rPr>
        <w:t xml:space="preserve"> In some countries political </w:t>
      </w:r>
      <w:r w:rsidR="00EF00CF">
        <w:rPr>
          <w:rFonts w:asciiTheme="minorHAnsi" w:hAnsiTheme="minorHAnsi"/>
        </w:rPr>
        <w:t xml:space="preserve">interest in </w:t>
      </w:r>
      <w:r w:rsidR="00A044BD" w:rsidRPr="006D2722">
        <w:rPr>
          <w:rFonts w:asciiTheme="minorHAnsi" w:hAnsiTheme="minorHAnsi"/>
        </w:rPr>
        <w:t xml:space="preserve">performance </w:t>
      </w:r>
      <w:r w:rsidR="004A7A05" w:rsidRPr="006D2722">
        <w:rPr>
          <w:rFonts w:asciiTheme="minorHAnsi" w:hAnsiTheme="minorHAnsi"/>
        </w:rPr>
        <w:t>reforms</w:t>
      </w:r>
      <w:r w:rsidR="00EF00CF">
        <w:rPr>
          <w:rFonts w:asciiTheme="minorHAnsi" w:hAnsiTheme="minorHAnsi"/>
        </w:rPr>
        <w:t>,</w:t>
      </w:r>
      <w:r w:rsidR="004A7A05" w:rsidRPr="006D2722">
        <w:rPr>
          <w:rFonts w:asciiTheme="minorHAnsi" w:hAnsiTheme="minorHAnsi"/>
        </w:rPr>
        <w:t xml:space="preserve"> </w:t>
      </w:r>
      <w:r w:rsidR="00A044BD" w:rsidRPr="006D2722">
        <w:rPr>
          <w:rFonts w:asciiTheme="minorHAnsi" w:hAnsiTheme="minorHAnsi"/>
        </w:rPr>
        <w:t>at the highest levels of government</w:t>
      </w:r>
      <w:r w:rsidR="00EF00CF">
        <w:rPr>
          <w:rFonts w:asciiTheme="minorHAnsi" w:hAnsiTheme="minorHAnsi"/>
        </w:rPr>
        <w:t>,</w:t>
      </w:r>
      <w:r w:rsidR="00A044BD" w:rsidRPr="006D2722">
        <w:rPr>
          <w:rFonts w:asciiTheme="minorHAnsi" w:hAnsiTheme="minorHAnsi"/>
        </w:rPr>
        <w:t xml:space="preserve"> has led to the </w:t>
      </w:r>
      <w:r w:rsidR="00600E84" w:rsidRPr="006D2722">
        <w:rPr>
          <w:rFonts w:asciiTheme="minorHAnsi" w:hAnsiTheme="minorHAnsi"/>
        </w:rPr>
        <w:t xml:space="preserve">centre of government playing an important role </w:t>
      </w:r>
      <w:r w:rsidR="004A7A05" w:rsidRPr="006D2722">
        <w:rPr>
          <w:rFonts w:asciiTheme="minorHAnsi" w:hAnsiTheme="minorHAnsi"/>
        </w:rPr>
        <w:t xml:space="preserve">in </w:t>
      </w:r>
      <w:r w:rsidR="00600E84" w:rsidRPr="006D2722">
        <w:rPr>
          <w:rFonts w:asciiTheme="minorHAnsi" w:hAnsiTheme="minorHAnsi"/>
        </w:rPr>
        <w:t>managing the performance systems</w:t>
      </w:r>
      <w:r w:rsidR="004A7A05" w:rsidRPr="006D2722">
        <w:rPr>
          <w:rFonts w:asciiTheme="minorHAnsi" w:hAnsiTheme="minorHAnsi"/>
        </w:rPr>
        <w:t xml:space="preserve">.  Examples </w:t>
      </w:r>
      <w:r w:rsidR="00EF00CF">
        <w:rPr>
          <w:rFonts w:asciiTheme="minorHAnsi" w:hAnsiTheme="minorHAnsi"/>
        </w:rPr>
        <w:t xml:space="preserve">include </w:t>
      </w:r>
      <w:r w:rsidR="004A7A05" w:rsidRPr="006D2722">
        <w:rPr>
          <w:rFonts w:asciiTheme="minorHAnsi" w:hAnsiTheme="minorHAnsi"/>
        </w:rPr>
        <w:t>the role of the White House Office of Management and Budget in the USA and t</w:t>
      </w:r>
      <w:r w:rsidR="00600E84" w:rsidRPr="006D2722">
        <w:rPr>
          <w:rFonts w:asciiTheme="minorHAnsi" w:hAnsiTheme="minorHAnsi"/>
        </w:rPr>
        <w:t xml:space="preserve">he Prime Minister’s </w:t>
      </w:r>
      <w:r w:rsidR="004A7A05" w:rsidRPr="006D2722">
        <w:rPr>
          <w:rFonts w:asciiTheme="minorHAnsi" w:hAnsiTheme="minorHAnsi"/>
        </w:rPr>
        <w:t>Office and</w:t>
      </w:r>
      <w:r w:rsidR="00CE61EC" w:rsidRPr="006D2722">
        <w:rPr>
          <w:rFonts w:asciiTheme="minorHAnsi" w:hAnsiTheme="minorHAnsi"/>
        </w:rPr>
        <w:t>, more recently,</w:t>
      </w:r>
      <w:r w:rsidR="004A7A05" w:rsidRPr="006D2722">
        <w:rPr>
          <w:rFonts w:asciiTheme="minorHAnsi" w:hAnsiTheme="minorHAnsi"/>
        </w:rPr>
        <w:t xml:space="preserve"> the Cabinet Office </w:t>
      </w:r>
      <w:r w:rsidR="007344DA">
        <w:rPr>
          <w:rFonts w:asciiTheme="minorHAnsi" w:hAnsiTheme="minorHAnsi"/>
        </w:rPr>
        <w:t>in the UK.</w:t>
      </w:r>
      <w:r w:rsidR="00600E84" w:rsidRPr="006D2722">
        <w:rPr>
          <w:rFonts w:asciiTheme="minorHAnsi" w:hAnsiTheme="minorHAnsi"/>
        </w:rPr>
        <w:t xml:space="preserve"> In other countries (e.g. France) the parliament has played a</w:t>
      </w:r>
      <w:r w:rsidR="00EF00CF">
        <w:rPr>
          <w:rFonts w:asciiTheme="minorHAnsi" w:hAnsiTheme="minorHAnsi"/>
        </w:rPr>
        <w:t xml:space="preserve"> leading</w:t>
      </w:r>
      <w:r w:rsidR="00600E84" w:rsidRPr="006D2722">
        <w:rPr>
          <w:rFonts w:asciiTheme="minorHAnsi" w:hAnsiTheme="minorHAnsi"/>
        </w:rPr>
        <w:t xml:space="preserve"> role in driving the</w:t>
      </w:r>
      <w:r w:rsidR="00CE61EC" w:rsidRPr="006D2722">
        <w:rPr>
          <w:rFonts w:asciiTheme="minorHAnsi" w:hAnsiTheme="minorHAnsi"/>
        </w:rPr>
        <w:t xml:space="preserve"> adoption of performance budgeting (LOLF Reform)</w:t>
      </w:r>
      <w:r w:rsidR="00600E84" w:rsidRPr="006D2722">
        <w:rPr>
          <w:rFonts w:asciiTheme="minorHAnsi" w:hAnsiTheme="minorHAnsi"/>
        </w:rPr>
        <w:t xml:space="preserve">, </w:t>
      </w:r>
      <w:r w:rsidR="00CE61EC" w:rsidRPr="006D2722">
        <w:rPr>
          <w:rFonts w:asciiTheme="minorHAnsi" w:hAnsiTheme="minorHAnsi"/>
        </w:rPr>
        <w:t xml:space="preserve">motivated by a desire for </w:t>
      </w:r>
      <w:r w:rsidR="00600E84" w:rsidRPr="006D2722">
        <w:rPr>
          <w:rFonts w:asciiTheme="minorHAnsi" w:hAnsiTheme="minorHAnsi"/>
        </w:rPr>
        <w:t xml:space="preserve">greater transparency and accountability for what was being delivered using the resources voted by </w:t>
      </w:r>
      <w:r w:rsidR="00CE61EC" w:rsidRPr="006D2722">
        <w:rPr>
          <w:rFonts w:asciiTheme="minorHAnsi" w:hAnsiTheme="minorHAnsi"/>
        </w:rPr>
        <w:t>the legislature</w:t>
      </w:r>
      <w:r w:rsidR="00600E84" w:rsidRPr="006D2722">
        <w:rPr>
          <w:rFonts w:asciiTheme="minorHAnsi" w:hAnsiTheme="minorHAnsi"/>
        </w:rPr>
        <w:t xml:space="preserve">. In other countries performance budgeting has been a Ministry of Finance inspired initiative, although as the example of Poland </w:t>
      </w:r>
      <w:r w:rsidR="000251B6">
        <w:rPr>
          <w:rFonts w:asciiTheme="minorHAnsi" w:hAnsiTheme="minorHAnsi"/>
        </w:rPr>
        <w:t>first attempt to introduce performance budgeting showed</w:t>
      </w:r>
      <w:r w:rsidR="00600E84" w:rsidRPr="006D2722">
        <w:rPr>
          <w:rFonts w:asciiTheme="minorHAnsi" w:hAnsiTheme="minorHAnsi"/>
        </w:rPr>
        <w:t xml:space="preserve">, narrowly based technocratic efforts to introduce performance budgeting may not be successful.  A balance of political and bureaucratic support is likely to yield the best results. </w:t>
      </w:r>
    </w:p>
    <w:p w:rsidR="00F5487B" w:rsidRPr="00A84CD9" w:rsidRDefault="00383ED0" w:rsidP="007F027C">
      <w:pPr>
        <w:pStyle w:val="BodyText"/>
        <w:tabs>
          <w:tab w:val="clear" w:pos="850"/>
          <w:tab w:val="left" w:pos="567"/>
        </w:tabs>
        <w:ind w:firstLine="0"/>
        <w:rPr>
          <w:rFonts w:asciiTheme="minorHAnsi" w:hAnsiTheme="minorHAnsi"/>
        </w:rPr>
      </w:pPr>
      <w:r>
        <w:rPr>
          <w:rFonts w:asciiTheme="minorHAnsi" w:hAnsiTheme="minorHAnsi"/>
        </w:rPr>
        <w:tab/>
      </w:r>
      <w:r w:rsidR="006366AC" w:rsidRPr="00A84CD9">
        <w:rPr>
          <w:rFonts w:asciiTheme="minorHAnsi" w:hAnsiTheme="minorHAnsi"/>
        </w:rPr>
        <w:t xml:space="preserve">Third, the structure of government </w:t>
      </w:r>
      <w:r w:rsidR="00A84CD9">
        <w:rPr>
          <w:rFonts w:asciiTheme="minorHAnsi" w:hAnsiTheme="minorHAnsi"/>
        </w:rPr>
        <w:t xml:space="preserve">and the nature of politics </w:t>
      </w:r>
      <w:r w:rsidR="006366AC" w:rsidRPr="00A84CD9">
        <w:rPr>
          <w:rFonts w:asciiTheme="minorHAnsi" w:hAnsiTheme="minorHAnsi"/>
        </w:rPr>
        <w:t>will also be significant factor</w:t>
      </w:r>
      <w:r w:rsidR="00A84CD9">
        <w:rPr>
          <w:rFonts w:asciiTheme="minorHAnsi" w:hAnsiTheme="minorHAnsi"/>
        </w:rPr>
        <w:t>s</w:t>
      </w:r>
      <w:r w:rsidR="006366AC" w:rsidRPr="00A84CD9">
        <w:rPr>
          <w:rFonts w:asciiTheme="minorHAnsi" w:hAnsiTheme="minorHAnsi"/>
        </w:rPr>
        <w:t xml:space="preserve"> influencing the design of the performance budgeting system. </w:t>
      </w:r>
      <w:r w:rsidR="0072504F">
        <w:rPr>
          <w:rFonts w:asciiTheme="minorHAnsi" w:hAnsiTheme="minorHAnsi"/>
        </w:rPr>
        <w:t xml:space="preserve"> </w:t>
      </w:r>
      <w:r w:rsidR="00600E84" w:rsidRPr="00A84CD9">
        <w:rPr>
          <w:rFonts w:asciiTheme="minorHAnsi" w:hAnsiTheme="minorHAnsi"/>
        </w:rPr>
        <w:t xml:space="preserve">In countries </w:t>
      </w:r>
      <w:r w:rsidR="006366AC" w:rsidRPr="00A84CD9">
        <w:rPr>
          <w:rFonts w:asciiTheme="minorHAnsi" w:hAnsiTheme="minorHAnsi"/>
        </w:rPr>
        <w:t xml:space="preserve">that have a federal </w:t>
      </w:r>
      <w:r w:rsidR="00A044BD" w:rsidRPr="00A84CD9">
        <w:rPr>
          <w:rFonts w:asciiTheme="minorHAnsi" w:hAnsiTheme="minorHAnsi"/>
        </w:rPr>
        <w:t xml:space="preserve">system </w:t>
      </w:r>
      <w:r w:rsidR="00A84CD9">
        <w:rPr>
          <w:rFonts w:asciiTheme="minorHAnsi" w:hAnsiTheme="minorHAnsi"/>
        </w:rPr>
        <w:t>of government, most public services are delivered by sub-national governments, with the federal government providing funds in the form of block</w:t>
      </w:r>
      <w:r w:rsidR="007344DA">
        <w:rPr>
          <w:rFonts w:asciiTheme="minorHAnsi" w:hAnsiTheme="minorHAnsi"/>
        </w:rPr>
        <w:t xml:space="preserve"> grants or targeted transfers. </w:t>
      </w:r>
      <w:r w:rsidR="00A84CD9">
        <w:rPr>
          <w:rFonts w:asciiTheme="minorHAnsi" w:hAnsiTheme="minorHAnsi"/>
        </w:rPr>
        <w:t xml:space="preserve">In such cases most of </w:t>
      </w:r>
      <w:r w:rsidR="000251B6">
        <w:rPr>
          <w:rFonts w:asciiTheme="minorHAnsi" w:hAnsiTheme="minorHAnsi"/>
        </w:rPr>
        <w:t xml:space="preserve">the </w:t>
      </w:r>
      <w:r w:rsidR="00A84CD9">
        <w:rPr>
          <w:rFonts w:asciiTheme="minorHAnsi" w:hAnsiTheme="minorHAnsi"/>
        </w:rPr>
        <w:t xml:space="preserve">action on performance budgeting, is at the level of sub-national government, with federal agencies establishing some high level goals, </w:t>
      </w:r>
      <w:r w:rsidR="006366AC" w:rsidRPr="00A84CD9">
        <w:rPr>
          <w:rFonts w:asciiTheme="minorHAnsi" w:hAnsiTheme="minorHAnsi"/>
        </w:rPr>
        <w:t>setting standards and playing a facilitating role</w:t>
      </w:r>
      <w:r w:rsidR="00A84CD9">
        <w:rPr>
          <w:rFonts w:asciiTheme="minorHAnsi" w:hAnsiTheme="minorHAnsi"/>
        </w:rPr>
        <w:t xml:space="preserve"> in performance budgeting</w:t>
      </w:r>
      <w:r w:rsidR="00770491">
        <w:rPr>
          <w:rFonts w:asciiTheme="minorHAnsi" w:hAnsiTheme="minorHAnsi"/>
        </w:rPr>
        <w:t>.</w:t>
      </w:r>
      <w:r w:rsidR="006366AC" w:rsidRPr="00A84CD9">
        <w:rPr>
          <w:rFonts w:asciiTheme="minorHAnsi" w:hAnsiTheme="minorHAnsi"/>
        </w:rPr>
        <w:t xml:space="preserve"> In coalition government settings, such as the Netherlands or Austria</w:t>
      </w:r>
      <w:r w:rsidR="00502AD8">
        <w:rPr>
          <w:rFonts w:asciiTheme="minorHAnsi" w:hAnsiTheme="minorHAnsi"/>
        </w:rPr>
        <w:t>,</w:t>
      </w:r>
      <w:r w:rsidR="006366AC" w:rsidRPr="00A84CD9">
        <w:rPr>
          <w:rFonts w:asciiTheme="minorHAnsi" w:hAnsiTheme="minorHAnsi"/>
        </w:rPr>
        <w:t xml:space="preserve"> individual ministries </w:t>
      </w:r>
      <w:r w:rsidR="00502AD8">
        <w:rPr>
          <w:rFonts w:asciiTheme="minorHAnsi" w:hAnsiTheme="minorHAnsi"/>
        </w:rPr>
        <w:t xml:space="preserve">may </w:t>
      </w:r>
      <w:r w:rsidR="006366AC" w:rsidRPr="00A84CD9">
        <w:rPr>
          <w:rFonts w:asciiTheme="minorHAnsi" w:hAnsiTheme="minorHAnsi"/>
        </w:rPr>
        <w:lastRenderedPageBreak/>
        <w:t>have a more powerful role in relation to budget decision making</w:t>
      </w:r>
      <w:r w:rsidR="00502AD8">
        <w:rPr>
          <w:rFonts w:asciiTheme="minorHAnsi" w:hAnsiTheme="minorHAnsi"/>
        </w:rPr>
        <w:t xml:space="preserve">, as compared with a </w:t>
      </w:r>
      <w:r w:rsidR="006366AC" w:rsidRPr="00A84CD9">
        <w:rPr>
          <w:rFonts w:asciiTheme="minorHAnsi" w:hAnsiTheme="minorHAnsi"/>
        </w:rPr>
        <w:t>situation where one party has a parliamentary majority</w:t>
      </w:r>
      <w:r w:rsidR="00502AD8">
        <w:rPr>
          <w:rFonts w:asciiTheme="minorHAnsi" w:hAnsiTheme="minorHAnsi"/>
        </w:rPr>
        <w:t>, where</w:t>
      </w:r>
      <w:r w:rsidR="006366AC" w:rsidRPr="00A84CD9">
        <w:rPr>
          <w:rFonts w:asciiTheme="minorHAnsi" w:hAnsiTheme="minorHAnsi"/>
        </w:rPr>
        <w:t xml:space="preserve"> the Ministry of Finance typically play</w:t>
      </w:r>
      <w:r w:rsidR="00502AD8">
        <w:rPr>
          <w:rFonts w:asciiTheme="minorHAnsi" w:hAnsiTheme="minorHAnsi"/>
        </w:rPr>
        <w:t xml:space="preserve">s </w:t>
      </w:r>
      <w:r w:rsidR="006366AC" w:rsidRPr="00A84CD9">
        <w:rPr>
          <w:rFonts w:asciiTheme="minorHAnsi" w:hAnsiTheme="minorHAnsi"/>
        </w:rPr>
        <w:t>a</w:t>
      </w:r>
      <w:r w:rsidR="00502AD8">
        <w:rPr>
          <w:rFonts w:asciiTheme="minorHAnsi" w:hAnsiTheme="minorHAnsi"/>
        </w:rPr>
        <w:t xml:space="preserve"> more</w:t>
      </w:r>
      <w:r w:rsidR="006366AC" w:rsidRPr="00A84CD9">
        <w:rPr>
          <w:rFonts w:asciiTheme="minorHAnsi" w:hAnsiTheme="minorHAnsi"/>
        </w:rPr>
        <w:t xml:space="preserve"> dominant role in the budget process.</w:t>
      </w:r>
    </w:p>
    <w:p w:rsidR="00010CB1" w:rsidRPr="00002EE1" w:rsidRDefault="006366AC" w:rsidP="00002EE1">
      <w:pPr>
        <w:pStyle w:val="Heading2"/>
        <w:rPr>
          <w:rFonts w:asciiTheme="minorHAnsi" w:hAnsiTheme="minorHAnsi"/>
        </w:rPr>
      </w:pPr>
      <w:r w:rsidRPr="00002EE1">
        <w:rPr>
          <w:rFonts w:asciiTheme="minorHAnsi" w:hAnsiTheme="minorHAnsi"/>
        </w:rPr>
        <w:t>Addressing different sta</w:t>
      </w:r>
      <w:r w:rsidR="000D5524" w:rsidRPr="00002EE1">
        <w:rPr>
          <w:rFonts w:asciiTheme="minorHAnsi" w:hAnsiTheme="minorHAnsi"/>
        </w:rPr>
        <w:t xml:space="preserve">tes of </w:t>
      </w:r>
      <w:r w:rsidRPr="00002EE1">
        <w:rPr>
          <w:rFonts w:asciiTheme="minorHAnsi" w:hAnsiTheme="minorHAnsi"/>
        </w:rPr>
        <w:t>development of performance budgeting</w:t>
      </w:r>
    </w:p>
    <w:p w:rsidR="00423573" w:rsidRDefault="00383ED0" w:rsidP="007F027C">
      <w:pPr>
        <w:pStyle w:val="BodyText"/>
        <w:tabs>
          <w:tab w:val="clear" w:pos="850"/>
          <w:tab w:val="left" w:pos="567"/>
        </w:tabs>
        <w:ind w:firstLine="0"/>
        <w:rPr>
          <w:rFonts w:asciiTheme="minorHAnsi" w:hAnsiTheme="minorHAnsi"/>
        </w:rPr>
      </w:pPr>
      <w:r>
        <w:rPr>
          <w:rFonts w:asciiTheme="minorHAnsi" w:hAnsiTheme="minorHAnsi"/>
        </w:rPr>
        <w:tab/>
      </w:r>
      <w:r w:rsidR="00010CB1">
        <w:rPr>
          <w:rFonts w:asciiTheme="minorHAnsi" w:hAnsiTheme="minorHAnsi"/>
        </w:rPr>
        <w:t xml:space="preserve">Performance budgeting </w:t>
      </w:r>
      <w:r w:rsidR="0077785C">
        <w:rPr>
          <w:rFonts w:asciiTheme="minorHAnsi" w:hAnsiTheme="minorHAnsi"/>
        </w:rPr>
        <w:t xml:space="preserve">may be </w:t>
      </w:r>
      <w:r w:rsidR="006366AC">
        <w:rPr>
          <w:rFonts w:asciiTheme="minorHAnsi" w:hAnsiTheme="minorHAnsi"/>
        </w:rPr>
        <w:t xml:space="preserve">best </w:t>
      </w:r>
      <w:r w:rsidR="00010CB1">
        <w:rPr>
          <w:rFonts w:asciiTheme="minorHAnsi" w:hAnsiTheme="minorHAnsi"/>
        </w:rPr>
        <w:t>described as a journey rather than a destination</w:t>
      </w:r>
      <w:r w:rsidR="0077785C">
        <w:rPr>
          <w:rFonts w:asciiTheme="minorHAnsi" w:hAnsiTheme="minorHAnsi"/>
        </w:rPr>
        <w:t xml:space="preserve">.  </w:t>
      </w:r>
      <w:r w:rsidR="00660117" w:rsidRPr="00010CB1">
        <w:rPr>
          <w:rFonts w:asciiTheme="minorHAnsi" w:hAnsiTheme="minorHAnsi"/>
        </w:rPr>
        <w:t>Performance budgeting reforms have been pursued by OECD countries over a long period of time</w:t>
      </w:r>
      <w:r w:rsidR="00423573">
        <w:rPr>
          <w:rFonts w:asciiTheme="minorHAnsi" w:hAnsiTheme="minorHAnsi"/>
        </w:rPr>
        <w:t xml:space="preserve"> and have often be</w:t>
      </w:r>
      <w:r w:rsidR="002F0092">
        <w:rPr>
          <w:rFonts w:asciiTheme="minorHAnsi" w:hAnsiTheme="minorHAnsi"/>
        </w:rPr>
        <w:t>en</w:t>
      </w:r>
      <w:r w:rsidR="00423573">
        <w:rPr>
          <w:rFonts w:asciiTheme="minorHAnsi" w:hAnsiTheme="minorHAnsi"/>
        </w:rPr>
        <w:t xml:space="preserve"> improvisational</w:t>
      </w:r>
      <w:r w:rsidR="002F0092">
        <w:rPr>
          <w:rFonts w:asciiTheme="minorHAnsi" w:hAnsiTheme="minorHAnsi"/>
        </w:rPr>
        <w:t xml:space="preserve"> in nature</w:t>
      </w:r>
      <w:r w:rsidR="007344DA">
        <w:rPr>
          <w:rFonts w:asciiTheme="minorHAnsi" w:hAnsiTheme="minorHAnsi"/>
        </w:rPr>
        <w:t xml:space="preserve">. </w:t>
      </w:r>
      <w:r w:rsidR="00660117" w:rsidRPr="00010CB1">
        <w:rPr>
          <w:rFonts w:asciiTheme="minorHAnsi" w:hAnsiTheme="minorHAnsi"/>
        </w:rPr>
        <w:t xml:space="preserve">The United States first introduced </w:t>
      </w:r>
      <w:r w:rsidR="00DA0272">
        <w:rPr>
          <w:rFonts w:asciiTheme="minorHAnsi" w:hAnsiTheme="minorHAnsi"/>
        </w:rPr>
        <w:t xml:space="preserve">programme </w:t>
      </w:r>
      <w:r w:rsidR="007344DA">
        <w:rPr>
          <w:rFonts w:asciiTheme="minorHAnsi" w:hAnsiTheme="minorHAnsi"/>
        </w:rPr>
        <w:t>budgeting in the 1960s.</w:t>
      </w:r>
      <w:r w:rsidR="00660117" w:rsidRPr="00010CB1">
        <w:rPr>
          <w:rFonts w:asciiTheme="minorHAnsi" w:hAnsiTheme="minorHAnsi"/>
        </w:rPr>
        <w:t xml:space="preserve"> In the 1980s and 90s a second wave of performance oriented budget reforms was led by countries including Australia, the Netherlands, New Zealand and the United Kingdom.  In the past decade, many more OECD have adopted performance budgeting to the point where, in the last OECD Survey of Budgeting Practices, 26 out of 34 OECD countries reported using a standard framework for performance budgeting.</w:t>
      </w:r>
      <w:r w:rsidR="0077785C">
        <w:rPr>
          <w:rFonts w:asciiTheme="minorHAnsi" w:hAnsiTheme="minorHAnsi"/>
        </w:rPr>
        <w:t xml:space="preserve"> Almost every OECD country that has adopted some form of performance budgeting has periodically revised its approach and, as no country is fully satisfied with the system it has developed</w:t>
      </w:r>
      <w:r w:rsidR="000D5524">
        <w:rPr>
          <w:rFonts w:asciiTheme="minorHAnsi" w:hAnsiTheme="minorHAnsi"/>
        </w:rPr>
        <w:t xml:space="preserve">, it can safely be assumed that </w:t>
      </w:r>
      <w:r w:rsidR="0077785C">
        <w:rPr>
          <w:rFonts w:asciiTheme="minorHAnsi" w:hAnsiTheme="minorHAnsi"/>
        </w:rPr>
        <w:t xml:space="preserve">these systems </w:t>
      </w:r>
      <w:r w:rsidR="000D5524">
        <w:rPr>
          <w:rFonts w:asciiTheme="minorHAnsi" w:hAnsiTheme="minorHAnsi"/>
        </w:rPr>
        <w:t xml:space="preserve">will </w:t>
      </w:r>
      <w:r w:rsidR="002F0092">
        <w:rPr>
          <w:rFonts w:asciiTheme="minorHAnsi" w:hAnsiTheme="minorHAnsi"/>
        </w:rPr>
        <w:t>continue to evolve</w:t>
      </w:r>
      <w:r w:rsidR="0077785C">
        <w:rPr>
          <w:rFonts w:asciiTheme="minorHAnsi" w:hAnsiTheme="minorHAnsi"/>
        </w:rPr>
        <w:t xml:space="preserve">. </w:t>
      </w:r>
      <w:r w:rsidR="002F0092">
        <w:rPr>
          <w:rFonts w:asciiTheme="minorHAnsi" w:hAnsiTheme="minorHAnsi"/>
        </w:rPr>
        <w:t xml:space="preserve">Since some </w:t>
      </w:r>
      <w:r w:rsidR="0077785C">
        <w:rPr>
          <w:rFonts w:asciiTheme="minorHAnsi" w:hAnsiTheme="minorHAnsi"/>
        </w:rPr>
        <w:t xml:space="preserve">countries are at </w:t>
      </w:r>
      <w:r w:rsidR="002F0092">
        <w:rPr>
          <w:rFonts w:asciiTheme="minorHAnsi" w:hAnsiTheme="minorHAnsi"/>
        </w:rPr>
        <w:t xml:space="preserve">the start of this journey the </w:t>
      </w:r>
      <w:r w:rsidR="00423573">
        <w:rPr>
          <w:rFonts w:asciiTheme="minorHAnsi" w:hAnsiTheme="minorHAnsi"/>
        </w:rPr>
        <w:t xml:space="preserve">practices attempt to cover </w:t>
      </w:r>
      <w:r w:rsidR="000D5524">
        <w:rPr>
          <w:rFonts w:asciiTheme="minorHAnsi" w:hAnsiTheme="minorHAnsi"/>
        </w:rPr>
        <w:t xml:space="preserve">the whole process </w:t>
      </w:r>
      <w:r w:rsidR="00AF7DA2">
        <w:rPr>
          <w:rFonts w:asciiTheme="minorHAnsi" w:hAnsiTheme="minorHAnsi"/>
        </w:rPr>
        <w:t>from design of p</w:t>
      </w:r>
      <w:r w:rsidR="000D5524">
        <w:rPr>
          <w:rFonts w:asciiTheme="minorHAnsi" w:hAnsiTheme="minorHAnsi"/>
        </w:rPr>
        <w:t xml:space="preserve">erformance budgeting system </w:t>
      </w:r>
      <w:r w:rsidR="00AF7DA2">
        <w:rPr>
          <w:rFonts w:asciiTheme="minorHAnsi" w:hAnsiTheme="minorHAnsi"/>
        </w:rPr>
        <w:t>through to system</w:t>
      </w:r>
      <w:r w:rsidR="000D5524">
        <w:rPr>
          <w:rFonts w:asciiTheme="minorHAnsi" w:hAnsiTheme="minorHAnsi"/>
        </w:rPr>
        <w:t xml:space="preserve"> implementation</w:t>
      </w:r>
      <w:r w:rsidR="002F0092">
        <w:rPr>
          <w:rFonts w:asciiTheme="minorHAnsi" w:hAnsiTheme="minorHAnsi"/>
        </w:rPr>
        <w:t>,</w:t>
      </w:r>
      <w:r w:rsidR="00AF7DA2">
        <w:rPr>
          <w:rFonts w:asciiTheme="minorHAnsi" w:hAnsiTheme="minorHAnsi"/>
        </w:rPr>
        <w:t xml:space="preserve"> operation</w:t>
      </w:r>
      <w:r w:rsidR="000D5524">
        <w:rPr>
          <w:rFonts w:asciiTheme="minorHAnsi" w:hAnsiTheme="minorHAnsi"/>
        </w:rPr>
        <w:t xml:space="preserve"> and </w:t>
      </w:r>
      <w:r w:rsidR="002F0092">
        <w:rPr>
          <w:rFonts w:asciiTheme="minorHAnsi" w:hAnsiTheme="minorHAnsi"/>
        </w:rPr>
        <w:t>oversight.</w:t>
      </w:r>
    </w:p>
    <w:p w:rsidR="00CB44B0" w:rsidRPr="0036560A" w:rsidRDefault="00383ED0" w:rsidP="007F027C">
      <w:pPr>
        <w:pStyle w:val="BodyText"/>
        <w:tabs>
          <w:tab w:val="clear" w:pos="850"/>
          <w:tab w:val="left" w:pos="567"/>
        </w:tabs>
        <w:ind w:firstLine="0"/>
        <w:rPr>
          <w:rFonts w:asciiTheme="minorHAnsi" w:hAnsiTheme="minorHAnsi"/>
        </w:rPr>
      </w:pPr>
      <w:r>
        <w:rPr>
          <w:rFonts w:asciiTheme="minorHAnsi" w:hAnsiTheme="minorHAnsi"/>
        </w:rPr>
        <w:tab/>
      </w:r>
      <w:r w:rsidR="000D5524" w:rsidRPr="00423573">
        <w:rPr>
          <w:rFonts w:asciiTheme="minorHAnsi" w:hAnsiTheme="minorHAnsi"/>
        </w:rPr>
        <w:t xml:space="preserve">For those countries that have already been through the </w:t>
      </w:r>
      <w:r w:rsidR="00AF7DA2" w:rsidRPr="00423573">
        <w:rPr>
          <w:rFonts w:asciiTheme="minorHAnsi" w:hAnsiTheme="minorHAnsi"/>
        </w:rPr>
        <w:t xml:space="preserve">initial processes of design and implementation </w:t>
      </w:r>
      <w:r w:rsidR="00423573">
        <w:rPr>
          <w:rFonts w:asciiTheme="minorHAnsi" w:hAnsiTheme="minorHAnsi"/>
        </w:rPr>
        <w:t xml:space="preserve">the </w:t>
      </w:r>
      <w:r w:rsidR="00AF7DA2" w:rsidRPr="00423573">
        <w:rPr>
          <w:rFonts w:asciiTheme="minorHAnsi" w:hAnsiTheme="minorHAnsi"/>
        </w:rPr>
        <w:t xml:space="preserve">best practices </w:t>
      </w:r>
      <w:r w:rsidR="00423573">
        <w:rPr>
          <w:rFonts w:asciiTheme="minorHAnsi" w:hAnsiTheme="minorHAnsi"/>
        </w:rPr>
        <w:t xml:space="preserve">that relate to quality and operation of the system </w:t>
      </w:r>
      <w:r w:rsidR="00AF7DA2" w:rsidRPr="00423573">
        <w:rPr>
          <w:rFonts w:asciiTheme="minorHAnsi" w:hAnsiTheme="minorHAnsi"/>
        </w:rPr>
        <w:t>may be more relevant</w:t>
      </w:r>
      <w:r w:rsidR="00423573">
        <w:rPr>
          <w:rFonts w:asciiTheme="minorHAnsi" w:hAnsiTheme="minorHAnsi"/>
        </w:rPr>
        <w:t>,</w:t>
      </w:r>
      <w:r w:rsidR="002F0092" w:rsidRPr="002F0092">
        <w:rPr>
          <w:rFonts w:asciiTheme="minorHAnsi" w:hAnsiTheme="minorHAnsi"/>
        </w:rPr>
        <w:t xml:space="preserve"> </w:t>
      </w:r>
      <w:r w:rsidR="002F0092">
        <w:rPr>
          <w:rFonts w:asciiTheme="minorHAnsi" w:hAnsiTheme="minorHAnsi"/>
        </w:rPr>
        <w:t>e.g. capable people, infrastructure, information and incentives,</w:t>
      </w:r>
      <w:r w:rsidR="00423573">
        <w:rPr>
          <w:rFonts w:asciiTheme="minorHAnsi" w:hAnsiTheme="minorHAnsi"/>
        </w:rPr>
        <w:t xml:space="preserve"> although </w:t>
      </w:r>
      <w:r w:rsidR="002F0092">
        <w:rPr>
          <w:rFonts w:asciiTheme="minorHAnsi" w:hAnsiTheme="minorHAnsi"/>
        </w:rPr>
        <w:t xml:space="preserve">a fundamental re-think of </w:t>
      </w:r>
      <w:r w:rsidR="00423573">
        <w:rPr>
          <w:rFonts w:asciiTheme="minorHAnsi" w:hAnsiTheme="minorHAnsi"/>
        </w:rPr>
        <w:t>the basic objectives and design of the system</w:t>
      </w:r>
      <w:r w:rsidR="002F0092">
        <w:rPr>
          <w:rFonts w:asciiTheme="minorHAnsi" w:hAnsiTheme="minorHAnsi"/>
        </w:rPr>
        <w:t xml:space="preserve"> </w:t>
      </w:r>
      <w:r w:rsidR="00423573">
        <w:rPr>
          <w:rFonts w:asciiTheme="minorHAnsi" w:hAnsiTheme="minorHAnsi"/>
        </w:rPr>
        <w:t xml:space="preserve">may </w:t>
      </w:r>
      <w:r w:rsidR="002F0092">
        <w:rPr>
          <w:rFonts w:asciiTheme="minorHAnsi" w:hAnsiTheme="minorHAnsi"/>
        </w:rPr>
        <w:t xml:space="preserve">also </w:t>
      </w:r>
      <w:r w:rsidR="00423573">
        <w:rPr>
          <w:rFonts w:asciiTheme="minorHAnsi" w:hAnsiTheme="minorHAnsi"/>
        </w:rPr>
        <w:t xml:space="preserve">be </w:t>
      </w:r>
      <w:r w:rsidR="002F0092">
        <w:rPr>
          <w:rFonts w:asciiTheme="minorHAnsi" w:hAnsiTheme="minorHAnsi"/>
        </w:rPr>
        <w:t>advisable from time to time.</w:t>
      </w:r>
      <w:r w:rsidR="00AF7DA2" w:rsidRPr="00423573">
        <w:rPr>
          <w:rFonts w:asciiTheme="minorHAnsi" w:hAnsiTheme="minorHAnsi"/>
        </w:rPr>
        <w:t xml:space="preserve"> </w:t>
      </w:r>
      <w:r w:rsidR="00CB44B0">
        <w:rPr>
          <w:rFonts w:asciiTheme="minorHAnsi" w:hAnsiTheme="minorHAnsi"/>
        </w:rPr>
        <w:t xml:space="preserve">Finally, governments </w:t>
      </w:r>
      <w:r w:rsidR="000A7C92">
        <w:rPr>
          <w:rFonts w:asciiTheme="minorHAnsi" w:hAnsiTheme="minorHAnsi"/>
        </w:rPr>
        <w:t xml:space="preserve">considering their approach to </w:t>
      </w:r>
      <w:r w:rsidR="00CB44B0">
        <w:rPr>
          <w:rFonts w:asciiTheme="minorHAnsi" w:hAnsiTheme="minorHAnsi"/>
        </w:rPr>
        <w:t>performance budgeting</w:t>
      </w:r>
      <w:r w:rsidR="00760AE5" w:rsidRPr="00760AE5">
        <w:rPr>
          <w:rFonts w:asciiTheme="minorHAnsi" w:hAnsiTheme="minorHAnsi"/>
        </w:rPr>
        <w:t xml:space="preserve"> </w:t>
      </w:r>
      <w:r w:rsidR="00760AE5">
        <w:rPr>
          <w:rFonts w:asciiTheme="minorHAnsi" w:hAnsiTheme="minorHAnsi"/>
        </w:rPr>
        <w:t>would do well to pay attention to the balance between effort and reward</w:t>
      </w:r>
      <w:r w:rsidR="00E462DC">
        <w:rPr>
          <w:rFonts w:asciiTheme="minorHAnsi" w:hAnsiTheme="minorHAnsi"/>
        </w:rPr>
        <w:t xml:space="preserve">.  </w:t>
      </w:r>
      <w:r w:rsidR="000A7C92">
        <w:rPr>
          <w:rFonts w:asciiTheme="minorHAnsi" w:hAnsiTheme="minorHAnsi"/>
        </w:rPr>
        <w:t xml:space="preserve">Introducing a parallel system of budgeting imposes </w:t>
      </w:r>
      <w:r w:rsidR="00760AE5">
        <w:rPr>
          <w:rFonts w:asciiTheme="minorHAnsi" w:hAnsiTheme="minorHAnsi"/>
        </w:rPr>
        <w:t>a</w:t>
      </w:r>
      <w:r w:rsidR="000C38DF">
        <w:rPr>
          <w:rFonts w:asciiTheme="minorHAnsi" w:hAnsiTheme="minorHAnsi"/>
        </w:rPr>
        <w:t xml:space="preserve">n additional </w:t>
      </w:r>
      <w:r w:rsidR="000A7C92">
        <w:rPr>
          <w:rFonts w:asciiTheme="minorHAnsi" w:hAnsiTheme="minorHAnsi"/>
        </w:rPr>
        <w:t>burden on the administration</w:t>
      </w:r>
      <w:r w:rsidR="00760AE5">
        <w:rPr>
          <w:rFonts w:asciiTheme="minorHAnsi" w:hAnsiTheme="minorHAnsi"/>
        </w:rPr>
        <w:t>,</w:t>
      </w:r>
      <w:r w:rsidR="000A7C92">
        <w:rPr>
          <w:rFonts w:asciiTheme="minorHAnsi" w:hAnsiTheme="minorHAnsi"/>
        </w:rPr>
        <w:t xml:space="preserve"> </w:t>
      </w:r>
      <w:r w:rsidR="00760AE5">
        <w:rPr>
          <w:rFonts w:asciiTheme="minorHAnsi" w:hAnsiTheme="minorHAnsi"/>
        </w:rPr>
        <w:t xml:space="preserve">and </w:t>
      </w:r>
      <w:r w:rsidR="000C38DF">
        <w:rPr>
          <w:rFonts w:asciiTheme="minorHAnsi" w:hAnsiTheme="minorHAnsi"/>
        </w:rPr>
        <w:t xml:space="preserve">if this does not lead </w:t>
      </w:r>
      <w:r w:rsidR="00760AE5">
        <w:rPr>
          <w:rFonts w:asciiTheme="minorHAnsi" w:hAnsiTheme="minorHAnsi"/>
        </w:rPr>
        <w:t>to different decisions being made</w:t>
      </w:r>
      <w:r w:rsidR="000C38DF">
        <w:rPr>
          <w:rFonts w:asciiTheme="minorHAnsi" w:hAnsiTheme="minorHAnsi"/>
        </w:rPr>
        <w:t>, or decisions being made in a different way, the reform can easily become discredited</w:t>
      </w:r>
      <w:r w:rsidR="00760AE5">
        <w:rPr>
          <w:rFonts w:asciiTheme="minorHAnsi" w:hAnsiTheme="minorHAnsi"/>
        </w:rPr>
        <w:t xml:space="preserve">. </w:t>
      </w:r>
      <w:r w:rsidR="00E462DC">
        <w:rPr>
          <w:rFonts w:asciiTheme="minorHAnsi" w:hAnsiTheme="minorHAnsi"/>
        </w:rPr>
        <w:t xml:space="preserve">This </w:t>
      </w:r>
      <w:r w:rsidR="00760AE5">
        <w:rPr>
          <w:rFonts w:asciiTheme="minorHAnsi" w:hAnsiTheme="minorHAnsi"/>
        </w:rPr>
        <w:t xml:space="preserve">suggests that an incremental approach may be </w:t>
      </w:r>
      <w:r w:rsidR="000C38DF">
        <w:rPr>
          <w:rFonts w:asciiTheme="minorHAnsi" w:hAnsiTheme="minorHAnsi"/>
        </w:rPr>
        <w:t>better than a big b</w:t>
      </w:r>
      <w:r w:rsidR="00760AE5">
        <w:rPr>
          <w:rFonts w:asciiTheme="minorHAnsi" w:hAnsiTheme="minorHAnsi"/>
        </w:rPr>
        <w:t>ang</w:t>
      </w:r>
      <w:r w:rsidR="000C38DF">
        <w:rPr>
          <w:rFonts w:asciiTheme="minorHAnsi" w:hAnsiTheme="minorHAnsi"/>
        </w:rPr>
        <w:t xml:space="preserve"> approach</w:t>
      </w:r>
      <w:r w:rsidR="00760AE5">
        <w:rPr>
          <w:rFonts w:asciiTheme="minorHAnsi" w:hAnsiTheme="minorHAnsi"/>
        </w:rPr>
        <w:t>, especially where there are significant constraints, for example in staff skills, performance culture or the quality of performance data.</w:t>
      </w:r>
      <w:r w:rsidR="000C38DF">
        <w:rPr>
          <w:rFonts w:asciiTheme="minorHAnsi" w:hAnsiTheme="minorHAnsi"/>
        </w:rPr>
        <w:t xml:space="preserve">  Incrementalism could mean starting with a presentational approach</w:t>
      </w:r>
      <w:r w:rsidR="003378A5">
        <w:rPr>
          <w:rFonts w:asciiTheme="minorHAnsi" w:hAnsiTheme="minorHAnsi"/>
        </w:rPr>
        <w:t>,</w:t>
      </w:r>
      <w:r w:rsidR="000C38DF">
        <w:rPr>
          <w:rFonts w:asciiTheme="minorHAnsi" w:hAnsiTheme="minorHAnsi"/>
        </w:rPr>
        <w:t xml:space="preserve"> or piloting performance</w:t>
      </w:r>
      <w:r w:rsidR="000251B6">
        <w:rPr>
          <w:rFonts w:asciiTheme="minorHAnsi" w:hAnsiTheme="minorHAnsi"/>
        </w:rPr>
        <w:t xml:space="preserve"> </w:t>
      </w:r>
      <w:proofErr w:type="gramStart"/>
      <w:r w:rsidR="000251B6">
        <w:rPr>
          <w:rFonts w:asciiTheme="minorHAnsi" w:hAnsiTheme="minorHAnsi"/>
        </w:rPr>
        <w:t xml:space="preserve">budgeting </w:t>
      </w:r>
      <w:r w:rsidR="000C38DF">
        <w:rPr>
          <w:rFonts w:asciiTheme="minorHAnsi" w:hAnsiTheme="minorHAnsi"/>
        </w:rPr>
        <w:t xml:space="preserve"> in</w:t>
      </w:r>
      <w:proofErr w:type="gramEnd"/>
      <w:r w:rsidR="000C38DF">
        <w:rPr>
          <w:rFonts w:asciiTheme="minorHAnsi" w:hAnsiTheme="minorHAnsi"/>
        </w:rPr>
        <w:t xml:space="preserve"> high capacity ministries</w:t>
      </w:r>
      <w:r w:rsidR="003378A5">
        <w:rPr>
          <w:rFonts w:asciiTheme="minorHAnsi" w:hAnsiTheme="minorHAnsi"/>
        </w:rPr>
        <w:t>.</w:t>
      </w:r>
      <w:r>
        <w:rPr>
          <w:rFonts w:asciiTheme="minorHAnsi" w:hAnsiTheme="minorHAnsi"/>
        </w:rPr>
        <w:t xml:space="preserve"> </w:t>
      </w:r>
      <w:r w:rsidR="003378A5">
        <w:rPr>
          <w:rFonts w:asciiTheme="minorHAnsi" w:hAnsiTheme="minorHAnsi"/>
        </w:rPr>
        <w:t xml:space="preserve">Sometimes </w:t>
      </w:r>
      <w:r w:rsidR="000C38DF">
        <w:rPr>
          <w:rFonts w:asciiTheme="minorHAnsi" w:hAnsiTheme="minorHAnsi"/>
        </w:rPr>
        <w:t xml:space="preserve">line ministries </w:t>
      </w:r>
      <w:r w:rsidR="00A37FF0">
        <w:rPr>
          <w:rFonts w:asciiTheme="minorHAnsi" w:hAnsiTheme="minorHAnsi"/>
        </w:rPr>
        <w:t xml:space="preserve">are </w:t>
      </w:r>
      <w:r w:rsidR="003378A5">
        <w:rPr>
          <w:rFonts w:asciiTheme="minorHAnsi" w:hAnsiTheme="minorHAnsi"/>
        </w:rPr>
        <w:t xml:space="preserve">already </w:t>
      </w:r>
      <w:r w:rsidR="00A37FF0">
        <w:rPr>
          <w:rFonts w:asciiTheme="minorHAnsi" w:hAnsiTheme="minorHAnsi"/>
        </w:rPr>
        <w:t>using</w:t>
      </w:r>
      <w:r w:rsidR="003378A5">
        <w:rPr>
          <w:rFonts w:asciiTheme="minorHAnsi" w:hAnsiTheme="minorHAnsi"/>
        </w:rPr>
        <w:t xml:space="preserve"> similar performance concepts, in areas such as management of schools and hospitals, or outsourced</w:t>
      </w:r>
      <w:r w:rsidR="00A37FF0">
        <w:rPr>
          <w:rFonts w:asciiTheme="minorHAnsi" w:hAnsiTheme="minorHAnsi"/>
        </w:rPr>
        <w:t xml:space="preserve"> service delivery</w:t>
      </w:r>
      <w:r w:rsidR="003378A5">
        <w:rPr>
          <w:rFonts w:asciiTheme="minorHAnsi" w:hAnsiTheme="minorHAnsi"/>
        </w:rPr>
        <w:t>, before the</w:t>
      </w:r>
      <w:r w:rsidR="00A37FF0">
        <w:rPr>
          <w:rFonts w:asciiTheme="minorHAnsi" w:hAnsiTheme="minorHAnsi"/>
        </w:rPr>
        <w:t xml:space="preserve"> concepts </w:t>
      </w:r>
      <w:r w:rsidR="003378A5">
        <w:rPr>
          <w:rFonts w:asciiTheme="minorHAnsi" w:hAnsiTheme="minorHAnsi"/>
        </w:rPr>
        <w:t xml:space="preserve">are </w:t>
      </w:r>
      <w:r w:rsidR="00A37FF0">
        <w:rPr>
          <w:rFonts w:asciiTheme="minorHAnsi" w:hAnsiTheme="minorHAnsi"/>
        </w:rPr>
        <w:t xml:space="preserve">more generally </w:t>
      </w:r>
      <w:r w:rsidR="003378A5">
        <w:rPr>
          <w:rFonts w:asciiTheme="minorHAnsi" w:hAnsiTheme="minorHAnsi"/>
        </w:rPr>
        <w:t>adopted by the ce</w:t>
      </w:r>
      <w:r>
        <w:rPr>
          <w:rFonts w:asciiTheme="minorHAnsi" w:hAnsiTheme="minorHAnsi"/>
        </w:rPr>
        <w:t>ntral budget authority.</w:t>
      </w:r>
    </w:p>
    <w:p w:rsidR="001F33DB" w:rsidRPr="00002EE1" w:rsidRDefault="00EF00CF" w:rsidP="00002EE1">
      <w:pPr>
        <w:pStyle w:val="Heading2"/>
        <w:rPr>
          <w:rFonts w:asciiTheme="minorHAnsi" w:hAnsiTheme="minorHAnsi"/>
        </w:rPr>
      </w:pPr>
      <w:r w:rsidRPr="00002EE1">
        <w:rPr>
          <w:rFonts w:asciiTheme="minorHAnsi" w:hAnsiTheme="minorHAnsi"/>
        </w:rPr>
        <w:t>Origins of</w:t>
      </w:r>
      <w:r w:rsidR="001F33DB" w:rsidRPr="00002EE1">
        <w:rPr>
          <w:rFonts w:asciiTheme="minorHAnsi" w:hAnsiTheme="minorHAnsi"/>
        </w:rPr>
        <w:t xml:space="preserve"> the best practices</w:t>
      </w:r>
    </w:p>
    <w:p w:rsidR="00A3495C" w:rsidRDefault="00383ED0" w:rsidP="007F027C">
      <w:pPr>
        <w:pStyle w:val="BodyText"/>
        <w:tabs>
          <w:tab w:val="clear" w:pos="850"/>
          <w:tab w:val="left" w:pos="567"/>
        </w:tabs>
        <w:ind w:firstLine="0"/>
        <w:rPr>
          <w:rFonts w:asciiTheme="minorHAnsi" w:hAnsiTheme="minorHAnsi"/>
        </w:rPr>
      </w:pPr>
      <w:r>
        <w:rPr>
          <w:rFonts w:asciiTheme="minorHAnsi" w:hAnsiTheme="minorHAnsi"/>
        </w:rPr>
        <w:tab/>
      </w:r>
      <w:r w:rsidR="00660117" w:rsidRPr="00A4255D">
        <w:rPr>
          <w:rFonts w:asciiTheme="minorHAnsi" w:hAnsiTheme="minorHAnsi"/>
        </w:rPr>
        <w:t xml:space="preserve">The OECD has been extensively involved in reviewing performance budgeting reforms </w:t>
      </w:r>
      <w:r w:rsidR="007E65B3">
        <w:rPr>
          <w:rFonts w:asciiTheme="minorHAnsi" w:hAnsiTheme="minorHAnsi"/>
        </w:rPr>
        <w:t>for more than 12 years.</w:t>
      </w:r>
      <w:r>
        <w:rPr>
          <w:rFonts w:asciiTheme="minorHAnsi" w:hAnsiTheme="minorHAnsi"/>
        </w:rPr>
        <w:t xml:space="preserve"> </w:t>
      </w:r>
      <w:r w:rsidR="00660117" w:rsidRPr="00A4255D">
        <w:rPr>
          <w:rFonts w:asciiTheme="minorHAnsi" w:hAnsiTheme="minorHAnsi"/>
        </w:rPr>
        <w:t xml:space="preserve">In 2004 </w:t>
      </w:r>
      <w:r w:rsidR="007E65B3">
        <w:rPr>
          <w:rFonts w:asciiTheme="minorHAnsi" w:hAnsiTheme="minorHAnsi"/>
        </w:rPr>
        <w:t xml:space="preserve">OECD </w:t>
      </w:r>
      <w:r w:rsidR="00660117" w:rsidRPr="00A4255D">
        <w:rPr>
          <w:rFonts w:asciiTheme="minorHAnsi" w:hAnsiTheme="minorHAnsi"/>
        </w:rPr>
        <w:t>Senior Budget Officials set up a Performance and Results Network to increase und</w:t>
      </w:r>
      <w:r w:rsidR="00A629D5">
        <w:rPr>
          <w:rFonts w:asciiTheme="minorHAnsi" w:hAnsiTheme="minorHAnsi"/>
        </w:rPr>
        <w:t xml:space="preserve">erstanding of these practices. </w:t>
      </w:r>
      <w:r w:rsidR="00660117" w:rsidRPr="00A4255D">
        <w:rPr>
          <w:rFonts w:asciiTheme="minorHAnsi" w:hAnsiTheme="minorHAnsi"/>
        </w:rPr>
        <w:t xml:space="preserve">Since </w:t>
      </w:r>
      <w:r>
        <w:rPr>
          <w:rFonts w:asciiTheme="minorHAnsi" w:hAnsiTheme="minorHAnsi"/>
        </w:rPr>
        <w:t xml:space="preserve">then </w:t>
      </w:r>
      <w:r w:rsidR="007E65B3">
        <w:rPr>
          <w:rFonts w:asciiTheme="minorHAnsi" w:hAnsiTheme="minorHAnsi"/>
        </w:rPr>
        <w:t xml:space="preserve">the OECD </w:t>
      </w:r>
      <w:r w:rsidR="00660117" w:rsidRPr="00A4255D">
        <w:rPr>
          <w:rFonts w:asciiTheme="minorHAnsi" w:hAnsiTheme="minorHAnsi"/>
        </w:rPr>
        <w:t>has conducted three major surveys of performance budgeting practices (2007, 2011 and 2016), prepared country case studies and held regular meetings where experience was shared amongst member countries. Through th</w:t>
      </w:r>
      <w:r w:rsidR="007E65B3">
        <w:rPr>
          <w:rFonts w:asciiTheme="minorHAnsi" w:hAnsiTheme="minorHAnsi"/>
        </w:rPr>
        <w:t>e</w:t>
      </w:r>
      <w:r w:rsidR="00660117" w:rsidRPr="00A4255D">
        <w:rPr>
          <w:rFonts w:asciiTheme="minorHAnsi" w:hAnsiTheme="minorHAnsi"/>
        </w:rPr>
        <w:t>s</w:t>
      </w:r>
      <w:r w:rsidR="007E65B3">
        <w:rPr>
          <w:rFonts w:asciiTheme="minorHAnsi" w:hAnsiTheme="minorHAnsi"/>
        </w:rPr>
        <w:t>e</w:t>
      </w:r>
      <w:r w:rsidR="00660117" w:rsidRPr="00A4255D">
        <w:rPr>
          <w:rFonts w:asciiTheme="minorHAnsi" w:hAnsiTheme="minorHAnsi"/>
        </w:rPr>
        <w:t xml:space="preserve"> process</w:t>
      </w:r>
      <w:r w:rsidR="007E65B3">
        <w:rPr>
          <w:rFonts w:asciiTheme="minorHAnsi" w:hAnsiTheme="minorHAnsi"/>
        </w:rPr>
        <w:t>es</w:t>
      </w:r>
      <w:r w:rsidR="00660117" w:rsidRPr="00A4255D">
        <w:rPr>
          <w:rFonts w:asciiTheme="minorHAnsi" w:hAnsiTheme="minorHAnsi"/>
        </w:rPr>
        <w:t xml:space="preserve"> a substantial amount of knowledge has been acquired about both the challenges of performance budgeting and good practices.</w:t>
      </w:r>
      <w:r w:rsidR="001F33DB">
        <w:rPr>
          <w:rFonts w:asciiTheme="minorHAnsi" w:hAnsiTheme="minorHAnsi"/>
        </w:rPr>
        <w:t xml:space="preserve"> In addition, the OECD through </w:t>
      </w:r>
      <w:r w:rsidR="00EF00CF">
        <w:rPr>
          <w:rFonts w:asciiTheme="minorHAnsi" w:hAnsiTheme="minorHAnsi"/>
        </w:rPr>
        <w:t xml:space="preserve">their </w:t>
      </w:r>
      <w:r w:rsidR="001F33DB">
        <w:rPr>
          <w:rFonts w:asciiTheme="minorHAnsi" w:hAnsiTheme="minorHAnsi"/>
        </w:rPr>
        <w:t>reviews of budget practices in OECD countries, OECD staff have h</w:t>
      </w:r>
      <w:r w:rsidR="003452AE">
        <w:rPr>
          <w:rFonts w:asciiTheme="minorHAnsi" w:hAnsiTheme="minorHAnsi"/>
        </w:rPr>
        <w:t>a</w:t>
      </w:r>
      <w:r w:rsidR="001F33DB">
        <w:rPr>
          <w:rFonts w:asciiTheme="minorHAnsi" w:hAnsiTheme="minorHAnsi"/>
        </w:rPr>
        <w:t xml:space="preserve">d the opportunity to </w:t>
      </w:r>
      <w:r w:rsidR="007E65B3">
        <w:rPr>
          <w:rFonts w:asciiTheme="minorHAnsi" w:hAnsiTheme="minorHAnsi"/>
        </w:rPr>
        <w:t xml:space="preserve">closely </w:t>
      </w:r>
      <w:r w:rsidR="00CB7559">
        <w:rPr>
          <w:rFonts w:asciiTheme="minorHAnsi" w:hAnsiTheme="minorHAnsi"/>
        </w:rPr>
        <w:t xml:space="preserve">study </w:t>
      </w:r>
      <w:r w:rsidR="001F33DB">
        <w:rPr>
          <w:rFonts w:asciiTheme="minorHAnsi" w:hAnsiTheme="minorHAnsi"/>
        </w:rPr>
        <w:t xml:space="preserve">performance budgeting practices. </w:t>
      </w:r>
    </w:p>
    <w:p w:rsidR="00A3495C" w:rsidRPr="00A3495C" w:rsidRDefault="007F027C" w:rsidP="007F027C">
      <w:pPr>
        <w:pStyle w:val="BodyText"/>
        <w:tabs>
          <w:tab w:val="clear" w:pos="850"/>
          <w:tab w:val="left" w:pos="567"/>
        </w:tabs>
        <w:spacing w:after="120"/>
        <w:ind w:firstLine="0"/>
        <w:rPr>
          <w:rFonts w:asciiTheme="minorHAnsi" w:hAnsiTheme="minorHAnsi"/>
        </w:rPr>
      </w:pPr>
      <w:r>
        <w:rPr>
          <w:rFonts w:asciiTheme="minorHAnsi" w:hAnsiTheme="minorHAnsi"/>
        </w:rPr>
        <w:tab/>
      </w:r>
      <w:r w:rsidR="00A3495C">
        <w:rPr>
          <w:rFonts w:asciiTheme="minorHAnsi" w:hAnsiTheme="minorHAnsi"/>
        </w:rPr>
        <w:t xml:space="preserve">Key aspects of the OECD’s understanding of performance budgeting are set out in the 2015 </w:t>
      </w:r>
      <w:r w:rsidR="00A3495C" w:rsidRPr="00A3495C">
        <w:rPr>
          <w:rFonts w:asciiTheme="minorHAnsi" w:hAnsiTheme="minorHAnsi"/>
          <w:i/>
        </w:rPr>
        <w:t>Recommendation on Budgetary Governance</w:t>
      </w:r>
      <w:r w:rsidR="00A3495C" w:rsidRPr="00A3495C">
        <w:rPr>
          <w:rFonts w:asciiTheme="minorHAnsi" w:hAnsiTheme="minorHAnsi"/>
        </w:rPr>
        <w:t xml:space="preserve"> </w:t>
      </w:r>
      <w:r w:rsidR="00A3495C">
        <w:rPr>
          <w:rFonts w:asciiTheme="minorHAnsi" w:hAnsiTheme="minorHAnsi"/>
        </w:rPr>
        <w:t xml:space="preserve">which includes, among its ten principles of modern budgeting, the principle that </w:t>
      </w:r>
      <w:r w:rsidR="002F4FBC">
        <w:rPr>
          <w:rFonts w:asciiTheme="minorHAnsi" w:hAnsiTheme="minorHAnsi"/>
        </w:rPr>
        <w:t>“</w:t>
      </w:r>
      <w:r w:rsidR="00A3495C">
        <w:rPr>
          <w:rFonts w:asciiTheme="minorHAnsi" w:hAnsiTheme="minorHAnsi"/>
        </w:rPr>
        <w:t>performance, evaluation and value-for-money are integral to the budget process</w:t>
      </w:r>
      <w:r w:rsidR="002F4FBC">
        <w:rPr>
          <w:rFonts w:asciiTheme="minorHAnsi" w:hAnsiTheme="minorHAnsi"/>
        </w:rPr>
        <w:t>”</w:t>
      </w:r>
      <w:r w:rsidR="00A3495C">
        <w:rPr>
          <w:rFonts w:asciiTheme="minorHAnsi" w:hAnsiTheme="minorHAnsi"/>
        </w:rPr>
        <w:t xml:space="preserve">. In particular, the Recommendation </w:t>
      </w:r>
      <w:r w:rsidR="00A3495C" w:rsidRPr="00A3495C">
        <w:rPr>
          <w:rFonts w:asciiTheme="minorHAnsi" w:hAnsiTheme="minorHAnsi"/>
        </w:rPr>
        <w:t xml:space="preserve">calls on governments to </w:t>
      </w:r>
      <w:r w:rsidR="002F4FBC">
        <w:rPr>
          <w:rFonts w:asciiTheme="minorHAnsi" w:hAnsiTheme="minorHAnsi"/>
        </w:rPr>
        <w:t>“</w:t>
      </w:r>
      <w:r w:rsidR="00A3495C" w:rsidRPr="00A3495C">
        <w:rPr>
          <w:rFonts w:asciiTheme="minorHAnsi" w:hAnsiTheme="minorHAnsi"/>
        </w:rPr>
        <w:t xml:space="preserve">routinely present performance </w:t>
      </w:r>
      <w:r w:rsidR="00A3495C" w:rsidRPr="00A3495C">
        <w:rPr>
          <w:rFonts w:asciiTheme="minorHAnsi" w:hAnsiTheme="minorHAnsi"/>
        </w:rPr>
        <w:lastRenderedPageBreak/>
        <w:t>information in a way which informs, and provides useful context for, the financial allocations in the budget report; noting that such information should clarify, and not obscure or impede, accountability and oversight</w:t>
      </w:r>
      <w:r w:rsidR="002F4FBC">
        <w:rPr>
          <w:rFonts w:asciiTheme="minorHAnsi" w:hAnsiTheme="minorHAnsi"/>
        </w:rPr>
        <w:t>”</w:t>
      </w:r>
      <w:r w:rsidR="00A3495C" w:rsidRPr="00A3495C">
        <w:rPr>
          <w:rFonts w:asciiTheme="minorHAnsi" w:hAnsiTheme="minorHAnsi"/>
        </w:rPr>
        <w:t xml:space="preserve"> and goes on to recommend:</w:t>
      </w:r>
    </w:p>
    <w:p w:rsidR="00A3495C" w:rsidRDefault="00002EE1" w:rsidP="007F027C">
      <w:pPr>
        <w:pStyle w:val="BodyText"/>
        <w:ind w:left="567" w:firstLine="0"/>
        <w:rPr>
          <w:rFonts w:asciiTheme="minorHAnsi" w:hAnsiTheme="minorHAnsi"/>
        </w:rPr>
      </w:pPr>
      <w:r>
        <w:rPr>
          <w:rFonts w:asciiTheme="minorHAnsi" w:hAnsiTheme="minorHAnsi"/>
        </w:rPr>
        <w:t>"</w:t>
      </w:r>
      <w:r w:rsidR="00A3495C" w:rsidRPr="00A3495C">
        <w:rPr>
          <w:rFonts w:asciiTheme="minorHAnsi" w:hAnsiTheme="minorHAnsi"/>
        </w:rPr>
        <w:t>using performance information, therefore, which is (</w:t>
      </w:r>
      <w:proofErr w:type="spellStart"/>
      <w:r w:rsidR="00A3495C" w:rsidRPr="00A3495C">
        <w:rPr>
          <w:rFonts w:asciiTheme="minorHAnsi" w:hAnsiTheme="minorHAnsi"/>
        </w:rPr>
        <w:t>i</w:t>
      </w:r>
      <w:proofErr w:type="spellEnd"/>
      <w:r w:rsidR="00A3495C" w:rsidRPr="00A3495C">
        <w:rPr>
          <w:rFonts w:asciiTheme="minorHAnsi" w:hAnsiTheme="minorHAnsi"/>
        </w:rPr>
        <w:t>)</w:t>
      </w:r>
      <w:r w:rsidR="002F4FBC">
        <w:rPr>
          <w:rFonts w:asciiTheme="minorHAnsi" w:hAnsiTheme="minorHAnsi"/>
        </w:rPr>
        <w:t> </w:t>
      </w:r>
      <w:r w:rsidR="00A3495C" w:rsidRPr="00A3495C">
        <w:rPr>
          <w:rFonts w:asciiTheme="minorHAnsi" w:hAnsiTheme="minorHAnsi"/>
        </w:rPr>
        <w:t>limited to a small number of relevant indicators for each policy programme or area; (ii)</w:t>
      </w:r>
      <w:r w:rsidR="002F4FBC">
        <w:rPr>
          <w:rFonts w:asciiTheme="minorHAnsi" w:hAnsiTheme="minorHAnsi"/>
        </w:rPr>
        <w:t> </w:t>
      </w:r>
      <w:r w:rsidR="00A3495C" w:rsidRPr="00A3495C">
        <w:rPr>
          <w:rFonts w:asciiTheme="minorHAnsi" w:hAnsiTheme="minorHAnsi"/>
        </w:rPr>
        <w:t>clear and easily understood; (iii)</w:t>
      </w:r>
      <w:r w:rsidR="002F4FBC">
        <w:rPr>
          <w:rFonts w:asciiTheme="minorHAnsi" w:hAnsiTheme="minorHAnsi"/>
        </w:rPr>
        <w:t> </w:t>
      </w:r>
      <w:r w:rsidR="00A3495C" w:rsidRPr="00A3495C">
        <w:rPr>
          <w:rFonts w:asciiTheme="minorHAnsi" w:hAnsiTheme="minorHAnsi"/>
        </w:rPr>
        <w:t>allows for tracking of results against targets and for comparison with international and other benchmarks; (iv)</w:t>
      </w:r>
      <w:r w:rsidR="002F4FBC">
        <w:rPr>
          <w:rFonts w:asciiTheme="minorHAnsi" w:hAnsiTheme="minorHAnsi"/>
        </w:rPr>
        <w:t> </w:t>
      </w:r>
      <w:r w:rsidR="00A3495C" w:rsidRPr="00A3495C">
        <w:rPr>
          <w:rFonts w:asciiTheme="minorHAnsi" w:hAnsiTheme="minorHAnsi"/>
        </w:rPr>
        <w:t>makes clear the link with government-wide strategic objectives</w:t>
      </w:r>
      <w:r w:rsidR="00A3495C">
        <w:rPr>
          <w:rFonts w:asciiTheme="minorHAnsi" w:hAnsiTheme="minorHAnsi"/>
        </w:rPr>
        <w:t>.</w:t>
      </w:r>
      <w:r>
        <w:rPr>
          <w:rFonts w:asciiTheme="minorHAnsi" w:hAnsiTheme="minorHAnsi"/>
        </w:rPr>
        <w:t>"</w:t>
      </w:r>
    </w:p>
    <w:p w:rsidR="00A3495C" w:rsidRDefault="002F4FBC" w:rsidP="007F027C">
      <w:pPr>
        <w:pStyle w:val="BodyText"/>
        <w:tabs>
          <w:tab w:val="clear" w:pos="850"/>
          <w:tab w:val="left" w:pos="567"/>
        </w:tabs>
        <w:ind w:firstLine="0"/>
        <w:rPr>
          <w:rFonts w:asciiTheme="minorHAnsi" w:hAnsiTheme="minorHAnsi"/>
        </w:rPr>
      </w:pPr>
      <w:r>
        <w:rPr>
          <w:rFonts w:asciiTheme="minorHAnsi" w:hAnsiTheme="minorHAnsi"/>
        </w:rPr>
        <w:tab/>
      </w:r>
      <w:r w:rsidR="001F33DB">
        <w:rPr>
          <w:rFonts w:asciiTheme="minorHAnsi" w:hAnsiTheme="minorHAnsi"/>
        </w:rPr>
        <w:t>The</w:t>
      </w:r>
      <w:r w:rsidR="00A3495C">
        <w:rPr>
          <w:rFonts w:asciiTheme="minorHAnsi" w:hAnsiTheme="minorHAnsi"/>
        </w:rPr>
        <w:t>se Best Practices take the OECD Recommendation as a starting point and elaborate on some further specific, operational aspects needed to put this important budget principle into practice.</w:t>
      </w:r>
    </w:p>
    <w:p w:rsidR="001F33DB" w:rsidRDefault="002F4FBC" w:rsidP="007F027C">
      <w:pPr>
        <w:pStyle w:val="BodyText"/>
        <w:tabs>
          <w:tab w:val="clear" w:pos="850"/>
          <w:tab w:val="left" w:pos="567"/>
        </w:tabs>
        <w:ind w:firstLine="0"/>
        <w:rPr>
          <w:rFonts w:asciiTheme="minorHAnsi" w:hAnsiTheme="minorHAnsi"/>
        </w:rPr>
      </w:pPr>
      <w:r>
        <w:rPr>
          <w:rFonts w:asciiTheme="minorHAnsi" w:hAnsiTheme="minorHAnsi"/>
        </w:rPr>
        <w:tab/>
      </w:r>
      <w:r w:rsidR="00A3495C">
        <w:rPr>
          <w:rFonts w:asciiTheme="minorHAnsi" w:hAnsiTheme="minorHAnsi"/>
        </w:rPr>
        <w:t>Moreover, the</w:t>
      </w:r>
      <w:r w:rsidR="001F33DB">
        <w:rPr>
          <w:rFonts w:asciiTheme="minorHAnsi" w:hAnsiTheme="minorHAnsi"/>
        </w:rPr>
        <w:t xml:space="preserve"> </w:t>
      </w:r>
      <w:r w:rsidR="00A3495C">
        <w:rPr>
          <w:rFonts w:asciiTheme="minorHAnsi" w:hAnsiTheme="minorHAnsi"/>
        </w:rPr>
        <w:t>B</w:t>
      </w:r>
      <w:r w:rsidR="001F33DB">
        <w:rPr>
          <w:rFonts w:asciiTheme="minorHAnsi" w:hAnsiTheme="minorHAnsi"/>
        </w:rPr>
        <w:t xml:space="preserve">est </w:t>
      </w:r>
      <w:r w:rsidR="00A3495C">
        <w:rPr>
          <w:rFonts w:asciiTheme="minorHAnsi" w:hAnsiTheme="minorHAnsi"/>
        </w:rPr>
        <w:t>P</w:t>
      </w:r>
      <w:r w:rsidR="001F33DB">
        <w:rPr>
          <w:rFonts w:asciiTheme="minorHAnsi" w:hAnsiTheme="minorHAnsi"/>
        </w:rPr>
        <w:t xml:space="preserve">ractices take into account other recent studies of performance budgeting including the 2016 World Bank publication, Toward Next Generation Performance Budgeting, and </w:t>
      </w:r>
      <w:r w:rsidR="00A3495C">
        <w:rPr>
          <w:rFonts w:asciiTheme="minorHAnsi" w:hAnsiTheme="minorHAnsi"/>
        </w:rPr>
        <w:t xml:space="preserve">the growing academic literature on the subject including the corpus of material set out in the OECD Journal on Budgeting. </w:t>
      </w:r>
    </w:p>
    <w:p w:rsidR="00660117" w:rsidRPr="001F33DB" w:rsidRDefault="00383ED0" w:rsidP="007F027C">
      <w:pPr>
        <w:pStyle w:val="BodyText"/>
        <w:tabs>
          <w:tab w:val="clear" w:pos="850"/>
          <w:tab w:val="left" w:pos="567"/>
        </w:tabs>
        <w:ind w:firstLine="0"/>
        <w:rPr>
          <w:rFonts w:asciiTheme="minorHAnsi" w:hAnsiTheme="minorHAnsi"/>
        </w:rPr>
      </w:pPr>
      <w:r>
        <w:rPr>
          <w:rFonts w:asciiTheme="minorHAnsi" w:hAnsiTheme="minorHAnsi"/>
        </w:rPr>
        <w:tab/>
      </w:r>
      <w:r w:rsidR="001F33DB">
        <w:rPr>
          <w:rFonts w:asciiTheme="minorHAnsi" w:hAnsiTheme="minorHAnsi"/>
        </w:rPr>
        <w:t xml:space="preserve">The </w:t>
      </w:r>
      <w:r w:rsidR="007E65B3">
        <w:rPr>
          <w:rFonts w:asciiTheme="minorHAnsi" w:hAnsiTheme="minorHAnsi"/>
        </w:rPr>
        <w:t>b</w:t>
      </w:r>
      <w:r w:rsidR="001F33DB">
        <w:rPr>
          <w:rFonts w:asciiTheme="minorHAnsi" w:hAnsiTheme="minorHAnsi"/>
        </w:rPr>
        <w:t xml:space="preserve">est </w:t>
      </w:r>
      <w:r w:rsidR="007E65B3">
        <w:rPr>
          <w:rFonts w:asciiTheme="minorHAnsi" w:hAnsiTheme="minorHAnsi"/>
        </w:rPr>
        <w:t>p</w:t>
      </w:r>
      <w:r w:rsidR="001F33DB">
        <w:rPr>
          <w:rFonts w:asciiTheme="minorHAnsi" w:hAnsiTheme="minorHAnsi"/>
        </w:rPr>
        <w:t xml:space="preserve">ractices </w:t>
      </w:r>
      <w:r w:rsidR="00CB7559">
        <w:rPr>
          <w:rFonts w:asciiTheme="minorHAnsi" w:hAnsiTheme="minorHAnsi"/>
        </w:rPr>
        <w:t>examples should be understood as the best examples</w:t>
      </w:r>
      <w:r w:rsidR="00EF00CF">
        <w:rPr>
          <w:rFonts w:asciiTheme="minorHAnsi" w:hAnsiTheme="minorHAnsi"/>
        </w:rPr>
        <w:t xml:space="preserve"> available</w:t>
      </w:r>
      <w:r w:rsidR="00CB7559">
        <w:rPr>
          <w:rFonts w:asciiTheme="minorHAnsi" w:hAnsiTheme="minorHAnsi"/>
        </w:rPr>
        <w:t xml:space="preserve">, based on the OECD’s knowledge of current practices, but </w:t>
      </w:r>
      <w:r w:rsidR="003452AE">
        <w:rPr>
          <w:rFonts w:asciiTheme="minorHAnsi" w:hAnsiTheme="minorHAnsi"/>
        </w:rPr>
        <w:t>do not necessarily represent ideal practices</w:t>
      </w:r>
      <w:r w:rsidR="00CB7559">
        <w:rPr>
          <w:rFonts w:asciiTheme="minorHAnsi" w:hAnsiTheme="minorHAnsi"/>
        </w:rPr>
        <w:t xml:space="preserve">. They include a number of examples volunteered by OECD countries. </w:t>
      </w:r>
      <w:r w:rsidR="0077785C">
        <w:rPr>
          <w:rFonts w:asciiTheme="minorHAnsi" w:hAnsiTheme="minorHAnsi"/>
        </w:rPr>
        <w:t>[Some of these are still being evaluated prior to inclusion in the final version].</w:t>
      </w:r>
      <w:r w:rsidR="00CB7559" w:rsidRPr="001F33DB" w:rsidDel="001F33DB">
        <w:rPr>
          <w:rFonts w:asciiTheme="minorHAnsi" w:hAnsiTheme="minorHAnsi"/>
        </w:rPr>
        <w:t xml:space="preserve"> </w:t>
      </w:r>
      <w:r w:rsidR="00EF00CF">
        <w:rPr>
          <w:rFonts w:asciiTheme="minorHAnsi" w:hAnsiTheme="minorHAnsi"/>
        </w:rPr>
        <w:t xml:space="preserve">They do not necessarily represent ideal examples, since no country has an ideal system, and need to be understood in relation to the specific context within which they were developed. </w:t>
      </w:r>
    </w:p>
    <w:p w:rsidR="00660117" w:rsidRPr="00A4255D" w:rsidRDefault="00660117" w:rsidP="004272BB">
      <w:pPr>
        <w:rPr>
          <w:rFonts w:asciiTheme="minorHAnsi" w:eastAsiaTheme="majorEastAsia" w:hAnsiTheme="minorHAnsi" w:cstheme="majorBidi"/>
          <w:b/>
          <w:bCs/>
          <w:color w:val="365F91" w:themeColor="accent1" w:themeShade="BF"/>
          <w:sz w:val="28"/>
          <w:szCs w:val="28"/>
        </w:rPr>
      </w:pPr>
      <w:r w:rsidRPr="00A4255D">
        <w:rPr>
          <w:rFonts w:asciiTheme="minorHAnsi" w:hAnsiTheme="minorHAnsi"/>
        </w:rPr>
        <w:br w:type="page"/>
      </w:r>
    </w:p>
    <w:p w:rsidR="00D17AED" w:rsidRPr="00D17AED" w:rsidRDefault="00D17AED" w:rsidP="00B659B8">
      <w:pPr>
        <w:pBdr>
          <w:top w:val="single" w:sz="4" w:space="1" w:color="auto"/>
          <w:left w:val="single" w:sz="4" w:space="4" w:color="auto"/>
          <w:bottom w:val="single" w:sz="4" w:space="9" w:color="auto"/>
          <w:right w:val="single" w:sz="4" w:space="4" w:color="auto"/>
        </w:pBdr>
        <w:shd w:val="clear" w:color="auto" w:fill="CCECFF"/>
        <w:spacing w:before="240"/>
        <w:ind w:left="567" w:hanging="567"/>
        <w:jc w:val="center"/>
        <w:rPr>
          <w:rFonts w:asciiTheme="minorHAnsi" w:hAnsiTheme="minorHAnsi"/>
          <w:b/>
          <w:sz w:val="24"/>
          <w:szCs w:val="24"/>
        </w:rPr>
      </w:pPr>
      <w:r w:rsidRPr="00C63F41">
        <w:rPr>
          <w:rFonts w:asciiTheme="minorHAnsi" w:hAnsiTheme="minorHAnsi"/>
          <w:b/>
          <w:color w:val="1E63AE"/>
          <w:sz w:val="24"/>
          <w:szCs w:val="24"/>
        </w:rPr>
        <w:lastRenderedPageBreak/>
        <w:t>Best Practice 1</w:t>
      </w:r>
    </w:p>
    <w:p w:rsidR="00DD305F" w:rsidRDefault="00DD305F" w:rsidP="00B659B8">
      <w:pPr>
        <w:pBdr>
          <w:top w:val="single" w:sz="4" w:space="1" w:color="auto"/>
          <w:left w:val="single" w:sz="4" w:space="4" w:color="auto"/>
          <w:bottom w:val="single" w:sz="4" w:space="9" w:color="auto"/>
          <w:right w:val="single" w:sz="4" w:space="4" w:color="auto"/>
        </w:pBdr>
        <w:shd w:val="clear" w:color="auto" w:fill="CCECFF"/>
        <w:spacing w:after="240"/>
        <w:jc w:val="center"/>
        <w:rPr>
          <w:rFonts w:asciiTheme="minorHAnsi" w:hAnsiTheme="minorHAnsi"/>
          <w:strike/>
        </w:rPr>
      </w:pPr>
      <w:r>
        <w:rPr>
          <w:rFonts w:asciiTheme="minorHAnsi" w:hAnsiTheme="minorHAnsi"/>
          <w:b/>
          <w:color w:val="1E63AE"/>
          <w:sz w:val="24"/>
          <w:szCs w:val="24"/>
        </w:rPr>
        <w:t xml:space="preserve">Setting clear and realistic objectives </w:t>
      </w:r>
      <w:r w:rsidRPr="00C63F41">
        <w:rPr>
          <w:rFonts w:asciiTheme="minorHAnsi" w:hAnsiTheme="minorHAnsi"/>
          <w:b/>
          <w:color w:val="1E63AE"/>
          <w:sz w:val="24"/>
          <w:szCs w:val="24"/>
        </w:rPr>
        <w:t xml:space="preserve">for </w:t>
      </w:r>
      <w:r>
        <w:rPr>
          <w:rFonts w:asciiTheme="minorHAnsi" w:hAnsiTheme="minorHAnsi"/>
          <w:b/>
          <w:color w:val="1E63AE"/>
          <w:sz w:val="24"/>
          <w:szCs w:val="24"/>
        </w:rPr>
        <w:t>p</w:t>
      </w:r>
      <w:r w:rsidRPr="00C63F41">
        <w:rPr>
          <w:rFonts w:asciiTheme="minorHAnsi" w:hAnsiTheme="minorHAnsi"/>
          <w:b/>
          <w:color w:val="1E63AE"/>
          <w:sz w:val="24"/>
          <w:szCs w:val="24"/>
        </w:rPr>
        <w:t xml:space="preserve">erformance </w:t>
      </w:r>
      <w:r>
        <w:rPr>
          <w:rFonts w:asciiTheme="minorHAnsi" w:hAnsiTheme="minorHAnsi"/>
          <w:b/>
          <w:color w:val="1E63AE"/>
          <w:sz w:val="24"/>
          <w:szCs w:val="24"/>
        </w:rPr>
        <w:t>b</w:t>
      </w:r>
      <w:r w:rsidRPr="00C63F41">
        <w:rPr>
          <w:rFonts w:asciiTheme="minorHAnsi" w:hAnsiTheme="minorHAnsi"/>
          <w:b/>
          <w:color w:val="1E63AE"/>
          <w:sz w:val="24"/>
          <w:szCs w:val="24"/>
        </w:rPr>
        <w:t>udgeting</w:t>
      </w:r>
    </w:p>
    <w:p w:rsidR="00DD305F" w:rsidRPr="005A54C3" w:rsidRDefault="00DD305F" w:rsidP="002F4FBC">
      <w:pPr>
        <w:pBdr>
          <w:top w:val="single" w:sz="4" w:space="1" w:color="auto"/>
          <w:left w:val="single" w:sz="4" w:space="4" w:color="auto"/>
          <w:bottom w:val="single" w:sz="4" w:space="9" w:color="auto"/>
          <w:right w:val="single" w:sz="4" w:space="4" w:color="auto"/>
        </w:pBdr>
        <w:shd w:val="clear" w:color="auto" w:fill="CCECFF"/>
        <w:spacing w:after="120"/>
        <w:ind w:left="567" w:hanging="567"/>
        <w:rPr>
          <w:rFonts w:asciiTheme="minorHAnsi" w:hAnsiTheme="minorHAnsi"/>
        </w:rPr>
      </w:pPr>
      <w:r w:rsidRPr="00465D0F">
        <w:rPr>
          <w:rFonts w:asciiTheme="minorHAnsi" w:hAnsiTheme="minorHAnsi"/>
          <w:b/>
        </w:rPr>
        <w:t>•</w:t>
      </w:r>
      <w:r w:rsidRPr="00465D0F">
        <w:rPr>
          <w:rFonts w:asciiTheme="minorHAnsi" w:hAnsiTheme="minorHAnsi"/>
          <w:b/>
        </w:rPr>
        <w:tab/>
      </w:r>
      <w:r>
        <w:rPr>
          <w:rFonts w:asciiTheme="minorHAnsi" w:hAnsiTheme="minorHAnsi"/>
        </w:rPr>
        <w:t>T</w:t>
      </w:r>
      <w:r w:rsidRPr="005A54C3">
        <w:rPr>
          <w:rFonts w:asciiTheme="minorHAnsi" w:hAnsiTheme="minorHAnsi"/>
        </w:rPr>
        <w:t xml:space="preserve">he rationale, objectives and approach to performance budgeting in </w:t>
      </w:r>
      <w:r>
        <w:rPr>
          <w:rFonts w:asciiTheme="minorHAnsi" w:hAnsiTheme="minorHAnsi"/>
        </w:rPr>
        <w:t xml:space="preserve">are set out in </w:t>
      </w:r>
      <w:r w:rsidRPr="005A54C3">
        <w:rPr>
          <w:rFonts w:asciiTheme="minorHAnsi" w:hAnsiTheme="minorHAnsi"/>
        </w:rPr>
        <w:t>the organic budget law, in other regulations or in a</w:t>
      </w:r>
      <w:r>
        <w:rPr>
          <w:rFonts w:asciiTheme="minorHAnsi" w:hAnsiTheme="minorHAnsi"/>
        </w:rPr>
        <w:t>n official code of budgetary practice.</w:t>
      </w:r>
    </w:p>
    <w:p w:rsidR="00DD305F" w:rsidRPr="005A54C3" w:rsidRDefault="00DD305F" w:rsidP="002F4FBC">
      <w:pPr>
        <w:pBdr>
          <w:top w:val="single" w:sz="4" w:space="1" w:color="auto"/>
          <w:left w:val="single" w:sz="4" w:space="4" w:color="auto"/>
          <w:bottom w:val="single" w:sz="4" w:space="9" w:color="auto"/>
          <w:right w:val="single" w:sz="4" w:space="4" w:color="auto"/>
        </w:pBdr>
        <w:shd w:val="clear" w:color="auto" w:fill="CCECFF"/>
        <w:spacing w:after="120"/>
        <w:ind w:left="567" w:hanging="567"/>
        <w:rPr>
          <w:rFonts w:asciiTheme="minorHAnsi" w:hAnsiTheme="minorHAnsi"/>
        </w:rPr>
      </w:pPr>
      <w:r w:rsidRPr="005A54C3">
        <w:rPr>
          <w:rFonts w:asciiTheme="minorHAnsi" w:hAnsiTheme="minorHAnsi"/>
        </w:rPr>
        <w:t>•</w:t>
      </w:r>
      <w:r w:rsidRPr="005A54C3">
        <w:rPr>
          <w:rFonts w:asciiTheme="minorHAnsi" w:hAnsiTheme="minorHAnsi"/>
        </w:rPr>
        <w:tab/>
      </w:r>
      <w:r>
        <w:rPr>
          <w:rFonts w:asciiTheme="minorHAnsi" w:hAnsiTheme="minorHAnsi"/>
        </w:rPr>
        <w:t xml:space="preserve">The role and </w:t>
      </w:r>
      <w:r w:rsidRPr="005A54C3">
        <w:rPr>
          <w:rFonts w:asciiTheme="minorHAnsi" w:hAnsiTheme="minorHAnsi"/>
        </w:rPr>
        <w:t>interests of important stakeholders</w:t>
      </w:r>
      <w:r>
        <w:rPr>
          <w:rFonts w:asciiTheme="minorHAnsi" w:hAnsiTheme="minorHAnsi"/>
        </w:rPr>
        <w:t xml:space="preserve"> in the policy cycle</w:t>
      </w:r>
      <w:r w:rsidR="002F4FBC">
        <w:rPr>
          <w:rFonts w:asciiTheme="minorHAnsi" w:hAnsiTheme="minorHAnsi"/>
        </w:rPr>
        <w:t> </w:t>
      </w:r>
      <w:r>
        <w:rPr>
          <w:rFonts w:asciiTheme="minorHAnsi" w:hAnsiTheme="minorHAnsi"/>
        </w:rPr>
        <w:t xml:space="preserve">– </w:t>
      </w:r>
      <w:r w:rsidRPr="005A54C3">
        <w:rPr>
          <w:rFonts w:asciiTheme="minorHAnsi" w:hAnsiTheme="minorHAnsi"/>
        </w:rPr>
        <w:t>including the centre of government, the legislature, the central budget authority, line ministries and the supreme audit institution</w:t>
      </w:r>
      <w:r w:rsidR="002F4FBC">
        <w:rPr>
          <w:rFonts w:asciiTheme="minorHAnsi" w:hAnsiTheme="minorHAnsi"/>
        </w:rPr>
        <w:t> </w:t>
      </w:r>
      <w:r>
        <w:rPr>
          <w:rFonts w:asciiTheme="minorHAnsi" w:hAnsiTheme="minorHAnsi"/>
        </w:rPr>
        <w:t>– are reflected in the design of</w:t>
      </w:r>
      <w:r w:rsidRPr="005A54C3">
        <w:rPr>
          <w:rFonts w:asciiTheme="minorHAnsi" w:hAnsiTheme="minorHAnsi"/>
        </w:rPr>
        <w:t xml:space="preserve"> the performance budgeting system.</w:t>
      </w:r>
    </w:p>
    <w:p w:rsidR="00DD305F" w:rsidRPr="005A54C3" w:rsidRDefault="00DD305F" w:rsidP="002F4FBC">
      <w:pPr>
        <w:pBdr>
          <w:top w:val="single" w:sz="4" w:space="1" w:color="auto"/>
          <w:left w:val="single" w:sz="4" w:space="4" w:color="auto"/>
          <w:bottom w:val="single" w:sz="4" w:space="9" w:color="auto"/>
          <w:right w:val="single" w:sz="4" w:space="4" w:color="auto"/>
        </w:pBdr>
        <w:shd w:val="clear" w:color="auto" w:fill="CCECFF"/>
        <w:spacing w:after="360"/>
        <w:ind w:left="567" w:hanging="567"/>
        <w:rPr>
          <w:rFonts w:asciiTheme="minorHAnsi" w:hAnsiTheme="minorHAnsi"/>
        </w:rPr>
      </w:pPr>
      <w:r w:rsidRPr="005A54C3">
        <w:rPr>
          <w:rFonts w:asciiTheme="minorHAnsi" w:hAnsiTheme="minorHAnsi"/>
        </w:rPr>
        <w:t>•</w:t>
      </w:r>
      <w:r w:rsidRPr="005A54C3">
        <w:rPr>
          <w:rFonts w:asciiTheme="minorHAnsi" w:hAnsiTheme="minorHAnsi"/>
        </w:rPr>
        <w:tab/>
      </w:r>
      <w:r>
        <w:rPr>
          <w:rFonts w:asciiTheme="minorHAnsi" w:hAnsiTheme="minorHAnsi"/>
        </w:rPr>
        <w:t>T</w:t>
      </w:r>
      <w:r w:rsidRPr="005A54C3">
        <w:rPr>
          <w:rFonts w:asciiTheme="minorHAnsi" w:hAnsiTheme="minorHAnsi"/>
        </w:rPr>
        <w:t xml:space="preserve">he approach and </w:t>
      </w:r>
      <w:r>
        <w:rPr>
          <w:rFonts w:asciiTheme="minorHAnsi" w:hAnsiTheme="minorHAnsi"/>
        </w:rPr>
        <w:t xml:space="preserve">scope of the performance budgeting system are adapted to national circumstances and </w:t>
      </w:r>
      <w:r w:rsidRPr="005A54C3">
        <w:rPr>
          <w:rFonts w:asciiTheme="minorHAnsi" w:hAnsiTheme="minorHAnsi"/>
        </w:rPr>
        <w:t xml:space="preserve">practical constraints including staff skills, the availability of performance data and the </w:t>
      </w:r>
      <w:r>
        <w:rPr>
          <w:rFonts w:asciiTheme="minorHAnsi" w:hAnsiTheme="minorHAnsi"/>
        </w:rPr>
        <w:t xml:space="preserve">stage of development of the </w:t>
      </w:r>
      <w:r w:rsidRPr="005A54C3">
        <w:rPr>
          <w:rFonts w:asciiTheme="minorHAnsi" w:hAnsiTheme="minorHAnsi"/>
        </w:rPr>
        <w:t>performance culture in government.</w:t>
      </w:r>
    </w:p>
    <w:p w:rsidR="00660117" w:rsidRPr="00A4255D" w:rsidRDefault="00660117" w:rsidP="00041C38">
      <w:pPr>
        <w:pStyle w:val="BodyText"/>
        <w:spacing w:before="360"/>
        <w:rPr>
          <w:rFonts w:asciiTheme="minorHAnsi" w:hAnsiTheme="minorHAnsi"/>
        </w:rPr>
      </w:pPr>
      <w:r w:rsidRPr="00A4255D">
        <w:rPr>
          <w:rFonts w:asciiTheme="minorHAnsi" w:hAnsiTheme="minorHAnsi"/>
        </w:rPr>
        <w:t xml:space="preserve">The chances of implementing an effective performance budgeting system are increased if the government is clear about the rationale for introducing the reform, establishes </w:t>
      </w:r>
      <w:r w:rsidR="007E3B5F">
        <w:rPr>
          <w:rFonts w:asciiTheme="minorHAnsi" w:hAnsiTheme="minorHAnsi"/>
        </w:rPr>
        <w:t xml:space="preserve">a </w:t>
      </w:r>
      <w:r w:rsidRPr="00A4255D">
        <w:rPr>
          <w:rFonts w:asciiTheme="minorHAnsi" w:hAnsiTheme="minorHAnsi"/>
        </w:rPr>
        <w:t xml:space="preserve">clear </w:t>
      </w:r>
      <w:r w:rsidR="007E3B5F">
        <w:rPr>
          <w:rFonts w:asciiTheme="minorHAnsi" w:hAnsiTheme="minorHAnsi"/>
        </w:rPr>
        <w:t xml:space="preserve">set of </w:t>
      </w:r>
      <w:r w:rsidRPr="00A4255D">
        <w:rPr>
          <w:rFonts w:asciiTheme="minorHAnsi" w:hAnsiTheme="minorHAnsi"/>
        </w:rPr>
        <w:t>objectives and takes account of implementation constraints. Because performance budgeting is a malleable concept, it is important that policymakers take the time to define their goals and expectations</w:t>
      </w:r>
      <w:r w:rsidR="00DB71C2">
        <w:rPr>
          <w:rFonts w:asciiTheme="minorHAnsi" w:hAnsiTheme="minorHAnsi"/>
        </w:rPr>
        <w:t xml:space="preserve">.  The government’s intentions may be given force through expression of intent which, depending on the form of government and the policy instruments they typically use, may take the form of a separate law, an amendment to the organic budget law regulations or a strategic policy document.  </w:t>
      </w:r>
      <w:r w:rsidR="000251B6">
        <w:rPr>
          <w:rFonts w:asciiTheme="minorHAnsi" w:hAnsiTheme="minorHAnsi"/>
        </w:rPr>
        <w:t>New Zealand’s 2013 changes to the Public Finance and State Sector Acts provide an example of a clear set of objectives for the perfor</w:t>
      </w:r>
      <w:r w:rsidR="007F027C">
        <w:rPr>
          <w:rFonts w:asciiTheme="minorHAnsi" w:hAnsiTheme="minorHAnsi"/>
        </w:rPr>
        <w:t xml:space="preserve">mance budgeting system </w:t>
      </w:r>
      <w:r w:rsidR="007F027C" w:rsidRPr="00002EE1">
        <w:rPr>
          <w:rFonts w:asciiTheme="minorHAnsi" w:hAnsiTheme="minorHAnsi"/>
        </w:rPr>
        <w:t>(Box </w:t>
      </w:r>
      <w:r w:rsidR="000251B6" w:rsidRPr="00002EE1">
        <w:rPr>
          <w:rFonts w:asciiTheme="minorHAnsi" w:hAnsiTheme="minorHAnsi"/>
        </w:rPr>
        <w:t>1).</w:t>
      </w:r>
    </w:p>
    <w:p w:rsidR="00660117" w:rsidRPr="00A4255D" w:rsidRDefault="00660117" w:rsidP="00002EE1">
      <w:pPr>
        <w:pStyle w:val="BodyText"/>
        <w:spacing w:after="120"/>
        <w:rPr>
          <w:rFonts w:asciiTheme="minorHAnsi" w:hAnsiTheme="minorHAnsi"/>
        </w:rPr>
      </w:pPr>
      <w:r w:rsidRPr="00A4255D">
        <w:rPr>
          <w:rFonts w:asciiTheme="minorHAnsi" w:hAnsiTheme="minorHAnsi"/>
        </w:rPr>
        <w:t>Typically the introduction of performance budgeting creates many expectations as to what can be achieved including:</w:t>
      </w:r>
    </w:p>
    <w:p w:rsidR="00660117" w:rsidRPr="00041C38" w:rsidRDefault="00041C38" w:rsidP="00002EE1">
      <w:pPr>
        <w:tabs>
          <w:tab w:val="clear" w:pos="850"/>
          <w:tab w:val="clear" w:pos="1191"/>
          <w:tab w:val="clear" w:pos="1531"/>
          <w:tab w:val="left" w:pos="851"/>
        </w:tabs>
        <w:spacing w:after="120"/>
        <w:ind w:left="851" w:hanging="284"/>
        <w:rPr>
          <w:rFonts w:asciiTheme="minorHAnsi" w:hAnsiTheme="minorHAnsi"/>
        </w:rPr>
      </w:pPr>
      <w:proofErr w:type="gramStart"/>
      <w:r>
        <w:rPr>
          <w:rFonts w:asciiTheme="minorHAnsi" w:hAnsiTheme="minorHAnsi"/>
        </w:rPr>
        <w:t>•</w:t>
      </w:r>
      <w:r>
        <w:rPr>
          <w:rFonts w:asciiTheme="minorHAnsi" w:hAnsiTheme="minorHAnsi"/>
        </w:rPr>
        <w:tab/>
      </w:r>
      <w:r w:rsidR="00660117" w:rsidRPr="00041C38">
        <w:rPr>
          <w:rFonts w:asciiTheme="minorHAnsi" w:hAnsiTheme="minorHAnsi"/>
        </w:rPr>
        <w:t>improved resource allocation at the stage of budget formulation, whereby resources are aligned in accordance with high priority performance goals of the government</w:t>
      </w:r>
      <w:r w:rsidR="00B659B8">
        <w:rPr>
          <w:rFonts w:asciiTheme="minorHAnsi" w:hAnsiTheme="minorHAnsi"/>
        </w:rPr>
        <w:t>.</w:t>
      </w:r>
      <w:proofErr w:type="gramEnd"/>
    </w:p>
    <w:p w:rsidR="00660117" w:rsidRPr="00041C38" w:rsidRDefault="00041C38" w:rsidP="00002EE1">
      <w:pPr>
        <w:tabs>
          <w:tab w:val="clear" w:pos="850"/>
          <w:tab w:val="clear" w:pos="1191"/>
          <w:tab w:val="clear" w:pos="1531"/>
          <w:tab w:val="left" w:pos="851"/>
        </w:tabs>
        <w:spacing w:after="120"/>
        <w:ind w:left="851" w:hanging="284"/>
        <w:rPr>
          <w:rFonts w:asciiTheme="minorHAnsi" w:hAnsiTheme="minorHAnsi"/>
        </w:rPr>
      </w:pPr>
      <w:r>
        <w:rPr>
          <w:rFonts w:asciiTheme="minorHAnsi" w:hAnsiTheme="minorHAnsi"/>
        </w:rPr>
        <w:t>•</w:t>
      </w:r>
      <w:r>
        <w:rPr>
          <w:rFonts w:asciiTheme="minorHAnsi" w:hAnsiTheme="minorHAnsi"/>
        </w:rPr>
        <w:tab/>
      </w:r>
      <w:r w:rsidR="00660117" w:rsidRPr="00041C38">
        <w:rPr>
          <w:rFonts w:asciiTheme="minorHAnsi" w:hAnsiTheme="minorHAnsi"/>
        </w:rPr>
        <w:t xml:space="preserve">more efficient use of resources during budget execution, achieved through devolution of responsibility to </w:t>
      </w:r>
      <w:r w:rsidR="003B33CC">
        <w:rPr>
          <w:rFonts w:asciiTheme="minorHAnsi" w:hAnsiTheme="minorHAnsi"/>
        </w:rPr>
        <w:t>programme</w:t>
      </w:r>
      <w:r w:rsidR="00DA0272">
        <w:rPr>
          <w:rFonts w:asciiTheme="minorHAnsi" w:hAnsiTheme="minorHAnsi"/>
        </w:rPr>
        <w:t xml:space="preserve"> </w:t>
      </w:r>
      <w:r w:rsidR="00660117" w:rsidRPr="00041C38">
        <w:rPr>
          <w:rFonts w:asciiTheme="minorHAnsi" w:hAnsiTheme="minorHAnsi"/>
        </w:rPr>
        <w:t>managers, together with granting greater flexibility in how resources can be used</w:t>
      </w:r>
      <w:r w:rsidR="00B659B8">
        <w:rPr>
          <w:rFonts w:asciiTheme="minorHAnsi" w:hAnsiTheme="minorHAnsi"/>
        </w:rPr>
        <w:t>.</w:t>
      </w:r>
    </w:p>
    <w:p w:rsidR="00660117" w:rsidRPr="00041C38" w:rsidRDefault="00041C38" w:rsidP="00002EE1">
      <w:pPr>
        <w:tabs>
          <w:tab w:val="clear" w:pos="850"/>
          <w:tab w:val="clear" w:pos="1191"/>
          <w:tab w:val="clear" w:pos="1531"/>
          <w:tab w:val="left" w:pos="851"/>
        </w:tabs>
        <w:spacing w:after="120"/>
        <w:ind w:left="851" w:hanging="284"/>
        <w:rPr>
          <w:rFonts w:asciiTheme="minorHAnsi" w:hAnsiTheme="minorHAnsi"/>
        </w:rPr>
      </w:pPr>
      <w:r>
        <w:rPr>
          <w:rFonts w:asciiTheme="minorHAnsi" w:hAnsiTheme="minorHAnsi"/>
        </w:rPr>
        <w:t>•</w:t>
      </w:r>
      <w:r>
        <w:rPr>
          <w:rFonts w:asciiTheme="minorHAnsi" w:hAnsiTheme="minorHAnsi"/>
        </w:rPr>
        <w:tab/>
      </w:r>
      <w:proofErr w:type="gramStart"/>
      <w:r w:rsidR="00660117" w:rsidRPr="00041C38">
        <w:rPr>
          <w:rFonts w:asciiTheme="minorHAnsi" w:hAnsiTheme="minorHAnsi"/>
        </w:rPr>
        <w:t>greater</w:t>
      </w:r>
      <w:proofErr w:type="gramEnd"/>
      <w:r w:rsidR="00660117" w:rsidRPr="00041C38">
        <w:rPr>
          <w:rFonts w:asciiTheme="minorHAnsi" w:hAnsiTheme="minorHAnsi"/>
        </w:rPr>
        <w:t xml:space="preserve"> transparency regarding how resources are used and the results achieved</w:t>
      </w:r>
      <w:r w:rsidR="00B659B8">
        <w:rPr>
          <w:rFonts w:asciiTheme="minorHAnsi" w:hAnsiTheme="minorHAnsi"/>
        </w:rPr>
        <w:t>.</w:t>
      </w:r>
    </w:p>
    <w:p w:rsidR="00660117" w:rsidRPr="00041C38" w:rsidRDefault="00041C38" w:rsidP="00002EE1">
      <w:pPr>
        <w:tabs>
          <w:tab w:val="clear" w:pos="850"/>
          <w:tab w:val="clear" w:pos="1191"/>
          <w:tab w:val="clear" w:pos="1531"/>
          <w:tab w:val="left" w:pos="851"/>
        </w:tabs>
        <w:spacing w:after="240"/>
        <w:ind w:left="851" w:hanging="284"/>
        <w:rPr>
          <w:rFonts w:asciiTheme="minorHAnsi" w:hAnsiTheme="minorHAnsi"/>
        </w:rPr>
      </w:pPr>
      <w:proofErr w:type="gramStart"/>
      <w:r>
        <w:rPr>
          <w:rFonts w:asciiTheme="minorHAnsi" w:hAnsiTheme="minorHAnsi"/>
        </w:rPr>
        <w:t>•</w:t>
      </w:r>
      <w:r>
        <w:rPr>
          <w:rFonts w:asciiTheme="minorHAnsi" w:hAnsiTheme="minorHAnsi"/>
        </w:rPr>
        <w:tab/>
      </w:r>
      <w:r w:rsidR="00660117" w:rsidRPr="00041C38">
        <w:rPr>
          <w:rFonts w:asciiTheme="minorHAnsi" w:hAnsiTheme="minorHAnsi"/>
        </w:rPr>
        <w:t>increased accountability to the public and parliament.</w:t>
      </w:r>
      <w:proofErr w:type="gramEnd"/>
    </w:p>
    <w:p w:rsidR="00660117" w:rsidRPr="004F34F2" w:rsidRDefault="004F34F2" w:rsidP="007F027C">
      <w:pPr>
        <w:pStyle w:val="BodyText"/>
        <w:ind w:firstLine="567"/>
        <w:rPr>
          <w:rFonts w:asciiTheme="minorHAnsi" w:hAnsiTheme="minorHAnsi"/>
        </w:rPr>
      </w:pPr>
      <w:r>
        <w:rPr>
          <w:rFonts w:asciiTheme="minorHAnsi" w:hAnsiTheme="minorHAnsi"/>
        </w:rPr>
        <w:t xml:space="preserve">In setting (or revising) the objectives of performance budgeting governments should be mindful of the </w:t>
      </w:r>
      <w:r w:rsidR="00660117" w:rsidRPr="004F34F2">
        <w:rPr>
          <w:rFonts w:asciiTheme="minorHAnsi" w:hAnsiTheme="minorHAnsi"/>
        </w:rPr>
        <w:t>results of the OECD survey and country case studies</w:t>
      </w:r>
      <w:r>
        <w:rPr>
          <w:rFonts w:asciiTheme="minorHAnsi" w:hAnsiTheme="minorHAnsi"/>
        </w:rPr>
        <w:t xml:space="preserve">, which </w:t>
      </w:r>
      <w:r w:rsidR="00660117" w:rsidRPr="004F34F2">
        <w:rPr>
          <w:rFonts w:asciiTheme="minorHAnsi" w:hAnsiTheme="minorHAnsi"/>
        </w:rPr>
        <w:t xml:space="preserve">show that performance budgeting has been more effective in </w:t>
      </w:r>
      <w:r>
        <w:rPr>
          <w:rFonts w:asciiTheme="minorHAnsi" w:hAnsiTheme="minorHAnsi"/>
        </w:rPr>
        <w:t xml:space="preserve">fulfilling </w:t>
      </w:r>
      <w:r w:rsidR="00660117" w:rsidRPr="004F34F2">
        <w:rPr>
          <w:rFonts w:asciiTheme="minorHAnsi" w:hAnsiTheme="minorHAnsi"/>
        </w:rPr>
        <w:t xml:space="preserve"> some of these objectives than others. The 2016 Survey of Performance Budgeting practices rated the numerous potential benefits of performance budgeting in terms the perceived strength of their rationale and their practical effectiveness. Figure</w:t>
      </w:r>
      <w:r w:rsidR="00B659B8">
        <w:rPr>
          <w:rFonts w:asciiTheme="minorHAnsi" w:hAnsiTheme="minorHAnsi"/>
        </w:rPr>
        <w:t> </w:t>
      </w:r>
      <w:r w:rsidR="00660117" w:rsidRPr="004F34F2">
        <w:rPr>
          <w:rFonts w:asciiTheme="minorHAnsi" w:hAnsiTheme="minorHAnsi"/>
        </w:rPr>
        <w:t>2 shows the relative importance of the listed factors for introducing performance budgeting, and also the relative effectiveness of the performance budgeting system in advancing the considerations listed. These results show that, in practice, performance budgeting has been most effective in promoting accountability and transparency, including instilling a culture of performance and improving parliamentary budget scrutiny.</w:t>
      </w:r>
    </w:p>
    <w:p w:rsidR="00660117" w:rsidRPr="00A4255D" w:rsidRDefault="00660117" w:rsidP="008F79FE">
      <w:pPr>
        <w:keepNext/>
        <w:spacing w:before="240" w:after="120"/>
        <w:jc w:val="center"/>
        <w:rPr>
          <w:rFonts w:asciiTheme="minorHAnsi" w:hAnsiTheme="minorHAnsi"/>
        </w:rPr>
      </w:pPr>
      <w:r w:rsidRPr="00A4255D">
        <w:rPr>
          <w:rFonts w:asciiTheme="minorHAnsi" w:hAnsiTheme="minorHAnsi"/>
          <w:b/>
        </w:rPr>
        <w:lastRenderedPageBreak/>
        <w:t>Figure 2: Ranking of Different Rationales for Introducing Performance Budgeting and Their Effectiveness in Practice</w:t>
      </w:r>
    </w:p>
    <w:p w:rsidR="00660117" w:rsidRPr="00A4255D" w:rsidRDefault="00660117" w:rsidP="004272BB">
      <w:pPr>
        <w:rPr>
          <w:rFonts w:asciiTheme="minorHAnsi" w:hAnsiTheme="minorHAnsi"/>
        </w:rPr>
      </w:pPr>
      <w:r w:rsidRPr="00A4255D">
        <w:rPr>
          <w:rFonts w:asciiTheme="minorHAnsi" w:hAnsiTheme="minorHAnsi"/>
          <w:noProof/>
          <w:lang w:eastAsia="en-GB"/>
        </w:rPr>
        <w:drawing>
          <wp:inline distT="0" distB="0" distL="0" distR="0" wp14:anchorId="7ABE3778" wp14:editId="6E62DFA4">
            <wp:extent cx="5731510" cy="306778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3067780"/>
                    </a:xfrm>
                    <a:prstGeom prst="rect">
                      <a:avLst/>
                    </a:prstGeom>
                  </pic:spPr>
                </pic:pic>
              </a:graphicData>
            </a:graphic>
          </wp:inline>
        </w:drawing>
      </w:r>
    </w:p>
    <w:p w:rsidR="00660117" w:rsidRDefault="00660117" w:rsidP="00041C38">
      <w:pPr>
        <w:pStyle w:val="BodyText"/>
        <w:spacing w:before="240"/>
        <w:rPr>
          <w:rFonts w:asciiTheme="minorHAnsi" w:hAnsiTheme="minorHAnsi"/>
        </w:rPr>
      </w:pPr>
      <w:r w:rsidRPr="00A4255D">
        <w:rPr>
          <w:rFonts w:asciiTheme="minorHAnsi" w:hAnsiTheme="minorHAnsi"/>
        </w:rPr>
        <w:t xml:space="preserve">Performance budgeting has proved less effective as a tool for resource allocation and prioritisation, strategic coordination, compliance and for setting service delivery targets. </w:t>
      </w:r>
    </w:p>
    <w:p w:rsidR="004F34F2" w:rsidRDefault="00C54BDA" w:rsidP="00C2205B">
      <w:pPr>
        <w:pStyle w:val="BodyText"/>
        <w:spacing w:before="240"/>
        <w:rPr>
          <w:rFonts w:asciiTheme="minorHAnsi" w:hAnsiTheme="minorHAnsi"/>
        </w:rPr>
      </w:pPr>
      <w:r>
        <w:rPr>
          <w:rFonts w:asciiTheme="minorHAnsi" w:hAnsiTheme="minorHAnsi"/>
        </w:rPr>
        <w:t xml:space="preserve">The interests of different stakeholders are a critical factor </w:t>
      </w:r>
      <w:r w:rsidR="004A7777">
        <w:rPr>
          <w:rFonts w:asciiTheme="minorHAnsi" w:hAnsiTheme="minorHAnsi"/>
        </w:rPr>
        <w:t>determining relevant and realistic goals</w:t>
      </w:r>
      <w:r w:rsidR="00C2205B">
        <w:rPr>
          <w:rFonts w:asciiTheme="minorHAnsi" w:hAnsiTheme="minorHAnsi"/>
        </w:rPr>
        <w:t xml:space="preserve"> for the performance budgeting system</w:t>
      </w:r>
      <w:r w:rsidR="00383ED0">
        <w:rPr>
          <w:rFonts w:asciiTheme="minorHAnsi" w:hAnsiTheme="minorHAnsi"/>
        </w:rPr>
        <w:t xml:space="preserve">. </w:t>
      </w:r>
      <w:r w:rsidR="00660117" w:rsidRPr="00A4255D">
        <w:rPr>
          <w:rFonts w:asciiTheme="minorHAnsi" w:hAnsiTheme="minorHAnsi"/>
        </w:rPr>
        <w:t xml:space="preserve">In a number of countries the national legislature has played an important role, </w:t>
      </w:r>
      <w:r>
        <w:rPr>
          <w:rFonts w:asciiTheme="minorHAnsi" w:hAnsiTheme="minorHAnsi"/>
        </w:rPr>
        <w:t xml:space="preserve">demanding </w:t>
      </w:r>
      <w:r w:rsidR="00660117" w:rsidRPr="00A4255D">
        <w:rPr>
          <w:rFonts w:asciiTheme="minorHAnsi" w:hAnsiTheme="minorHAnsi"/>
        </w:rPr>
        <w:t>better information on what the</w:t>
      </w:r>
      <w:r>
        <w:rPr>
          <w:rFonts w:asciiTheme="minorHAnsi" w:hAnsiTheme="minorHAnsi"/>
        </w:rPr>
        <w:t xml:space="preserve">ir vote </w:t>
      </w:r>
      <w:r w:rsidR="00C2205B">
        <w:rPr>
          <w:rFonts w:asciiTheme="minorHAnsi" w:hAnsiTheme="minorHAnsi"/>
        </w:rPr>
        <w:t>was delivering in the</w:t>
      </w:r>
      <w:r>
        <w:rPr>
          <w:rFonts w:asciiTheme="minorHAnsi" w:hAnsiTheme="minorHAnsi"/>
        </w:rPr>
        <w:t xml:space="preserve"> terms of services </w:t>
      </w:r>
      <w:r w:rsidR="00C2205B">
        <w:rPr>
          <w:rFonts w:asciiTheme="minorHAnsi" w:hAnsiTheme="minorHAnsi"/>
        </w:rPr>
        <w:t>to citizens</w:t>
      </w:r>
      <w:r>
        <w:rPr>
          <w:rFonts w:asciiTheme="minorHAnsi" w:hAnsiTheme="minorHAnsi"/>
        </w:rPr>
        <w:t>.</w:t>
      </w:r>
      <w:r w:rsidR="00660117" w:rsidRPr="00A4255D">
        <w:rPr>
          <w:rFonts w:asciiTheme="minorHAnsi" w:hAnsiTheme="minorHAnsi"/>
        </w:rPr>
        <w:t xml:space="preserve">  In other countries</w:t>
      </w:r>
      <w:r>
        <w:rPr>
          <w:rFonts w:asciiTheme="minorHAnsi" w:hAnsiTheme="minorHAnsi"/>
        </w:rPr>
        <w:t>,</w:t>
      </w:r>
      <w:r w:rsidR="00660117" w:rsidRPr="00A4255D">
        <w:rPr>
          <w:rFonts w:asciiTheme="minorHAnsi" w:hAnsiTheme="minorHAnsi"/>
        </w:rPr>
        <w:t xml:space="preserve"> the </w:t>
      </w:r>
      <w:r w:rsidR="00697791">
        <w:rPr>
          <w:rFonts w:asciiTheme="minorHAnsi" w:hAnsiTheme="minorHAnsi"/>
        </w:rPr>
        <w:t xml:space="preserve">main </w:t>
      </w:r>
      <w:r w:rsidR="00660117" w:rsidRPr="00A4255D">
        <w:rPr>
          <w:rFonts w:asciiTheme="minorHAnsi" w:hAnsiTheme="minorHAnsi"/>
        </w:rPr>
        <w:t xml:space="preserve">impetus has come from the centre of government, </w:t>
      </w:r>
      <w:r>
        <w:rPr>
          <w:rFonts w:asciiTheme="minorHAnsi" w:hAnsiTheme="minorHAnsi"/>
        </w:rPr>
        <w:t>which</w:t>
      </w:r>
      <w:r w:rsidR="00697791">
        <w:rPr>
          <w:rFonts w:asciiTheme="minorHAnsi" w:hAnsiTheme="minorHAnsi"/>
        </w:rPr>
        <w:t xml:space="preserve"> </w:t>
      </w:r>
      <w:r w:rsidR="00C2205B">
        <w:rPr>
          <w:rFonts w:asciiTheme="minorHAnsi" w:hAnsiTheme="minorHAnsi"/>
        </w:rPr>
        <w:t xml:space="preserve">wanted some means to ensure that </w:t>
      </w:r>
      <w:r w:rsidR="00697791">
        <w:rPr>
          <w:rFonts w:asciiTheme="minorHAnsi" w:hAnsiTheme="minorHAnsi"/>
        </w:rPr>
        <w:t>the budget</w:t>
      </w:r>
      <w:r w:rsidR="00C2205B">
        <w:rPr>
          <w:rFonts w:asciiTheme="minorHAnsi" w:hAnsiTheme="minorHAnsi"/>
        </w:rPr>
        <w:t xml:space="preserve"> was aligned with </w:t>
      </w:r>
      <w:r>
        <w:rPr>
          <w:rFonts w:asciiTheme="minorHAnsi" w:hAnsiTheme="minorHAnsi"/>
        </w:rPr>
        <w:t>their electoral ledges</w:t>
      </w:r>
      <w:r w:rsidR="00C2205B">
        <w:rPr>
          <w:rFonts w:asciiTheme="minorHAnsi" w:hAnsiTheme="minorHAnsi"/>
        </w:rPr>
        <w:t xml:space="preserve"> to citizens</w:t>
      </w:r>
      <w:r w:rsidR="00660117" w:rsidRPr="00A4255D">
        <w:rPr>
          <w:rFonts w:asciiTheme="minorHAnsi" w:hAnsiTheme="minorHAnsi"/>
        </w:rPr>
        <w:t>. In s</w:t>
      </w:r>
      <w:r w:rsidR="00C2205B">
        <w:rPr>
          <w:rFonts w:asciiTheme="minorHAnsi" w:hAnsiTheme="minorHAnsi"/>
        </w:rPr>
        <w:t>ome</w:t>
      </w:r>
      <w:r w:rsidR="00660117" w:rsidRPr="00A4255D">
        <w:rPr>
          <w:rFonts w:asciiTheme="minorHAnsi" w:hAnsiTheme="minorHAnsi"/>
        </w:rPr>
        <w:t xml:space="preserve"> countries</w:t>
      </w:r>
      <w:r>
        <w:rPr>
          <w:rFonts w:asciiTheme="minorHAnsi" w:hAnsiTheme="minorHAnsi"/>
        </w:rPr>
        <w:t>,</w:t>
      </w:r>
      <w:r w:rsidR="00660117" w:rsidRPr="00A4255D">
        <w:rPr>
          <w:rFonts w:asciiTheme="minorHAnsi" w:hAnsiTheme="minorHAnsi"/>
        </w:rPr>
        <w:t xml:space="preserve"> performance budgeting has been conceived as </w:t>
      </w:r>
      <w:r w:rsidR="00F66EE2">
        <w:rPr>
          <w:rFonts w:asciiTheme="minorHAnsi" w:hAnsiTheme="minorHAnsi"/>
        </w:rPr>
        <w:t xml:space="preserve">more of </w:t>
      </w:r>
      <w:r w:rsidR="00660117" w:rsidRPr="00A4255D">
        <w:rPr>
          <w:rFonts w:asciiTheme="minorHAnsi" w:hAnsiTheme="minorHAnsi"/>
        </w:rPr>
        <w:t>a management tool</w:t>
      </w:r>
      <w:r w:rsidR="00F66EE2">
        <w:rPr>
          <w:rFonts w:asciiTheme="minorHAnsi" w:hAnsiTheme="minorHAnsi"/>
        </w:rPr>
        <w:t xml:space="preserve"> to improve outcomes</w:t>
      </w:r>
      <w:r w:rsidR="00660117" w:rsidRPr="00A4255D">
        <w:rPr>
          <w:rFonts w:asciiTheme="minorHAnsi" w:hAnsiTheme="minorHAnsi"/>
        </w:rPr>
        <w:t>,</w:t>
      </w:r>
      <w:r w:rsidR="00F66EE2">
        <w:rPr>
          <w:rFonts w:asciiTheme="minorHAnsi" w:hAnsiTheme="minorHAnsi"/>
        </w:rPr>
        <w:t xml:space="preserve"> focusing </w:t>
      </w:r>
      <w:r w:rsidR="003B33CC">
        <w:rPr>
          <w:rFonts w:asciiTheme="minorHAnsi" w:hAnsiTheme="minorHAnsi"/>
        </w:rPr>
        <w:t>programme</w:t>
      </w:r>
      <w:r w:rsidR="00DA0272">
        <w:rPr>
          <w:rFonts w:asciiTheme="minorHAnsi" w:hAnsiTheme="minorHAnsi"/>
        </w:rPr>
        <w:t xml:space="preserve"> </w:t>
      </w:r>
      <w:r w:rsidR="00F66EE2">
        <w:rPr>
          <w:rFonts w:asciiTheme="minorHAnsi" w:hAnsiTheme="minorHAnsi"/>
        </w:rPr>
        <w:t>managers’ attention on service delivery and performance and, at the same time, permitting them greater flexibility to manage resources within their overall budget envelope. Balancing t</w:t>
      </w:r>
      <w:r w:rsidR="004F34F2">
        <w:rPr>
          <w:rFonts w:asciiTheme="minorHAnsi" w:hAnsiTheme="minorHAnsi"/>
        </w:rPr>
        <w:t>he needs and concerns of the various stakeholders will inevitably require compromises and trade-offs between different interests and objectives. There are inherent tensions, for example, between the public and parliament’s desire for accountability and the administration’s desire for freedom to improve performance through increased budget flexibility and re-prioritization of spending to achieve performa</w:t>
      </w:r>
      <w:r w:rsidR="00383ED0">
        <w:rPr>
          <w:rFonts w:asciiTheme="minorHAnsi" w:hAnsiTheme="minorHAnsi"/>
        </w:rPr>
        <w:t>nce goals.</w:t>
      </w:r>
    </w:p>
    <w:p w:rsidR="00660117" w:rsidRPr="00A4255D" w:rsidRDefault="00660117" w:rsidP="00A4255D">
      <w:pPr>
        <w:pStyle w:val="BodyText"/>
        <w:rPr>
          <w:rFonts w:asciiTheme="minorHAnsi" w:hAnsiTheme="minorHAnsi"/>
        </w:rPr>
      </w:pPr>
      <w:r w:rsidRPr="00A4255D">
        <w:rPr>
          <w:rFonts w:asciiTheme="minorHAnsi" w:hAnsiTheme="minorHAnsi"/>
        </w:rPr>
        <w:t xml:space="preserve">OECD countries with the longest experience of performance budgeting have tended to </w:t>
      </w:r>
      <w:r w:rsidR="001F39D5">
        <w:rPr>
          <w:rFonts w:asciiTheme="minorHAnsi" w:hAnsiTheme="minorHAnsi"/>
        </w:rPr>
        <w:t xml:space="preserve">revise </w:t>
      </w:r>
      <w:r w:rsidRPr="00A4255D">
        <w:rPr>
          <w:rFonts w:asciiTheme="minorHAnsi" w:hAnsiTheme="minorHAnsi"/>
        </w:rPr>
        <w:t xml:space="preserve">their expectations </w:t>
      </w:r>
      <w:r w:rsidR="001F39D5">
        <w:rPr>
          <w:rFonts w:asciiTheme="minorHAnsi" w:hAnsiTheme="minorHAnsi"/>
        </w:rPr>
        <w:t xml:space="preserve">for performance budgeting downwards </w:t>
      </w:r>
      <w:r w:rsidRPr="00A4255D">
        <w:rPr>
          <w:rFonts w:asciiTheme="minorHAnsi" w:hAnsiTheme="minorHAnsi"/>
        </w:rPr>
        <w:t xml:space="preserve">and focus on addressing identified concerns; they do not promise that it will revolutionize governance. For example, recent changes made by Australia </w:t>
      </w:r>
      <w:r w:rsidR="007E549C">
        <w:rPr>
          <w:rFonts w:asciiTheme="minorHAnsi" w:hAnsiTheme="minorHAnsi"/>
        </w:rPr>
        <w:t xml:space="preserve">(Box 2) </w:t>
      </w:r>
      <w:r w:rsidRPr="00A4255D">
        <w:rPr>
          <w:rFonts w:asciiTheme="minorHAnsi" w:hAnsiTheme="minorHAnsi"/>
        </w:rPr>
        <w:t xml:space="preserve">have focused explicitly on encouraging management use of performance data, while in the Netherlands </w:t>
      </w:r>
      <w:r w:rsidR="00002EE1">
        <w:rPr>
          <w:rFonts w:asciiTheme="minorHAnsi" w:hAnsiTheme="minorHAnsi"/>
        </w:rPr>
        <w:t>(</w:t>
      </w:r>
      <w:r w:rsidR="007E549C">
        <w:rPr>
          <w:rFonts w:asciiTheme="minorHAnsi" w:hAnsiTheme="minorHAnsi"/>
        </w:rPr>
        <w:t xml:space="preserve">Box 3) </w:t>
      </w:r>
      <w:r w:rsidRPr="00A4255D">
        <w:rPr>
          <w:rFonts w:asciiTheme="minorHAnsi" w:hAnsiTheme="minorHAnsi"/>
        </w:rPr>
        <w:t xml:space="preserve">the focus has shifted to promoting accountability for results. </w:t>
      </w:r>
    </w:p>
    <w:p w:rsidR="00660117" w:rsidRDefault="00660117" w:rsidP="00041C38">
      <w:pPr>
        <w:pStyle w:val="BodyText"/>
        <w:spacing w:after="360"/>
        <w:rPr>
          <w:rFonts w:asciiTheme="minorHAnsi" w:hAnsiTheme="minorHAnsi"/>
        </w:rPr>
      </w:pPr>
      <w:r w:rsidRPr="00A4255D">
        <w:rPr>
          <w:rFonts w:asciiTheme="minorHAnsi" w:hAnsiTheme="minorHAnsi"/>
        </w:rPr>
        <w:t xml:space="preserve">OECD countries’ </w:t>
      </w:r>
      <w:r w:rsidR="00002EE1">
        <w:rPr>
          <w:rFonts w:asciiTheme="minorHAnsi" w:hAnsiTheme="minorHAnsi"/>
        </w:rPr>
        <w:t>experiences suggest (</w:t>
      </w:r>
      <w:r w:rsidR="005D77A7">
        <w:rPr>
          <w:rFonts w:asciiTheme="minorHAnsi" w:hAnsiTheme="minorHAnsi"/>
        </w:rPr>
        <w:t>Figure </w:t>
      </w:r>
      <w:r w:rsidRPr="00A4255D">
        <w:rPr>
          <w:rFonts w:asciiTheme="minorHAnsi" w:hAnsiTheme="minorHAnsi"/>
        </w:rPr>
        <w:t xml:space="preserve">2) that increasing transparency and accountability are the most realistic and attainable objectives for a performance budgeting system, corresponding broadly a “presentational approach ’’ to performance budgeting.  </w:t>
      </w:r>
    </w:p>
    <w:p w:rsidR="007F027C" w:rsidRPr="008F79FE" w:rsidRDefault="007F027C" w:rsidP="007F027C">
      <w:pPr>
        <w:pBdr>
          <w:top w:val="single" w:sz="4" w:space="1" w:color="auto"/>
          <w:left w:val="single" w:sz="4" w:space="4" w:color="auto"/>
          <w:bottom w:val="single" w:sz="4" w:space="9" w:color="auto"/>
          <w:right w:val="single" w:sz="4" w:space="4" w:color="auto"/>
        </w:pBdr>
        <w:spacing w:after="240"/>
        <w:jc w:val="center"/>
        <w:rPr>
          <w:rFonts w:asciiTheme="minorHAnsi" w:hAnsiTheme="minorHAnsi"/>
          <w:b/>
        </w:rPr>
      </w:pPr>
      <w:r>
        <w:rPr>
          <w:rFonts w:asciiTheme="minorHAnsi" w:hAnsiTheme="minorHAnsi"/>
          <w:b/>
        </w:rPr>
        <w:lastRenderedPageBreak/>
        <w:t xml:space="preserve">Box 1: </w:t>
      </w:r>
      <w:r w:rsidRPr="008F79FE">
        <w:rPr>
          <w:rFonts w:asciiTheme="minorHAnsi" w:hAnsiTheme="minorHAnsi"/>
          <w:b/>
        </w:rPr>
        <w:t>New Zealand</w:t>
      </w:r>
      <w:r>
        <w:rPr>
          <w:rFonts w:asciiTheme="minorHAnsi" w:hAnsiTheme="minorHAnsi"/>
          <w:b/>
        </w:rPr>
        <w:t xml:space="preserve"> -</w:t>
      </w:r>
      <w:r w:rsidRPr="008F79FE">
        <w:rPr>
          <w:rFonts w:asciiTheme="minorHAnsi" w:hAnsiTheme="minorHAnsi"/>
          <w:b/>
        </w:rPr>
        <w:t xml:space="preserve"> 2013 changes for the Public Finance and State Sector Acts</w:t>
      </w:r>
    </w:p>
    <w:p w:rsidR="007F027C" w:rsidRPr="005D77A7" w:rsidRDefault="007F027C" w:rsidP="007F027C">
      <w:pPr>
        <w:pBdr>
          <w:top w:val="single" w:sz="4" w:space="1" w:color="auto"/>
          <w:left w:val="single" w:sz="4" w:space="4" w:color="auto"/>
          <w:bottom w:val="single" w:sz="4" w:space="9" w:color="auto"/>
          <w:right w:val="single" w:sz="4" w:space="4" w:color="auto"/>
        </w:pBdr>
        <w:rPr>
          <w:rFonts w:asciiTheme="minorHAnsi" w:hAnsiTheme="minorHAnsi"/>
        </w:rPr>
      </w:pPr>
      <w:r w:rsidRPr="005D77A7">
        <w:rPr>
          <w:rFonts w:asciiTheme="minorHAnsi" w:hAnsiTheme="minorHAnsi"/>
        </w:rPr>
        <w:t>The overarching framework for performance budgeting in New Zealand is largely set out through two main pieces of legislation: the Public Finance Act which sets out how funding is authorised and the associated performance reporting requirements, and the State Sector Act which sets out (amongst other things) the responsibilities of Chief Executives (the heads of government ministries).</w:t>
      </w:r>
    </w:p>
    <w:p w:rsidR="007F027C" w:rsidRDefault="007F027C" w:rsidP="007F027C">
      <w:pPr>
        <w:pBdr>
          <w:top w:val="single" w:sz="4" w:space="1" w:color="auto"/>
          <w:left w:val="single" w:sz="4" w:space="4" w:color="auto"/>
          <w:bottom w:val="single" w:sz="4" w:space="9" w:color="auto"/>
          <w:right w:val="single" w:sz="4" w:space="4" w:color="auto"/>
        </w:pBdr>
        <w:spacing w:after="120"/>
        <w:rPr>
          <w:rFonts w:asciiTheme="minorHAnsi" w:hAnsiTheme="minorHAnsi"/>
        </w:rPr>
      </w:pPr>
      <w:r w:rsidRPr="005D77A7">
        <w:rPr>
          <w:rFonts w:asciiTheme="minorHAnsi" w:hAnsiTheme="minorHAnsi"/>
        </w:rPr>
        <w:t>Changes were made to these Acts in 2013 to:</w:t>
      </w:r>
    </w:p>
    <w:p w:rsidR="007F027C" w:rsidRPr="007F027C" w:rsidRDefault="007F027C" w:rsidP="007F027C">
      <w:pPr>
        <w:pStyle w:val="ListParagraph"/>
        <w:numPr>
          <w:ilvl w:val="0"/>
          <w:numId w:val="31"/>
        </w:numPr>
        <w:pBdr>
          <w:top w:val="single" w:sz="4" w:space="1" w:color="auto"/>
          <w:left w:val="single" w:sz="4" w:space="4" w:color="auto"/>
          <w:bottom w:val="single" w:sz="4" w:space="9" w:color="auto"/>
          <w:right w:val="single" w:sz="4" w:space="4" w:color="auto"/>
        </w:pBdr>
        <w:tabs>
          <w:tab w:val="clear" w:pos="850"/>
          <w:tab w:val="left" w:pos="284"/>
        </w:tabs>
        <w:spacing w:after="120"/>
        <w:ind w:left="284" w:hanging="284"/>
        <w:rPr>
          <w:rFonts w:asciiTheme="minorHAnsi" w:hAnsiTheme="minorHAnsi"/>
        </w:rPr>
      </w:pPr>
      <w:proofErr w:type="gramStart"/>
      <w:r w:rsidRPr="007F027C">
        <w:rPr>
          <w:rFonts w:asciiTheme="minorHAnsi" w:hAnsiTheme="minorHAnsi"/>
          <w:bCs/>
          <w:i/>
        </w:rPr>
        <w:t>get</w:t>
      </w:r>
      <w:proofErr w:type="gramEnd"/>
      <w:r w:rsidRPr="007F027C">
        <w:rPr>
          <w:rFonts w:asciiTheme="minorHAnsi" w:hAnsiTheme="minorHAnsi"/>
          <w:bCs/>
          <w:i/>
        </w:rPr>
        <w:t xml:space="preserve"> the system as a whole better at delivering results</w:t>
      </w:r>
      <w:r w:rsidRPr="007F027C">
        <w:rPr>
          <w:rFonts w:asciiTheme="minorHAnsi" w:hAnsiTheme="minorHAnsi"/>
          <w:b/>
          <w:bCs/>
        </w:rPr>
        <w:t xml:space="preserve"> </w:t>
      </w:r>
      <w:r w:rsidRPr="007F027C">
        <w:rPr>
          <w:rFonts w:asciiTheme="minorHAnsi" w:hAnsiTheme="minorHAnsi"/>
        </w:rPr>
        <w:t>by breaking down “silo” behaviours by making "responsiveness to the collective interests of government" an explicit responsibility of departmental chief executives and creating new multi-category appropriations to provide an overarching umbrella for different funding streams.</w:t>
      </w:r>
    </w:p>
    <w:p w:rsidR="007F027C" w:rsidRPr="005D77A7" w:rsidRDefault="007F027C" w:rsidP="007F027C">
      <w:pPr>
        <w:pStyle w:val="Default"/>
        <w:numPr>
          <w:ilvl w:val="0"/>
          <w:numId w:val="31"/>
        </w:numPr>
        <w:pBdr>
          <w:top w:val="single" w:sz="4" w:space="1" w:color="auto"/>
          <w:left w:val="single" w:sz="4" w:space="4" w:color="auto"/>
          <w:bottom w:val="single" w:sz="4" w:space="9" w:color="auto"/>
          <w:right w:val="single" w:sz="4" w:space="4" w:color="auto"/>
        </w:pBdr>
        <w:spacing w:after="120"/>
        <w:ind w:left="360"/>
        <w:jc w:val="both"/>
        <w:rPr>
          <w:rFonts w:asciiTheme="minorHAnsi" w:hAnsiTheme="minorHAnsi"/>
          <w:sz w:val="22"/>
          <w:szCs w:val="22"/>
        </w:rPr>
      </w:pPr>
      <w:r w:rsidRPr="005D77A7">
        <w:rPr>
          <w:rFonts w:asciiTheme="minorHAnsi" w:hAnsiTheme="minorHAnsi"/>
          <w:bCs/>
          <w:i/>
          <w:sz w:val="22"/>
          <w:szCs w:val="22"/>
        </w:rPr>
        <w:t>encourage better services/value for money</w:t>
      </w:r>
      <w:r w:rsidRPr="005D77A7">
        <w:rPr>
          <w:rFonts w:asciiTheme="minorHAnsi" w:hAnsiTheme="minorHAnsi"/>
          <w:b/>
          <w:bCs/>
          <w:sz w:val="22"/>
          <w:szCs w:val="22"/>
        </w:rPr>
        <w:t xml:space="preserve"> </w:t>
      </w:r>
      <w:r w:rsidRPr="005D77A7">
        <w:rPr>
          <w:rFonts w:asciiTheme="minorHAnsi" w:hAnsiTheme="minorHAnsi"/>
          <w:sz w:val="22"/>
          <w:szCs w:val="22"/>
        </w:rPr>
        <w:t xml:space="preserve">through the greater ability for chief executives to delegate functions and powers in order to support closer partnering with others to improve services </w:t>
      </w:r>
    </w:p>
    <w:p w:rsidR="007F027C" w:rsidRPr="005D77A7" w:rsidRDefault="007F027C" w:rsidP="007F027C">
      <w:pPr>
        <w:pStyle w:val="Default"/>
        <w:numPr>
          <w:ilvl w:val="0"/>
          <w:numId w:val="31"/>
        </w:numPr>
        <w:pBdr>
          <w:top w:val="single" w:sz="4" w:space="1" w:color="auto"/>
          <w:left w:val="single" w:sz="4" w:space="4" w:color="auto"/>
          <w:bottom w:val="single" w:sz="4" w:space="9" w:color="auto"/>
          <w:right w:val="single" w:sz="4" w:space="4" w:color="auto"/>
        </w:pBdr>
        <w:spacing w:after="120"/>
        <w:ind w:left="360"/>
        <w:jc w:val="both"/>
        <w:rPr>
          <w:rFonts w:asciiTheme="minorHAnsi" w:hAnsiTheme="minorHAnsi"/>
          <w:sz w:val="22"/>
          <w:szCs w:val="22"/>
        </w:rPr>
      </w:pPr>
      <w:r w:rsidRPr="005D77A7">
        <w:rPr>
          <w:rFonts w:asciiTheme="minorHAnsi" w:hAnsiTheme="minorHAnsi"/>
          <w:bCs/>
          <w:i/>
          <w:sz w:val="22"/>
          <w:szCs w:val="22"/>
        </w:rPr>
        <w:t>strengthen leadership</w:t>
      </w:r>
      <w:r w:rsidRPr="005D77A7">
        <w:rPr>
          <w:rFonts w:asciiTheme="minorHAnsi" w:hAnsiTheme="minorHAnsi"/>
          <w:b/>
          <w:bCs/>
          <w:sz w:val="22"/>
          <w:szCs w:val="22"/>
        </w:rPr>
        <w:t xml:space="preserve"> </w:t>
      </w:r>
      <w:r w:rsidRPr="005D77A7">
        <w:rPr>
          <w:rFonts w:asciiTheme="minorHAnsi" w:hAnsiTheme="minorHAnsi"/>
          <w:sz w:val="22"/>
          <w:szCs w:val="22"/>
        </w:rPr>
        <w:t>at the system, sector and agency level by establishing a clear role for State Services Commissioner in oversight of state services and development of senior leaders, and expanding departmental chief executives responsibilities to include stewardship and financial sustainability</w:t>
      </w:r>
    </w:p>
    <w:p w:rsidR="007F027C" w:rsidRPr="005D77A7" w:rsidRDefault="007F027C" w:rsidP="007F027C">
      <w:pPr>
        <w:pStyle w:val="Default"/>
        <w:numPr>
          <w:ilvl w:val="0"/>
          <w:numId w:val="31"/>
        </w:numPr>
        <w:pBdr>
          <w:top w:val="single" w:sz="4" w:space="1" w:color="auto"/>
          <w:left w:val="single" w:sz="4" w:space="4" w:color="auto"/>
          <w:bottom w:val="single" w:sz="4" w:space="9" w:color="auto"/>
          <w:right w:val="single" w:sz="4" w:space="4" w:color="auto"/>
        </w:pBdr>
        <w:spacing w:after="120"/>
        <w:ind w:left="360"/>
        <w:jc w:val="both"/>
        <w:rPr>
          <w:rFonts w:asciiTheme="minorHAnsi" w:hAnsiTheme="minorHAnsi"/>
          <w:sz w:val="22"/>
          <w:szCs w:val="22"/>
        </w:rPr>
      </w:pPr>
      <w:r w:rsidRPr="005D77A7">
        <w:rPr>
          <w:rFonts w:asciiTheme="minorHAnsi" w:hAnsiTheme="minorHAnsi"/>
          <w:bCs/>
          <w:i/>
          <w:sz w:val="22"/>
          <w:szCs w:val="22"/>
        </w:rPr>
        <w:t>support more meaningful information so that Parliament and the public can more easily see what taxpayers’ money has achieved</w:t>
      </w:r>
      <w:r w:rsidRPr="005D77A7">
        <w:rPr>
          <w:rFonts w:asciiTheme="minorHAnsi" w:hAnsiTheme="minorHAnsi"/>
          <w:i/>
          <w:iCs/>
          <w:sz w:val="22"/>
          <w:szCs w:val="22"/>
        </w:rPr>
        <w:t xml:space="preserve">, </w:t>
      </w:r>
      <w:r w:rsidRPr="005D77A7">
        <w:rPr>
          <w:rFonts w:asciiTheme="minorHAnsi" w:hAnsiTheme="minorHAnsi"/>
          <w:sz w:val="22"/>
          <w:szCs w:val="22"/>
        </w:rPr>
        <w:t>and how agencies are progressing against priorities; through greater emphasis on reporting what is intended to be and has been achieved; lifting the strategic focus of statements of intent; and greater emphasis on flexible reporting arrangements.</w:t>
      </w:r>
    </w:p>
    <w:p w:rsidR="007F027C" w:rsidRDefault="007F027C" w:rsidP="007F027C">
      <w:pPr>
        <w:pStyle w:val="NormalWeb"/>
        <w:shd w:val="clear" w:color="auto" w:fill="FFFFFF"/>
        <w:spacing w:after="60"/>
        <w:ind w:left="284" w:hanging="284"/>
        <w:rPr>
          <w:rFonts w:asciiTheme="minorHAnsi" w:hAnsiTheme="minorHAnsi"/>
          <w:color w:val="000000"/>
          <w:sz w:val="22"/>
          <w:szCs w:val="22"/>
        </w:rPr>
      </w:pPr>
    </w:p>
    <w:p w:rsidR="007F027C" w:rsidRPr="00A4255D" w:rsidRDefault="007F027C" w:rsidP="007F027C">
      <w:pPr>
        <w:pStyle w:val="NormalWeb"/>
        <w:pBdr>
          <w:top w:val="single" w:sz="4" w:space="1" w:color="auto"/>
          <w:left w:val="single" w:sz="4" w:space="4" w:color="auto"/>
          <w:bottom w:val="single" w:sz="4" w:space="18" w:color="auto"/>
          <w:right w:val="single" w:sz="4" w:space="4" w:color="auto"/>
        </w:pBdr>
        <w:shd w:val="clear" w:color="auto" w:fill="FFFFFF"/>
        <w:spacing w:before="240" w:after="240"/>
        <w:ind w:left="357" w:hanging="357"/>
        <w:jc w:val="center"/>
        <w:rPr>
          <w:rStyle w:val="text11513font3"/>
          <w:rFonts w:asciiTheme="minorHAnsi" w:hAnsiTheme="minorHAnsi"/>
          <w:b/>
          <w:color w:val="000000"/>
          <w:sz w:val="22"/>
          <w:szCs w:val="22"/>
        </w:rPr>
      </w:pPr>
      <w:r>
        <w:rPr>
          <w:rStyle w:val="text11513font3"/>
          <w:rFonts w:asciiTheme="minorHAnsi" w:hAnsiTheme="minorHAnsi"/>
          <w:b/>
          <w:color w:val="000000"/>
          <w:sz w:val="22"/>
          <w:szCs w:val="22"/>
        </w:rPr>
        <w:t xml:space="preserve">Box 2: </w:t>
      </w:r>
      <w:r w:rsidRPr="00A4255D">
        <w:rPr>
          <w:rStyle w:val="text11513font3"/>
          <w:rFonts w:asciiTheme="minorHAnsi" w:hAnsiTheme="minorHAnsi"/>
          <w:b/>
          <w:color w:val="000000"/>
          <w:sz w:val="22"/>
          <w:szCs w:val="22"/>
        </w:rPr>
        <w:t>Australia</w:t>
      </w:r>
      <w:r>
        <w:rPr>
          <w:rStyle w:val="text11513font3"/>
          <w:rFonts w:asciiTheme="minorHAnsi" w:hAnsiTheme="minorHAnsi"/>
          <w:b/>
          <w:color w:val="000000"/>
          <w:sz w:val="22"/>
          <w:szCs w:val="22"/>
        </w:rPr>
        <w:t xml:space="preserve"> -</w:t>
      </w:r>
      <w:r w:rsidRPr="00A4255D">
        <w:rPr>
          <w:rStyle w:val="text11513font3"/>
          <w:rFonts w:asciiTheme="minorHAnsi" w:hAnsiTheme="minorHAnsi"/>
          <w:b/>
          <w:color w:val="000000"/>
          <w:sz w:val="22"/>
          <w:szCs w:val="22"/>
        </w:rPr>
        <w:t xml:space="preserve"> Public Governance, Performance and Accountability Act</w:t>
      </w:r>
    </w:p>
    <w:p w:rsidR="007F027C" w:rsidRPr="00A4255D" w:rsidRDefault="007F027C" w:rsidP="007F027C">
      <w:pPr>
        <w:pBdr>
          <w:top w:val="single" w:sz="4" w:space="1" w:color="auto"/>
          <w:left w:val="single" w:sz="4" w:space="4" w:color="auto"/>
          <w:bottom w:val="single" w:sz="4" w:space="18" w:color="auto"/>
          <w:right w:val="single" w:sz="4" w:space="4" w:color="auto"/>
        </w:pBdr>
        <w:rPr>
          <w:rFonts w:asciiTheme="minorHAnsi" w:hAnsiTheme="minorHAnsi"/>
        </w:rPr>
      </w:pPr>
      <w:r w:rsidRPr="00A4255D">
        <w:rPr>
          <w:rFonts w:asciiTheme="minorHAnsi" w:hAnsiTheme="minorHAnsi"/>
        </w:rPr>
        <w:t xml:space="preserve">Australia’s 2013 Public Governance, Performance and Accountability Act </w:t>
      </w:r>
      <w:proofErr w:type="gramStart"/>
      <w:r w:rsidRPr="00A4255D">
        <w:rPr>
          <w:rFonts w:asciiTheme="minorHAnsi" w:hAnsiTheme="minorHAnsi"/>
        </w:rPr>
        <w:t>was</w:t>
      </w:r>
      <w:proofErr w:type="gramEnd"/>
      <w:r w:rsidRPr="00A4255D">
        <w:rPr>
          <w:rFonts w:asciiTheme="minorHAnsi" w:hAnsiTheme="minorHAnsi"/>
        </w:rPr>
        <w:t xml:space="preserve"> the result of consultation by the Department of Finance on a wide range of financial management issues over more than a year. The new law not only merged and refined previous financial management laws covering government departments and other entities, it also introduced for </w:t>
      </w:r>
    </w:p>
    <w:p w:rsidR="007F027C" w:rsidRDefault="007F027C" w:rsidP="007F027C">
      <w:pPr>
        <w:pBdr>
          <w:top w:val="single" w:sz="4" w:space="1" w:color="auto"/>
          <w:left w:val="single" w:sz="4" w:space="4" w:color="auto"/>
          <w:bottom w:val="single" w:sz="4" w:space="18" w:color="auto"/>
          <w:right w:val="single" w:sz="4" w:space="4" w:color="auto"/>
        </w:pBdr>
        <w:spacing w:after="120"/>
        <w:rPr>
          <w:rFonts w:asciiTheme="minorHAnsi" w:hAnsiTheme="minorHAnsi"/>
        </w:rPr>
      </w:pPr>
      <w:proofErr w:type="gramStart"/>
      <w:r w:rsidRPr="00A4255D">
        <w:rPr>
          <w:rFonts w:asciiTheme="minorHAnsi" w:hAnsiTheme="minorHAnsi"/>
        </w:rPr>
        <w:t>the</w:t>
      </w:r>
      <w:proofErr w:type="gramEnd"/>
      <w:r w:rsidRPr="00A4255D">
        <w:rPr>
          <w:rFonts w:asciiTheme="minorHAnsi" w:hAnsiTheme="minorHAnsi"/>
        </w:rPr>
        <w:t xml:space="preserve"> first time the concept of “performance” into legislation affecting public agencies. Previously, agency performance was governed by policy decisions and regulations; general legislative provisions gave the Minister of Finance powers only to issue directions to organizations on finance-related matters.  The new law:</w:t>
      </w:r>
    </w:p>
    <w:p w:rsidR="007F027C" w:rsidRPr="00041C38" w:rsidRDefault="007F027C" w:rsidP="007F027C">
      <w:pPr>
        <w:pStyle w:val="NormalWeb"/>
        <w:pBdr>
          <w:top w:val="single" w:sz="4" w:space="1" w:color="auto"/>
          <w:left w:val="single" w:sz="4" w:space="4" w:color="auto"/>
          <w:bottom w:val="single" w:sz="4" w:space="18" w:color="auto"/>
          <w:right w:val="single" w:sz="4" w:space="4" w:color="auto"/>
        </w:pBdr>
        <w:shd w:val="clear" w:color="auto" w:fill="FFFFFF"/>
        <w:tabs>
          <w:tab w:val="clear" w:pos="850"/>
          <w:tab w:val="clear" w:pos="1191"/>
          <w:tab w:val="clear" w:pos="1531"/>
        </w:tabs>
        <w:spacing w:after="120"/>
        <w:ind w:left="284" w:hanging="284"/>
        <w:jc w:val="left"/>
        <w:rPr>
          <w:rStyle w:val="text11513font3"/>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Pr="00041C38">
        <w:rPr>
          <w:rFonts w:asciiTheme="minorHAnsi" w:hAnsiTheme="minorHAnsi"/>
          <w:sz w:val="22"/>
          <w:szCs w:val="22"/>
        </w:rPr>
        <w:t>clarified and expanded the d</w:t>
      </w:r>
      <w:r w:rsidRPr="00041C38">
        <w:rPr>
          <w:rStyle w:val="text11513font3"/>
          <w:rFonts w:asciiTheme="minorHAnsi" w:hAnsiTheme="minorHAnsi"/>
          <w:color w:val="000000"/>
          <w:sz w:val="22"/>
          <w:szCs w:val="22"/>
        </w:rPr>
        <w:t>uties of accountable authorities and officials</w:t>
      </w:r>
      <w:r>
        <w:rPr>
          <w:rStyle w:val="text11513font3"/>
          <w:rFonts w:asciiTheme="minorHAnsi" w:hAnsiTheme="minorHAnsi"/>
          <w:color w:val="000000"/>
          <w:sz w:val="22"/>
          <w:szCs w:val="22"/>
        </w:rPr>
        <w:t>;</w:t>
      </w:r>
    </w:p>
    <w:p w:rsidR="007F027C" w:rsidRPr="00A4255D" w:rsidRDefault="007F027C" w:rsidP="007F027C">
      <w:pPr>
        <w:pStyle w:val="NormalWeb"/>
        <w:pBdr>
          <w:top w:val="single" w:sz="4" w:space="1" w:color="auto"/>
          <w:left w:val="single" w:sz="4" w:space="4" w:color="auto"/>
          <w:bottom w:val="single" w:sz="4" w:space="18" w:color="auto"/>
          <w:right w:val="single" w:sz="4" w:space="4" w:color="auto"/>
        </w:pBdr>
        <w:shd w:val="clear" w:color="auto" w:fill="FFFFFF"/>
        <w:tabs>
          <w:tab w:val="clear" w:pos="850"/>
          <w:tab w:val="clear" w:pos="1191"/>
          <w:tab w:val="clear" w:pos="1531"/>
        </w:tabs>
        <w:spacing w:after="120"/>
        <w:ind w:left="284" w:hanging="284"/>
        <w:jc w:val="left"/>
        <w:rPr>
          <w:rFonts w:asciiTheme="minorHAnsi" w:hAnsiTheme="minorHAnsi"/>
          <w:color w:val="000000"/>
          <w:sz w:val="22"/>
          <w:szCs w:val="22"/>
        </w:rPr>
      </w:pPr>
      <w:r>
        <w:rPr>
          <w:rStyle w:val="text11513font7"/>
          <w:rFonts w:asciiTheme="minorHAnsi" w:hAnsiTheme="minorHAnsi"/>
          <w:color w:val="000000"/>
          <w:sz w:val="22"/>
          <w:szCs w:val="22"/>
        </w:rPr>
        <w:t>•</w:t>
      </w:r>
      <w:r>
        <w:rPr>
          <w:rStyle w:val="text11513font7"/>
          <w:rFonts w:asciiTheme="minorHAnsi" w:hAnsiTheme="minorHAnsi"/>
          <w:color w:val="000000"/>
          <w:sz w:val="22"/>
          <w:szCs w:val="22"/>
        </w:rPr>
        <w:tab/>
      </w:r>
      <w:r w:rsidRPr="00A4255D">
        <w:rPr>
          <w:rStyle w:val="text11513font7"/>
          <w:rFonts w:asciiTheme="minorHAnsi" w:hAnsiTheme="minorHAnsi"/>
          <w:color w:val="000000"/>
          <w:sz w:val="22"/>
          <w:szCs w:val="22"/>
        </w:rPr>
        <w:t xml:space="preserve">empowered </w:t>
      </w:r>
      <w:r w:rsidRPr="00A4255D">
        <w:rPr>
          <w:rStyle w:val="text11513font3"/>
          <w:rFonts w:asciiTheme="minorHAnsi" w:hAnsiTheme="minorHAnsi"/>
          <w:color w:val="000000"/>
          <w:sz w:val="22"/>
          <w:szCs w:val="22"/>
        </w:rPr>
        <w:t>Commonwealth entities to remove red tape around using and managing money</w:t>
      </w:r>
      <w:r>
        <w:rPr>
          <w:rStyle w:val="text11513font3"/>
          <w:rFonts w:asciiTheme="minorHAnsi" w:hAnsiTheme="minorHAnsi"/>
          <w:color w:val="000000"/>
          <w:sz w:val="22"/>
          <w:szCs w:val="22"/>
        </w:rPr>
        <w:t>;</w:t>
      </w:r>
    </w:p>
    <w:p w:rsidR="007F027C" w:rsidRPr="00041C38" w:rsidRDefault="007F027C" w:rsidP="007F027C">
      <w:pPr>
        <w:pStyle w:val="NormalWeb"/>
        <w:numPr>
          <w:ilvl w:val="0"/>
          <w:numId w:val="27"/>
        </w:numPr>
        <w:pBdr>
          <w:top w:val="single" w:sz="4" w:space="1" w:color="auto"/>
          <w:left w:val="single" w:sz="4" w:space="4" w:color="auto"/>
          <w:bottom w:val="single" w:sz="4" w:space="18" w:color="auto"/>
          <w:right w:val="single" w:sz="4" w:space="4" w:color="auto"/>
        </w:pBdr>
        <w:shd w:val="clear" w:color="auto" w:fill="FFFFFF"/>
        <w:tabs>
          <w:tab w:val="clear" w:pos="850"/>
          <w:tab w:val="clear" w:pos="1191"/>
          <w:tab w:val="clear" w:pos="1531"/>
        </w:tabs>
        <w:spacing w:after="120"/>
        <w:ind w:left="284" w:hanging="284"/>
        <w:jc w:val="left"/>
        <w:rPr>
          <w:rStyle w:val="text28230font2"/>
          <w:rFonts w:asciiTheme="minorHAnsi" w:hAnsiTheme="minorHAnsi"/>
          <w:color w:val="000000"/>
          <w:sz w:val="22"/>
          <w:szCs w:val="22"/>
        </w:rPr>
      </w:pPr>
      <w:r w:rsidRPr="00041C38">
        <w:rPr>
          <w:rStyle w:val="text11513font3"/>
          <w:rFonts w:asciiTheme="minorHAnsi" w:hAnsiTheme="minorHAnsi"/>
          <w:color w:val="000000"/>
          <w:sz w:val="22"/>
          <w:szCs w:val="22"/>
        </w:rPr>
        <w:t>required a</w:t>
      </w:r>
      <w:r w:rsidRPr="00041C38">
        <w:rPr>
          <w:rFonts w:asciiTheme="minorHAnsi" w:hAnsiTheme="minorHAnsi"/>
          <w:color w:val="000000"/>
          <w:sz w:val="22"/>
          <w:szCs w:val="22"/>
          <w:shd w:val="clear" w:color="auto" w:fill="FFFFFF"/>
        </w:rPr>
        <w:t xml:space="preserve">ll Commonwealth entities to have 4 year corporate plans, </w:t>
      </w:r>
      <w:r w:rsidRPr="00041C38">
        <w:rPr>
          <w:rStyle w:val="text28230font2"/>
          <w:rFonts w:asciiTheme="minorHAnsi" w:hAnsiTheme="minorHAnsi"/>
          <w:color w:val="000000"/>
          <w:sz w:val="22"/>
          <w:szCs w:val="22"/>
        </w:rPr>
        <w:t xml:space="preserve">linked to key priorities of the Government (where appropriate), and </w:t>
      </w:r>
    </w:p>
    <w:p w:rsidR="007F027C" w:rsidRPr="00041C38" w:rsidRDefault="007F027C" w:rsidP="007F027C">
      <w:pPr>
        <w:pStyle w:val="NormalWeb"/>
        <w:numPr>
          <w:ilvl w:val="0"/>
          <w:numId w:val="27"/>
        </w:numPr>
        <w:pBdr>
          <w:top w:val="single" w:sz="4" w:space="1" w:color="auto"/>
          <w:left w:val="single" w:sz="4" w:space="4" w:color="auto"/>
          <w:bottom w:val="single" w:sz="4" w:space="18" w:color="auto"/>
          <w:right w:val="single" w:sz="4" w:space="4" w:color="auto"/>
        </w:pBdr>
        <w:shd w:val="clear" w:color="auto" w:fill="FFFFFF"/>
        <w:tabs>
          <w:tab w:val="clear" w:pos="850"/>
          <w:tab w:val="clear" w:pos="1191"/>
          <w:tab w:val="clear" w:pos="1531"/>
        </w:tabs>
        <w:spacing w:after="240"/>
        <w:ind w:left="284" w:hanging="284"/>
        <w:jc w:val="left"/>
        <w:rPr>
          <w:rFonts w:asciiTheme="minorHAnsi" w:hAnsiTheme="minorHAnsi"/>
          <w:color w:val="000000"/>
          <w:sz w:val="22"/>
          <w:szCs w:val="22"/>
          <w:shd w:val="clear" w:color="auto" w:fill="FFFFFF"/>
        </w:rPr>
      </w:pPr>
      <w:proofErr w:type="gramStart"/>
      <w:r w:rsidRPr="00041C38">
        <w:rPr>
          <w:rFonts w:asciiTheme="minorHAnsi" w:hAnsiTheme="minorHAnsi"/>
          <w:color w:val="000000"/>
          <w:sz w:val="22"/>
          <w:szCs w:val="22"/>
          <w:shd w:val="clear" w:color="auto" w:fill="FFFFFF"/>
        </w:rPr>
        <w:t>required</w:t>
      </w:r>
      <w:proofErr w:type="gramEnd"/>
      <w:r w:rsidRPr="00041C38">
        <w:rPr>
          <w:rFonts w:asciiTheme="minorHAnsi" w:hAnsiTheme="minorHAnsi"/>
          <w:color w:val="000000"/>
          <w:sz w:val="22"/>
          <w:szCs w:val="22"/>
          <w:shd w:val="clear" w:color="auto" w:fill="FFFFFF"/>
        </w:rPr>
        <w:t xml:space="preserve"> all Commonwealth entities to prepare an</w:t>
      </w:r>
      <w:r>
        <w:rPr>
          <w:rFonts w:asciiTheme="minorHAnsi" w:hAnsiTheme="minorHAnsi"/>
          <w:color w:val="000000"/>
          <w:sz w:val="22"/>
          <w:szCs w:val="22"/>
          <w:shd w:val="clear" w:color="auto" w:fill="FFFFFF"/>
        </w:rPr>
        <w:t xml:space="preserve"> annual performance statements.</w:t>
      </w:r>
    </w:p>
    <w:p w:rsidR="007F027C" w:rsidRDefault="007F027C" w:rsidP="007F027C">
      <w:pPr>
        <w:pStyle w:val="NormalWeb"/>
        <w:shd w:val="clear" w:color="auto" w:fill="FFFFFF"/>
        <w:spacing w:after="60"/>
        <w:ind w:left="284" w:hanging="284"/>
        <w:rPr>
          <w:rFonts w:asciiTheme="minorHAnsi" w:hAnsiTheme="minorHAnsi"/>
          <w:color w:val="000000"/>
          <w:sz w:val="22"/>
          <w:szCs w:val="22"/>
        </w:rPr>
      </w:pPr>
    </w:p>
    <w:p w:rsidR="007F027C" w:rsidRDefault="007F027C" w:rsidP="007F027C">
      <w:pPr>
        <w:pStyle w:val="NormalWeb"/>
        <w:shd w:val="clear" w:color="auto" w:fill="FFFFFF"/>
        <w:spacing w:after="60"/>
        <w:ind w:left="284" w:hanging="284"/>
        <w:rPr>
          <w:rFonts w:asciiTheme="minorHAnsi" w:hAnsiTheme="minorHAnsi"/>
          <w:color w:val="000000"/>
          <w:sz w:val="22"/>
          <w:szCs w:val="22"/>
        </w:rPr>
      </w:pPr>
      <w:r>
        <w:rPr>
          <w:rFonts w:asciiTheme="minorHAnsi" w:hAnsiTheme="minorHAnsi"/>
          <w:color w:val="000000"/>
          <w:sz w:val="22"/>
          <w:szCs w:val="22"/>
        </w:rPr>
        <w:br w:type="page"/>
      </w:r>
    </w:p>
    <w:p w:rsidR="00660117" w:rsidRPr="008F79FE" w:rsidRDefault="007E549C" w:rsidP="006359B9">
      <w:pPr>
        <w:pBdr>
          <w:top w:val="single" w:sz="4" w:space="1" w:color="auto"/>
          <w:left w:val="single" w:sz="4" w:space="4" w:color="auto"/>
          <w:bottom w:val="single" w:sz="4" w:space="6" w:color="auto"/>
          <w:right w:val="single" w:sz="4" w:space="4" w:color="auto"/>
        </w:pBdr>
        <w:spacing w:before="240" w:after="240"/>
        <w:jc w:val="center"/>
        <w:rPr>
          <w:rFonts w:asciiTheme="minorHAnsi" w:hAnsiTheme="minorHAnsi"/>
          <w:b/>
        </w:rPr>
      </w:pPr>
      <w:r>
        <w:rPr>
          <w:rFonts w:asciiTheme="minorHAnsi" w:hAnsiTheme="minorHAnsi"/>
          <w:b/>
        </w:rPr>
        <w:lastRenderedPageBreak/>
        <w:t xml:space="preserve">Box 3: </w:t>
      </w:r>
      <w:r w:rsidR="00660117" w:rsidRPr="008F79FE">
        <w:rPr>
          <w:rFonts w:asciiTheme="minorHAnsi" w:hAnsiTheme="minorHAnsi"/>
          <w:b/>
        </w:rPr>
        <w:t>Netherlands</w:t>
      </w:r>
      <w:r>
        <w:rPr>
          <w:rFonts w:asciiTheme="minorHAnsi" w:hAnsiTheme="minorHAnsi"/>
          <w:b/>
        </w:rPr>
        <w:t xml:space="preserve"> -</w:t>
      </w:r>
      <w:r w:rsidR="00660117" w:rsidRPr="008F79FE">
        <w:rPr>
          <w:rFonts w:asciiTheme="minorHAnsi" w:hAnsiTheme="minorHAnsi"/>
          <w:b/>
        </w:rPr>
        <w:t xml:space="preserve"> </w:t>
      </w:r>
      <w:proofErr w:type="gramStart"/>
      <w:r w:rsidR="00660117" w:rsidRPr="008F79FE">
        <w:rPr>
          <w:rFonts w:asciiTheme="minorHAnsi" w:hAnsiTheme="minorHAnsi"/>
          <w:b/>
        </w:rPr>
        <w:t>Accountable</w:t>
      </w:r>
      <w:proofErr w:type="gramEnd"/>
      <w:r w:rsidR="00660117" w:rsidRPr="008F79FE">
        <w:rPr>
          <w:rFonts w:asciiTheme="minorHAnsi" w:hAnsiTheme="minorHAnsi"/>
          <w:b/>
        </w:rPr>
        <w:t xml:space="preserve"> Budgeting Reform</w:t>
      </w:r>
    </w:p>
    <w:p w:rsidR="00660117" w:rsidRPr="00A4255D" w:rsidRDefault="00660117" w:rsidP="006359B9">
      <w:pPr>
        <w:pBdr>
          <w:top w:val="single" w:sz="4" w:space="1" w:color="auto"/>
          <w:left w:val="single" w:sz="4" w:space="4" w:color="auto"/>
          <w:bottom w:val="single" w:sz="4" w:space="6" w:color="auto"/>
          <w:right w:val="single" w:sz="4" w:space="4" w:color="auto"/>
        </w:pBdr>
        <w:spacing w:after="240"/>
        <w:rPr>
          <w:rFonts w:asciiTheme="minorHAnsi" w:hAnsiTheme="minorHAnsi"/>
        </w:rPr>
      </w:pPr>
      <w:r w:rsidRPr="00A4255D">
        <w:rPr>
          <w:rFonts w:asciiTheme="minorHAnsi" w:hAnsiTheme="minorHAnsi"/>
        </w:rPr>
        <w:t>The “Accountable Budgeting” reform was introduced in the 2013 budget documents and targeted some of the more persistent problems encountered with regard to performance budgeting in the Netherlands. These problems included the limited usefulness of budgets and annual reports for financial analysis and unclear results accountability, especially with regard to policy outcomes. The changes introduced were designed to enable more detailed parliamentary oversight of spending as well as to enhance internal control by the Ministry of Finance and line ministries. To achieve this, more detailed financial information was presented following a uniform classification of financial policy instruments and categories of organisational expenses. In addition, the use of policy information (performance indicators and policy texts explaining policy objectives) had to meet stricter conditions concerning the precise role and responsibility of government. The reason for this shift was that performance information in the old budgets had become more aimed at legitimising funding and compliance than in providing useful insights for oversight or to learn and improve. The use of performance information for the latter purposes does not necessarily happen in a cyclical, annual way and is more likely to occur following multi-year ex post evaluation. For this reason, the lessons from evaluation gained a more prominent place in budget documents.</w:t>
      </w:r>
    </w:p>
    <w:p w:rsidR="00660117" w:rsidRPr="00A4255D" w:rsidRDefault="00660117" w:rsidP="004272BB">
      <w:pPr>
        <w:rPr>
          <w:rFonts w:asciiTheme="minorHAnsi" w:hAnsiTheme="minorHAnsi"/>
        </w:rPr>
      </w:pPr>
    </w:p>
    <w:p w:rsidR="00660117" w:rsidRPr="00A4255D" w:rsidRDefault="00660117" w:rsidP="004272BB">
      <w:pPr>
        <w:pStyle w:val="Heading1"/>
        <w:pBdr>
          <w:top w:val="single" w:sz="4" w:space="1" w:color="auto"/>
          <w:left w:val="single" w:sz="4" w:space="4" w:color="auto"/>
          <w:bottom w:val="single" w:sz="4" w:space="1" w:color="auto"/>
          <w:right w:val="single" w:sz="4" w:space="4" w:color="auto"/>
        </w:pBdr>
        <w:rPr>
          <w:rFonts w:asciiTheme="minorHAnsi" w:hAnsiTheme="minorHAnsi"/>
        </w:rPr>
      </w:pPr>
      <w:r w:rsidRPr="00A4255D">
        <w:rPr>
          <w:rFonts w:asciiTheme="minorHAnsi" w:hAnsiTheme="minorHAnsi"/>
        </w:rPr>
        <w:br w:type="page"/>
      </w:r>
    </w:p>
    <w:p w:rsidR="00D17AED" w:rsidRPr="00B659B8" w:rsidRDefault="00D17AED" w:rsidP="00B659B8">
      <w:pPr>
        <w:pBdr>
          <w:top w:val="single" w:sz="4" w:space="1" w:color="auto"/>
          <w:left w:val="single" w:sz="4" w:space="4" w:color="auto"/>
          <w:bottom w:val="single" w:sz="4" w:space="9" w:color="auto"/>
          <w:right w:val="single" w:sz="4" w:space="4" w:color="auto"/>
        </w:pBdr>
        <w:shd w:val="clear" w:color="auto" w:fill="CCECFF"/>
        <w:spacing w:before="240"/>
        <w:ind w:left="567" w:hanging="567"/>
        <w:jc w:val="center"/>
        <w:rPr>
          <w:rFonts w:asciiTheme="minorHAnsi" w:hAnsiTheme="minorHAnsi"/>
          <w:b/>
          <w:color w:val="1E63AE"/>
          <w:sz w:val="24"/>
          <w:szCs w:val="24"/>
        </w:rPr>
      </w:pPr>
      <w:r w:rsidRPr="00B659B8">
        <w:rPr>
          <w:rFonts w:asciiTheme="minorHAnsi" w:hAnsiTheme="minorHAnsi"/>
          <w:b/>
          <w:color w:val="1E63AE"/>
          <w:sz w:val="24"/>
          <w:szCs w:val="24"/>
        </w:rPr>
        <w:lastRenderedPageBreak/>
        <w:t>Best Practice 2</w:t>
      </w:r>
    </w:p>
    <w:p w:rsidR="00DD305F" w:rsidRPr="00DD305F" w:rsidRDefault="00DD305F" w:rsidP="00B659B8">
      <w:pPr>
        <w:pBdr>
          <w:top w:val="single" w:sz="4" w:space="1" w:color="auto"/>
          <w:left w:val="single" w:sz="4" w:space="4" w:color="auto"/>
          <w:bottom w:val="single" w:sz="4" w:space="9" w:color="auto"/>
          <w:right w:val="single" w:sz="4" w:space="4" w:color="auto"/>
        </w:pBdr>
        <w:shd w:val="clear" w:color="auto" w:fill="CCECFF"/>
        <w:spacing w:after="240"/>
        <w:ind w:left="567" w:hanging="567"/>
        <w:jc w:val="center"/>
        <w:rPr>
          <w:rFonts w:asciiTheme="minorHAnsi" w:hAnsiTheme="minorHAnsi"/>
          <w:b/>
          <w:color w:val="1E63AE"/>
          <w:sz w:val="24"/>
          <w:szCs w:val="24"/>
        </w:rPr>
      </w:pPr>
      <w:r w:rsidRPr="00DD305F">
        <w:rPr>
          <w:rFonts w:asciiTheme="minorHAnsi" w:hAnsiTheme="minorHAnsi"/>
          <w:b/>
          <w:color w:val="1E63AE"/>
          <w:sz w:val="24"/>
          <w:szCs w:val="24"/>
        </w:rPr>
        <w:t>Linking the Performance Budget to the Strategic Goals of Government</w:t>
      </w:r>
    </w:p>
    <w:p w:rsidR="00DD305F" w:rsidRPr="00DD305F" w:rsidRDefault="00B659B8" w:rsidP="00B659B8">
      <w:pPr>
        <w:pBdr>
          <w:top w:val="single" w:sz="4" w:space="1" w:color="auto"/>
          <w:left w:val="single" w:sz="4" w:space="4" w:color="auto"/>
          <w:bottom w:val="single" w:sz="4" w:space="9" w:color="auto"/>
          <w:right w:val="single" w:sz="4" w:space="4" w:color="auto"/>
        </w:pBdr>
        <w:shd w:val="clear" w:color="auto" w:fill="CCECFF"/>
        <w:tabs>
          <w:tab w:val="clear" w:pos="850"/>
          <w:tab w:val="left" w:pos="567"/>
        </w:tabs>
        <w:spacing w:after="120"/>
        <w:ind w:left="567" w:hanging="567"/>
        <w:rPr>
          <w:rFonts w:asciiTheme="minorHAnsi" w:hAnsiTheme="minorHAnsi"/>
        </w:rPr>
      </w:pPr>
      <w:r w:rsidRPr="005A54C3">
        <w:rPr>
          <w:rFonts w:asciiTheme="minorHAnsi" w:hAnsiTheme="minorHAnsi"/>
        </w:rPr>
        <w:t>•</w:t>
      </w:r>
      <w:r w:rsidRPr="005A54C3">
        <w:rPr>
          <w:rFonts w:asciiTheme="minorHAnsi" w:hAnsiTheme="minorHAnsi"/>
        </w:rPr>
        <w:tab/>
      </w:r>
      <w:r>
        <w:rPr>
          <w:rFonts w:asciiTheme="minorHAnsi" w:hAnsiTheme="minorHAnsi"/>
        </w:rPr>
        <w:t>P</w:t>
      </w:r>
      <w:r w:rsidR="00DD305F" w:rsidRPr="00DD305F">
        <w:rPr>
          <w:rFonts w:asciiTheme="minorHAnsi" w:hAnsiTheme="minorHAnsi"/>
        </w:rPr>
        <w:t>erformance budgets are closely aligned to national performance frameworks, including strategic policy goals, developmental plans and sector strategies.</w:t>
      </w:r>
    </w:p>
    <w:p w:rsidR="00DD305F" w:rsidRPr="00DD305F" w:rsidRDefault="00B659B8" w:rsidP="00B659B8">
      <w:pPr>
        <w:pBdr>
          <w:top w:val="single" w:sz="4" w:space="1" w:color="auto"/>
          <w:left w:val="single" w:sz="4" w:space="4" w:color="auto"/>
          <w:bottom w:val="single" w:sz="4" w:space="9" w:color="auto"/>
          <w:right w:val="single" w:sz="4" w:space="4" w:color="auto"/>
        </w:pBdr>
        <w:shd w:val="clear" w:color="auto" w:fill="CCECFF"/>
        <w:tabs>
          <w:tab w:val="clear" w:pos="850"/>
          <w:tab w:val="left" w:pos="567"/>
        </w:tabs>
        <w:spacing w:after="120"/>
        <w:ind w:left="567" w:hanging="567"/>
        <w:rPr>
          <w:rFonts w:asciiTheme="minorHAnsi" w:hAnsiTheme="minorHAnsi"/>
        </w:rPr>
      </w:pPr>
      <w:r w:rsidRPr="005A54C3">
        <w:rPr>
          <w:rFonts w:asciiTheme="minorHAnsi" w:hAnsiTheme="minorHAnsi"/>
        </w:rPr>
        <w:t>•</w:t>
      </w:r>
      <w:r w:rsidRPr="005A54C3">
        <w:rPr>
          <w:rFonts w:asciiTheme="minorHAnsi" w:hAnsiTheme="minorHAnsi"/>
        </w:rPr>
        <w:tab/>
      </w:r>
      <w:r w:rsidR="00C54BDA">
        <w:rPr>
          <w:rFonts w:asciiTheme="minorHAnsi" w:hAnsiTheme="minorHAnsi"/>
        </w:rPr>
        <w:t xml:space="preserve">Medium </w:t>
      </w:r>
      <w:r w:rsidR="00DD305F" w:rsidRPr="00DD305F">
        <w:rPr>
          <w:rFonts w:asciiTheme="minorHAnsi" w:hAnsiTheme="minorHAnsi"/>
        </w:rPr>
        <w:t>term expenditure frameworks provide realistic parameters within which strategic plans are prepared, resourced and implemented.</w:t>
      </w:r>
    </w:p>
    <w:p w:rsidR="00DD305F" w:rsidRPr="00DD305F" w:rsidRDefault="00B659B8" w:rsidP="00B659B8">
      <w:pPr>
        <w:pBdr>
          <w:top w:val="single" w:sz="4" w:space="1" w:color="auto"/>
          <w:left w:val="single" w:sz="4" w:space="4" w:color="auto"/>
          <w:bottom w:val="single" w:sz="4" w:space="9" w:color="auto"/>
          <w:right w:val="single" w:sz="4" w:space="4" w:color="auto"/>
        </w:pBdr>
        <w:shd w:val="clear" w:color="auto" w:fill="CCECFF"/>
        <w:tabs>
          <w:tab w:val="clear" w:pos="850"/>
          <w:tab w:val="left" w:pos="567"/>
        </w:tabs>
        <w:spacing w:after="120"/>
        <w:ind w:left="567" w:hanging="567"/>
        <w:rPr>
          <w:rFonts w:asciiTheme="minorHAnsi" w:hAnsiTheme="minorHAnsi"/>
        </w:rPr>
      </w:pPr>
      <w:r w:rsidRPr="005A54C3">
        <w:rPr>
          <w:rFonts w:asciiTheme="minorHAnsi" w:hAnsiTheme="minorHAnsi"/>
        </w:rPr>
        <w:t>•</w:t>
      </w:r>
      <w:r w:rsidRPr="005A54C3">
        <w:rPr>
          <w:rFonts w:asciiTheme="minorHAnsi" w:hAnsiTheme="minorHAnsi"/>
        </w:rPr>
        <w:tab/>
      </w:r>
      <w:r w:rsidR="00DD305F" w:rsidRPr="00DD305F">
        <w:rPr>
          <w:rFonts w:asciiTheme="minorHAnsi" w:hAnsiTheme="minorHAnsi"/>
        </w:rPr>
        <w:t>Evidence based analysis of spending is used in conjunction with performance budgeting to improve the alignment of resources with policy priorities.</w:t>
      </w:r>
    </w:p>
    <w:p w:rsidR="00DD305F" w:rsidRPr="00DD305F" w:rsidRDefault="00B659B8" w:rsidP="00B659B8">
      <w:pPr>
        <w:pBdr>
          <w:top w:val="single" w:sz="4" w:space="1" w:color="auto"/>
          <w:left w:val="single" w:sz="4" w:space="4" w:color="auto"/>
          <w:bottom w:val="single" w:sz="4" w:space="9" w:color="auto"/>
          <w:right w:val="single" w:sz="4" w:space="4" w:color="auto"/>
        </w:pBdr>
        <w:shd w:val="clear" w:color="auto" w:fill="CCECFF"/>
        <w:tabs>
          <w:tab w:val="clear" w:pos="850"/>
          <w:tab w:val="left" w:pos="567"/>
        </w:tabs>
        <w:spacing w:after="120"/>
        <w:ind w:left="567" w:hanging="567"/>
        <w:rPr>
          <w:rFonts w:asciiTheme="minorHAnsi" w:hAnsiTheme="minorHAnsi"/>
        </w:rPr>
      </w:pPr>
      <w:r w:rsidRPr="005A54C3">
        <w:rPr>
          <w:rFonts w:asciiTheme="minorHAnsi" w:hAnsiTheme="minorHAnsi"/>
        </w:rPr>
        <w:t>•</w:t>
      </w:r>
      <w:r w:rsidRPr="005A54C3">
        <w:rPr>
          <w:rFonts w:asciiTheme="minorHAnsi" w:hAnsiTheme="minorHAnsi"/>
        </w:rPr>
        <w:tab/>
      </w:r>
      <w:r w:rsidR="00DD305F" w:rsidRPr="00DD305F">
        <w:rPr>
          <w:rFonts w:asciiTheme="minorHAnsi" w:hAnsiTheme="minorHAnsi"/>
        </w:rPr>
        <w:t>The centre of government works closely with the central budget authority to monitor adherence to priority policy goals, to coordinate actions across government agencies and to address constraints.</w:t>
      </w:r>
    </w:p>
    <w:p w:rsidR="00615BE9" w:rsidRDefault="008734B0" w:rsidP="00A4255D">
      <w:pPr>
        <w:pStyle w:val="BodyText"/>
        <w:rPr>
          <w:rFonts w:asciiTheme="minorHAnsi" w:hAnsiTheme="minorHAnsi"/>
        </w:rPr>
      </w:pPr>
      <w:r>
        <w:rPr>
          <w:rFonts w:asciiTheme="minorHAnsi" w:hAnsiTheme="minorHAnsi"/>
        </w:rPr>
        <w:t xml:space="preserve">A </w:t>
      </w:r>
      <w:r w:rsidR="00660117" w:rsidRPr="00A4255D">
        <w:rPr>
          <w:rFonts w:asciiTheme="minorHAnsi" w:hAnsiTheme="minorHAnsi"/>
        </w:rPr>
        <w:t>common</w:t>
      </w:r>
      <w:r w:rsidR="00EE64FE">
        <w:rPr>
          <w:rFonts w:asciiTheme="minorHAnsi" w:hAnsiTheme="minorHAnsi"/>
        </w:rPr>
        <w:t xml:space="preserve">ly cited </w:t>
      </w:r>
      <w:r w:rsidR="00660117" w:rsidRPr="00A4255D">
        <w:rPr>
          <w:rFonts w:asciiTheme="minorHAnsi" w:hAnsiTheme="minorHAnsi"/>
        </w:rPr>
        <w:t>reason</w:t>
      </w:r>
      <w:r w:rsidR="00EE64FE">
        <w:rPr>
          <w:rFonts w:asciiTheme="minorHAnsi" w:hAnsiTheme="minorHAnsi"/>
        </w:rPr>
        <w:t xml:space="preserve"> </w:t>
      </w:r>
      <w:r w:rsidR="00660117" w:rsidRPr="00A4255D">
        <w:rPr>
          <w:rFonts w:asciiTheme="minorHAnsi" w:hAnsiTheme="minorHAnsi"/>
        </w:rPr>
        <w:t xml:space="preserve">for introducing a performance budgeting system is to strengthen the alignment </w:t>
      </w:r>
      <w:r>
        <w:rPr>
          <w:rFonts w:asciiTheme="minorHAnsi" w:hAnsiTheme="minorHAnsi"/>
        </w:rPr>
        <w:t>between t</w:t>
      </w:r>
      <w:r w:rsidR="00660117" w:rsidRPr="00A4255D">
        <w:rPr>
          <w:rFonts w:asciiTheme="minorHAnsi" w:hAnsiTheme="minorHAnsi"/>
        </w:rPr>
        <w:t xml:space="preserve">he budget </w:t>
      </w:r>
      <w:r>
        <w:rPr>
          <w:rFonts w:asciiTheme="minorHAnsi" w:hAnsiTheme="minorHAnsi"/>
        </w:rPr>
        <w:t xml:space="preserve">and the </w:t>
      </w:r>
      <w:r w:rsidR="00660117" w:rsidRPr="00A4255D">
        <w:rPr>
          <w:rFonts w:asciiTheme="minorHAnsi" w:hAnsiTheme="minorHAnsi"/>
        </w:rPr>
        <w:t>government</w:t>
      </w:r>
      <w:r>
        <w:rPr>
          <w:rFonts w:asciiTheme="minorHAnsi" w:hAnsiTheme="minorHAnsi"/>
        </w:rPr>
        <w:t>’s</w:t>
      </w:r>
      <w:r w:rsidR="00DE5FA9">
        <w:rPr>
          <w:rFonts w:asciiTheme="minorHAnsi" w:hAnsiTheme="minorHAnsi"/>
        </w:rPr>
        <w:t xml:space="preserve"> policy priorities. </w:t>
      </w:r>
      <w:r>
        <w:rPr>
          <w:rFonts w:asciiTheme="minorHAnsi" w:hAnsiTheme="minorHAnsi"/>
        </w:rPr>
        <w:t>The expression of policy priorities typically takes different forms in different countries and may be captured in multiple (not necessar</w:t>
      </w:r>
      <w:r w:rsidR="0046141F">
        <w:rPr>
          <w:rFonts w:asciiTheme="minorHAnsi" w:hAnsiTheme="minorHAnsi"/>
        </w:rPr>
        <w:t xml:space="preserve">ily consistent) documents. </w:t>
      </w:r>
      <w:r w:rsidR="001C27A9">
        <w:rPr>
          <w:rFonts w:asciiTheme="minorHAnsi" w:hAnsiTheme="minorHAnsi"/>
        </w:rPr>
        <w:t xml:space="preserve">For example, they </w:t>
      </w:r>
      <w:r>
        <w:rPr>
          <w:rFonts w:asciiTheme="minorHAnsi" w:hAnsiTheme="minorHAnsi"/>
        </w:rPr>
        <w:t xml:space="preserve">may </w:t>
      </w:r>
      <w:r w:rsidR="001F73DD">
        <w:rPr>
          <w:rFonts w:asciiTheme="minorHAnsi" w:hAnsiTheme="minorHAnsi"/>
        </w:rPr>
        <w:t xml:space="preserve">be expressed </w:t>
      </w:r>
      <w:r w:rsidR="002E6E2F">
        <w:rPr>
          <w:rFonts w:asciiTheme="minorHAnsi" w:hAnsiTheme="minorHAnsi"/>
        </w:rPr>
        <w:t xml:space="preserve">in </w:t>
      </w:r>
      <w:r w:rsidRPr="00A4255D">
        <w:rPr>
          <w:rFonts w:asciiTheme="minorHAnsi" w:hAnsiTheme="minorHAnsi"/>
        </w:rPr>
        <w:t xml:space="preserve">government election pledges, </w:t>
      </w:r>
      <w:r w:rsidR="002E6E2F">
        <w:rPr>
          <w:rFonts w:asciiTheme="minorHAnsi" w:hAnsiTheme="minorHAnsi"/>
        </w:rPr>
        <w:t xml:space="preserve">set out in </w:t>
      </w:r>
      <w:r w:rsidRPr="00A4255D">
        <w:rPr>
          <w:rFonts w:asciiTheme="minorHAnsi" w:hAnsiTheme="minorHAnsi"/>
        </w:rPr>
        <w:t xml:space="preserve">national development </w:t>
      </w:r>
      <w:r>
        <w:rPr>
          <w:rFonts w:asciiTheme="minorHAnsi" w:hAnsiTheme="minorHAnsi"/>
        </w:rPr>
        <w:t>plans</w:t>
      </w:r>
      <w:r w:rsidR="002E6E2F">
        <w:rPr>
          <w:rFonts w:asciiTheme="minorHAnsi" w:hAnsiTheme="minorHAnsi"/>
        </w:rPr>
        <w:t xml:space="preserve"> or </w:t>
      </w:r>
      <w:r w:rsidR="001C27A9">
        <w:rPr>
          <w:rFonts w:asciiTheme="minorHAnsi" w:hAnsiTheme="minorHAnsi"/>
        </w:rPr>
        <w:t xml:space="preserve">developed </w:t>
      </w:r>
      <w:r w:rsidR="002E6E2F">
        <w:rPr>
          <w:rFonts w:asciiTheme="minorHAnsi" w:hAnsiTheme="minorHAnsi"/>
        </w:rPr>
        <w:t xml:space="preserve">in policies and </w:t>
      </w:r>
      <w:r w:rsidRPr="00A4255D">
        <w:rPr>
          <w:rFonts w:asciiTheme="minorHAnsi" w:hAnsiTheme="minorHAnsi"/>
        </w:rPr>
        <w:t>strategies</w:t>
      </w:r>
      <w:r w:rsidR="002E6E2F">
        <w:rPr>
          <w:rFonts w:asciiTheme="minorHAnsi" w:hAnsiTheme="minorHAnsi"/>
        </w:rPr>
        <w:t xml:space="preserve"> </w:t>
      </w:r>
      <w:r w:rsidR="001C27A9">
        <w:rPr>
          <w:rFonts w:asciiTheme="minorHAnsi" w:hAnsiTheme="minorHAnsi"/>
        </w:rPr>
        <w:t xml:space="preserve">and laws relating to specific </w:t>
      </w:r>
      <w:r w:rsidR="002E6E2F">
        <w:rPr>
          <w:rFonts w:asciiTheme="minorHAnsi" w:hAnsiTheme="minorHAnsi"/>
        </w:rPr>
        <w:t>sector</w:t>
      </w:r>
      <w:r w:rsidR="001C27A9">
        <w:rPr>
          <w:rFonts w:asciiTheme="minorHAnsi" w:hAnsiTheme="minorHAnsi"/>
        </w:rPr>
        <w:t>s</w:t>
      </w:r>
      <w:r w:rsidR="00383ED0">
        <w:rPr>
          <w:rFonts w:asciiTheme="minorHAnsi" w:hAnsiTheme="minorHAnsi"/>
        </w:rPr>
        <w:t>.</w:t>
      </w:r>
    </w:p>
    <w:p w:rsidR="00660117" w:rsidRPr="00A4255D" w:rsidRDefault="006C4CF2" w:rsidP="002E6E2F">
      <w:pPr>
        <w:pStyle w:val="BodyText"/>
        <w:rPr>
          <w:rFonts w:asciiTheme="minorHAnsi" w:hAnsiTheme="minorHAnsi"/>
        </w:rPr>
      </w:pPr>
      <w:r>
        <w:rPr>
          <w:rFonts w:asciiTheme="minorHAnsi" w:hAnsiTheme="minorHAnsi"/>
        </w:rPr>
        <w:t>I</w:t>
      </w:r>
      <w:r w:rsidR="009B23A2">
        <w:rPr>
          <w:rFonts w:asciiTheme="minorHAnsi" w:hAnsiTheme="minorHAnsi"/>
        </w:rPr>
        <w:t xml:space="preserve">t should not </w:t>
      </w:r>
      <w:r>
        <w:rPr>
          <w:rFonts w:asciiTheme="minorHAnsi" w:hAnsiTheme="minorHAnsi"/>
        </w:rPr>
        <w:t xml:space="preserve">be assumed </w:t>
      </w:r>
      <w:r w:rsidR="002E6E2F">
        <w:rPr>
          <w:rFonts w:asciiTheme="minorHAnsi" w:hAnsiTheme="minorHAnsi"/>
        </w:rPr>
        <w:t xml:space="preserve">that </w:t>
      </w:r>
      <w:r w:rsidR="00CD7C10">
        <w:rPr>
          <w:rFonts w:asciiTheme="minorHAnsi" w:hAnsiTheme="minorHAnsi"/>
        </w:rPr>
        <w:t xml:space="preserve">national </w:t>
      </w:r>
      <w:r w:rsidR="002E6E2F">
        <w:rPr>
          <w:rFonts w:asciiTheme="minorHAnsi" w:hAnsiTheme="minorHAnsi"/>
        </w:rPr>
        <w:t xml:space="preserve">strategic planning processes </w:t>
      </w:r>
      <w:r w:rsidR="00CD7C10">
        <w:rPr>
          <w:rFonts w:asciiTheme="minorHAnsi" w:hAnsiTheme="minorHAnsi"/>
        </w:rPr>
        <w:t xml:space="preserve">exist or </w:t>
      </w:r>
      <w:r w:rsidR="00383ED0">
        <w:rPr>
          <w:rFonts w:asciiTheme="minorHAnsi" w:hAnsiTheme="minorHAnsi"/>
        </w:rPr>
        <w:t>function well. Figure </w:t>
      </w:r>
      <w:r w:rsidR="00002EE1">
        <w:rPr>
          <w:rFonts w:asciiTheme="minorHAnsi" w:hAnsiTheme="minorHAnsi"/>
        </w:rPr>
        <w:t>3</w:t>
      </w:r>
      <w:r w:rsidR="00CD7C10" w:rsidRPr="00A4255D">
        <w:rPr>
          <w:rFonts w:asciiTheme="minorHAnsi" w:hAnsiTheme="minorHAnsi"/>
        </w:rPr>
        <w:t xml:space="preserve"> </w:t>
      </w:r>
      <w:proofErr w:type="gramStart"/>
      <w:r w:rsidR="00B82CA6">
        <w:rPr>
          <w:rFonts w:asciiTheme="minorHAnsi" w:hAnsiTheme="minorHAnsi"/>
        </w:rPr>
        <w:t>shows</w:t>
      </w:r>
      <w:proofErr w:type="gramEnd"/>
      <w:r w:rsidR="00B82CA6">
        <w:rPr>
          <w:rFonts w:asciiTheme="minorHAnsi" w:hAnsiTheme="minorHAnsi"/>
        </w:rPr>
        <w:t xml:space="preserve"> that few </w:t>
      </w:r>
      <w:r w:rsidR="00CD7C10" w:rsidRPr="00A4255D">
        <w:rPr>
          <w:rFonts w:asciiTheme="minorHAnsi" w:hAnsiTheme="minorHAnsi"/>
        </w:rPr>
        <w:t xml:space="preserve">OECD countries </w:t>
      </w:r>
      <w:r w:rsidR="00B82CA6">
        <w:rPr>
          <w:rFonts w:asciiTheme="minorHAnsi" w:hAnsiTheme="minorHAnsi"/>
        </w:rPr>
        <w:t xml:space="preserve">have </w:t>
      </w:r>
      <w:r w:rsidR="00CD7C10" w:rsidRPr="00A4255D">
        <w:rPr>
          <w:rFonts w:asciiTheme="minorHAnsi" w:hAnsiTheme="minorHAnsi"/>
        </w:rPr>
        <w:t>a</w:t>
      </w:r>
      <w:r w:rsidR="00B82CA6">
        <w:rPr>
          <w:rFonts w:asciiTheme="minorHAnsi" w:hAnsiTheme="minorHAnsi"/>
        </w:rPr>
        <w:t xml:space="preserve"> comprehensive </w:t>
      </w:r>
      <w:r w:rsidR="00CD7C10" w:rsidRPr="00A4255D">
        <w:rPr>
          <w:rFonts w:asciiTheme="minorHAnsi" w:hAnsiTheme="minorHAnsi"/>
        </w:rPr>
        <w:t>national performance framework</w:t>
      </w:r>
      <w:r w:rsidR="00B82CA6">
        <w:rPr>
          <w:rFonts w:asciiTheme="minorHAnsi" w:hAnsiTheme="minorHAnsi"/>
        </w:rPr>
        <w:t xml:space="preserve">. </w:t>
      </w:r>
      <w:r w:rsidR="00A26C09" w:rsidRPr="00A4255D">
        <w:rPr>
          <w:rFonts w:asciiTheme="minorHAnsi" w:hAnsiTheme="minorHAnsi"/>
        </w:rPr>
        <w:t xml:space="preserve">In practice, </w:t>
      </w:r>
      <w:r w:rsidR="00A26C09">
        <w:rPr>
          <w:rFonts w:asciiTheme="minorHAnsi" w:hAnsiTheme="minorHAnsi"/>
        </w:rPr>
        <w:t>strategic</w:t>
      </w:r>
      <w:r w:rsidR="00A26C09" w:rsidRPr="00A4255D">
        <w:rPr>
          <w:rFonts w:asciiTheme="minorHAnsi" w:hAnsiTheme="minorHAnsi"/>
        </w:rPr>
        <w:t xml:space="preserve"> </w:t>
      </w:r>
      <w:r w:rsidR="00A26C09">
        <w:rPr>
          <w:rFonts w:asciiTheme="minorHAnsi" w:hAnsiTheme="minorHAnsi"/>
        </w:rPr>
        <w:t>planning and budgeting often exist in parallel universes</w:t>
      </w:r>
      <w:r w:rsidR="00C54BDA">
        <w:rPr>
          <w:rFonts w:asciiTheme="minorHAnsi" w:hAnsiTheme="minorHAnsi"/>
        </w:rPr>
        <w:t>,</w:t>
      </w:r>
      <w:r w:rsidR="00A26C09">
        <w:rPr>
          <w:rFonts w:asciiTheme="minorHAnsi" w:hAnsiTheme="minorHAnsi"/>
        </w:rPr>
        <w:t xml:space="preserve"> in which national strategic plans are developed without reference to resource constraints and budgets are developed without reference t</w:t>
      </w:r>
      <w:r w:rsidR="00383ED0">
        <w:rPr>
          <w:rFonts w:asciiTheme="minorHAnsi" w:hAnsiTheme="minorHAnsi"/>
        </w:rPr>
        <w:t xml:space="preserve">o strategic policy objectives. </w:t>
      </w:r>
      <w:r w:rsidR="00B82CA6">
        <w:rPr>
          <w:rFonts w:asciiTheme="minorHAnsi" w:hAnsiTheme="minorHAnsi"/>
        </w:rPr>
        <w:t>T</w:t>
      </w:r>
      <w:r w:rsidR="002E6E2F">
        <w:rPr>
          <w:rFonts w:asciiTheme="minorHAnsi" w:hAnsiTheme="minorHAnsi"/>
        </w:rPr>
        <w:t xml:space="preserve">he introduction of performance budgeting often </w:t>
      </w:r>
      <w:r w:rsidR="00C54BDA">
        <w:rPr>
          <w:rFonts w:asciiTheme="minorHAnsi" w:hAnsiTheme="minorHAnsi"/>
        </w:rPr>
        <w:t xml:space="preserve">exposes </w:t>
      </w:r>
      <w:r w:rsidR="00A26C09">
        <w:rPr>
          <w:rFonts w:asciiTheme="minorHAnsi" w:hAnsiTheme="minorHAnsi"/>
        </w:rPr>
        <w:t>inadequacies in planning</w:t>
      </w:r>
      <w:r w:rsidR="002E6E2F">
        <w:rPr>
          <w:rFonts w:asciiTheme="minorHAnsi" w:hAnsiTheme="minorHAnsi"/>
        </w:rPr>
        <w:t xml:space="preserve">, </w:t>
      </w:r>
      <w:r w:rsidR="00A26C09">
        <w:rPr>
          <w:rFonts w:asciiTheme="minorHAnsi" w:hAnsiTheme="minorHAnsi"/>
        </w:rPr>
        <w:t xml:space="preserve">including </w:t>
      </w:r>
      <w:r w:rsidR="002E6E2F">
        <w:rPr>
          <w:rFonts w:asciiTheme="minorHAnsi" w:hAnsiTheme="minorHAnsi"/>
        </w:rPr>
        <w:t xml:space="preserve">lack of clarity </w:t>
      </w:r>
      <w:r w:rsidR="009B23A2">
        <w:rPr>
          <w:rFonts w:asciiTheme="minorHAnsi" w:hAnsiTheme="minorHAnsi"/>
        </w:rPr>
        <w:t xml:space="preserve">in respect </w:t>
      </w:r>
      <w:r w:rsidR="002E6E2F">
        <w:rPr>
          <w:rFonts w:asciiTheme="minorHAnsi" w:hAnsiTheme="minorHAnsi"/>
        </w:rPr>
        <w:t>o</w:t>
      </w:r>
      <w:r w:rsidR="009B23A2">
        <w:rPr>
          <w:rFonts w:asciiTheme="minorHAnsi" w:hAnsiTheme="minorHAnsi"/>
        </w:rPr>
        <w:t>f</w:t>
      </w:r>
      <w:r w:rsidR="002E6E2F">
        <w:rPr>
          <w:rFonts w:asciiTheme="minorHAnsi" w:hAnsiTheme="minorHAnsi"/>
        </w:rPr>
        <w:t xml:space="preserve"> priorities, overlapping </w:t>
      </w:r>
      <w:r w:rsidR="00B82CA6">
        <w:rPr>
          <w:rFonts w:asciiTheme="minorHAnsi" w:hAnsiTheme="minorHAnsi"/>
        </w:rPr>
        <w:t xml:space="preserve">or </w:t>
      </w:r>
      <w:r w:rsidR="002E6E2F">
        <w:rPr>
          <w:rFonts w:asciiTheme="minorHAnsi" w:hAnsiTheme="minorHAnsi"/>
        </w:rPr>
        <w:t>inconsistent plans</w:t>
      </w:r>
      <w:r w:rsidR="009B23A2">
        <w:rPr>
          <w:rFonts w:asciiTheme="minorHAnsi" w:hAnsiTheme="minorHAnsi"/>
        </w:rPr>
        <w:t>,</w:t>
      </w:r>
      <w:r w:rsidR="002E6E2F">
        <w:rPr>
          <w:rFonts w:asciiTheme="minorHAnsi" w:hAnsiTheme="minorHAnsi"/>
        </w:rPr>
        <w:t xml:space="preserve"> and </w:t>
      </w:r>
      <w:r w:rsidR="001C27A9">
        <w:rPr>
          <w:rFonts w:asciiTheme="minorHAnsi" w:hAnsiTheme="minorHAnsi"/>
        </w:rPr>
        <w:t>poorly formulated indicators</w:t>
      </w:r>
      <w:r w:rsidR="00914185">
        <w:rPr>
          <w:rFonts w:asciiTheme="minorHAnsi" w:hAnsiTheme="minorHAnsi"/>
        </w:rPr>
        <w:t xml:space="preserve"> and targets</w:t>
      </w:r>
      <w:r w:rsidR="00A26C09">
        <w:rPr>
          <w:rFonts w:asciiTheme="minorHAnsi" w:hAnsiTheme="minorHAnsi"/>
        </w:rPr>
        <w:t>.</w:t>
      </w:r>
      <w:r w:rsidR="001C27A9">
        <w:rPr>
          <w:rFonts w:asciiTheme="minorHAnsi" w:hAnsiTheme="minorHAnsi"/>
        </w:rPr>
        <w:t xml:space="preserve"> Therefore, in order to make the performance budgeting system work effectively, the government may need to improve the quality of planning </w:t>
      </w:r>
      <w:r>
        <w:rPr>
          <w:rFonts w:asciiTheme="minorHAnsi" w:hAnsiTheme="minorHAnsi"/>
        </w:rPr>
        <w:t xml:space="preserve">and develop processes </w:t>
      </w:r>
      <w:r w:rsidR="009B23A2">
        <w:rPr>
          <w:rFonts w:asciiTheme="minorHAnsi" w:hAnsiTheme="minorHAnsi"/>
        </w:rPr>
        <w:t xml:space="preserve">that </w:t>
      </w:r>
      <w:r w:rsidR="00914185">
        <w:rPr>
          <w:rFonts w:asciiTheme="minorHAnsi" w:hAnsiTheme="minorHAnsi"/>
        </w:rPr>
        <w:t xml:space="preserve">improve the </w:t>
      </w:r>
      <w:r>
        <w:rPr>
          <w:rFonts w:asciiTheme="minorHAnsi" w:hAnsiTheme="minorHAnsi"/>
        </w:rPr>
        <w:t>link</w:t>
      </w:r>
      <w:r w:rsidR="00914185">
        <w:rPr>
          <w:rFonts w:asciiTheme="minorHAnsi" w:hAnsiTheme="minorHAnsi"/>
        </w:rPr>
        <w:t>s between</w:t>
      </w:r>
      <w:r>
        <w:rPr>
          <w:rFonts w:asciiTheme="minorHAnsi" w:hAnsiTheme="minorHAnsi"/>
        </w:rPr>
        <w:t xml:space="preserve"> planning and b</w:t>
      </w:r>
      <w:r w:rsidR="00914185">
        <w:rPr>
          <w:rFonts w:asciiTheme="minorHAnsi" w:hAnsiTheme="minorHAnsi"/>
        </w:rPr>
        <w:t>udgeting</w:t>
      </w:r>
      <w:r>
        <w:rPr>
          <w:rFonts w:asciiTheme="minorHAnsi" w:hAnsiTheme="minorHAnsi"/>
        </w:rPr>
        <w:t>.</w:t>
      </w:r>
    </w:p>
    <w:p w:rsidR="00660117" w:rsidRPr="00A4255D" w:rsidRDefault="00660117" w:rsidP="00A4255D">
      <w:pPr>
        <w:pStyle w:val="BodyText"/>
        <w:rPr>
          <w:rFonts w:asciiTheme="minorHAnsi" w:hAnsiTheme="minorHAnsi"/>
        </w:rPr>
      </w:pPr>
      <w:r w:rsidRPr="00A4255D">
        <w:rPr>
          <w:rFonts w:asciiTheme="minorHAnsi" w:hAnsiTheme="minorHAnsi"/>
        </w:rPr>
        <w:t xml:space="preserve">In contrast </w:t>
      </w:r>
      <w:r w:rsidR="00C54BDA">
        <w:rPr>
          <w:rFonts w:asciiTheme="minorHAnsi" w:hAnsiTheme="minorHAnsi"/>
        </w:rPr>
        <w:t xml:space="preserve">to national performance frameworks, </w:t>
      </w:r>
      <w:r w:rsidRPr="00A4255D">
        <w:rPr>
          <w:rFonts w:asciiTheme="minorHAnsi" w:hAnsiTheme="minorHAnsi"/>
        </w:rPr>
        <w:t xml:space="preserve">medium term expenditure frameworks </w:t>
      </w:r>
      <w:r w:rsidR="00C54BDA">
        <w:rPr>
          <w:rFonts w:asciiTheme="minorHAnsi" w:hAnsiTheme="minorHAnsi"/>
        </w:rPr>
        <w:t xml:space="preserve">(MTEF) </w:t>
      </w:r>
      <w:r w:rsidRPr="00A4255D">
        <w:rPr>
          <w:rFonts w:asciiTheme="minorHAnsi" w:hAnsiTheme="minorHAnsi"/>
        </w:rPr>
        <w:t>are more extensively used, with 88% of OECD countries reporting that they used MTEF.</w:t>
      </w:r>
    </w:p>
    <w:p w:rsidR="00660117" w:rsidRPr="00A4255D" w:rsidRDefault="00660117" w:rsidP="00C12136">
      <w:pPr>
        <w:keepNext/>
        <w:spacing w:before="240" w:after="120"/>
        <w:ind w:firstLine="720"/>
        <w:jc w:val="center"/>
        <w:rPr>
          <w:rFonts w:asciiTheme="minorHAnsi" w:hAnsiTheme="minorHAnsi" w:cs="Arial"/>
          <w:b/>
          <w:bCs/>
          <w:color w:val="000000"/>
        </w:rPr>
      </w:pPr>
      <w:r w:rsidRPr="00A4255D">
        <w:rPr>
          <w:rFonts w:asciiTheme="minorHAnsi" w:hAnsiTheme="minorHAnsi" w:cs="Arial"/>
          <w:b/>
          <w:bCs/>
          <w:color w:val="000000"/>
        </w:rPr>
        <w:lastRenderedPageBreak/>
        <w:t>Figur</w:t>
      </w:r>
      <w:r w:rsidR="00DE5FA9">
        <w:rPr>
          <w:rFonts w:asciiTheme="minorHAnsi" w:hAnsiTheme="minorHAnsi" w:cs="Arial"/>
          <w:b/>
          <w:bCs/>
          <w:color w:val="000000"/>
        </w:rPr>
        <w:t>e 3</w:t>
      </w:r>
      <w:r w:rsidR="00C12136">
        <w:rPr>
          <w:rFonts w:asciiTheme="minorHAnsi" w:hAnsiTheme="minorHAnsi" w:cs="Arial"/>
          <w:b/>
          <w:bCs/>
          <w:color w:val="000000"/>
        </w:rPr>
        <w:t xml:space="preserve"> -- </w:t>
      </w:r>
      <w:r w:rsidRPr="00A4255D">
        <w:rPr>
          <w:rFonts w:asciiTheme="minorHAnsi" w:hAnsiTheme="minorHAnsi" w:cs="Arial"/>
          <w:b/>
          <w:bCs/>
          <w:color w:val="000000"/>
        </w:rPr>
        <w:t>What Elements of the National Performance Framework are in Place</w:t>
      </w:r>
      <w:r w:rsidR="00C12136">
        <w:rPr>
          <w:rFonts w:asciiTheme="minorHAnsi" w:hAnsiTheme="minorHAnsi" w:cs="Arial"/>
          <w:b/>
          <w:bCs/>
          <w:color w:val="000000"/>
        </w:rPr>
        <w:t>?</w:t>
      </w:r>
      <w:r w:rsidR="00C12136">
        <w:rPr>
          <w:rFonts w:asciiTheme="minorHAnsi" w:hAnsiTheme="minorHAnsi" w:cs="Arial"/>
          <w:b/>
          <w:bCs/>
          <w:color w:val="000000"/>
        </w:rPr>
        <w:br/>
      </w:r>
      <w:r w:rsidRPr="00A4255D">
        <w:rPr>
          <w:rFonts w:asciiTheme="minorHAnsi" w:hAnsiTheme="minorHAnsi" w:cs="Arial"/>
          <w:b/>
          <w:bCs/>
          <w:color w:val="000000"/>
        </w:rPr>
        <w:t>(</w:t>
      </w:r>
      <w:proofErr w:type="gramStart"/>
      <w:r w:rsidRPr="00A4255D">
        <w:rPr>
          <w:rFonts w:asciiTheme="minorHAnsi" w:hAnsiTheme="minorHAnsi" w:cs="Arial"/>
          <w:b/>
          <w:bCs/>
          <w:color w:val="000000"/>
        </w:rPr>
        <w:t>number</w:t>
      </w:r>
      <w:proofErr w:type="gramEnd"/>
      <w:r w:rsidRPr="00A4255D">
        <w:rPr>
          <w:rFonts w:asciiTheme="minorHAnsi" w:hAnsiTheme="minorHAnsi" w:cs="Arial"/>
          <w:b/>
          <w:bCs/>
          <w:color w:val="000000"/>
        </w:rPr>
        <w:t xml:space="preserve"> of countries)</w:t>
      </w:r>
    </w:p>
    <w:p w:rsidR="00660117" w:rsidRPr="00A4255D" w:rsidRDefault="00660117" w:rsidP="00C12136">
      <w:pPr>
        <w:jc w:val="center"/>
        <w:rPr>
          <w:rFonts w:asciiTheme="minorHAnsi" w:hAnsiTheme="minorHAnsi"/>
        </w:rPr>
      </w:pPr>
      <w:r w:rsidRPr="00A4255D">
        <w:rPr>
          <w:rFonts w:asciiTheme="minorHAnsi" w:hAnsiTheme="minorHAnsi"/>
          <w:noProof/>
          <w:lang w:eastAsia="en-GB"/>
        </w:rPr>
        <w:drawing>
          <wp:inline distT="0" distB="0" distL="0" distR="0" wp14:anchorId="714D316E" wp14:editId="396E451E">
            <wp:extent cx="4834219" cy="382120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60117" w:rsidRPr="00A4255D" w:rsidRDefault="00504A4E" w:rsidP="000F5842">
      <w:pPr>
        <w:pStyle w:val="BodyText"/>
        <w:spacing w:before="240"/>
        <w:rPr>
          <w:rFonts w:asciiTheme="minorHAnsi" w:hAnsiTheme="minorHAnsi"/>
        </w:rPr>
      </w:pPr>
      <w:r>
        <w:rPr>
          <w:rFonts w:asciiTheme="minorHAnsi" w:hAnsiTheme="minorHAnsi"/>
        </w:rPr>
        <w:t>M</w:t>
      </w:r>
      <w:r w:rsidR="00660117" w:rsidRPr="00A4255D">
        <w:rPr>
          <w:rFonts w:asciiTheme="minorHAnsi" w:hAnsiTheme="minorHAnsi"/>
        </w:rPr>
        <w:t xml:space="preserve">edium term expenditure frameworks </w:t>
      </w:r>
      <w:r>
        <w:rPr>
          <w:rFonts w:asciiTheme="minorHAnsi" w:hAnsiTheme="minorHAnsi"/>
        </w:rPr>
        <w:t xml:space="preserve">(MTEF) </w:t>
      </w:r>
      <w:r w:rsidR="00914185">
        <w:rPr>
          <w:rFonts w:asciiTheme="minorHAnsi" w:hAnsiTheme="minorHAnsi"/>
        </w:rPr>
        <w:t xml:space="preserve">and a top down budgeting approach are usually found in countries with </w:t>
      </w:r>
      <w:r w:rsidR="00C54BDA">
        <w:rPr>
          <w:rFonts w:asciiTheme="minorHAnsi" w:hAnsiTheme="minorHAnsi"/>
        </w:rPr>
        <w:t>good</w:t>
      </w:r>
      <w:r w:rsidR="00914185">
        <w:rPr>
          <w:rFonts w:asciiTheme="minorHAnsi" w:hAnsiTheme="minorHAnsi"/>
        </w:rPr>
        <w:t xml:space="preserve"> </w:t>
      </w:r>
      <w:r w:rsidR="00660117" w:rsidRPr="00A4255D">
        <w:rPr>
          <w:rFonts w:asciiTheme="minorHAnsi" w:hAnsiTheme="minorHAnsi"/>
        </w:rPr>
        <w:t>performance budgeting</w:t>
      </w:r>
      <w:r w:rsidR="00914185">
        <w:rPr>
          <w:rFonts w:asciiTheme="minorHAnsi" w:hAnsiTheme="minorHAnsi"/>
        </w:rPr>
        <w:t xml:space="preserve"> practice</w:t>
      </w:r>
      <w:r w:rsidR="00C54BDA">
        <w:rPr>
          <w:rFonts w:asciiTheme="minorHAnsi" w:hAnsiTheme="minorHAnsi"/>
        </w:rPr>
        <w:t>s</w:t>
      </w:r>
      <w:r w:rsidR="00383ED0">
        <w:rPr>
          <w:rFonts w:asciiTheme="minorHAnsi" w:hAnsiTheme="minorHAnsi"/>
        </w:rPr>
        <w:t xml:space="preserve">. </w:t>
      </w:r>
      <w:r w:rsidR="00660117" w:rsidRPr="00A4255D">
        <w:rPr>
          <w:rFonts w:asciiTheme="minorHAnsi" w:hAnsiTheme="minorHAnsi"/>
        </w:rPr>
        <w:t xml:space="preserve">A sound </w:t>
      </w:r>
      <w:r w:rsidR="00383ED0">
        <w:rPr>
          <w:rFonts w:asciiTheme="minorHAnsi" w:hAnsiTheme="minorHAnsi"/>
        </w:rPr>
        <w:t>MTEF</w:t>
      </w:r>
      <w:r w:rsidR="00660117" w:rsidRPr="00A4255D">
        <w:rPr>
          <w:rFonts w:asciiTheme="minorHAnsi" w:hAnsiTheme="minorHAnsi"/>
        </w:rPr>
        <w:t xml:space="preserve"> is based on prudent assumptions about revenues and expenditures and provides stable parameters for ministries to </w:t>
      </w:r>
      <w:r w:rsidR="00383ED0">
        <w:rPr>
          <w:rFonts w:asciiTheme="minorHAnsi" w:hAnsiTheme="minorHAnsi"/>
        </w:rPr>
        <w:t xml:space="preserve">prepare their budget </w:t>
      </w:r>
      <w:r w:rsidR="0048423A">
        <w:rPr>
          <w:rFonts w:asciiTheme="minorHAnsi" w:hAnsiTheme="minorHAnsi"/>
        </w:rPr>
        <w:t>programmes</w:t>
      </w:r>
      <w:r w:rsidR="00383ED0">
        <w:rPr>
          <w:rFonts w:asciiTheme="minorHAnsi" w:hAnsiTheme="minorHAnsi"/>
        </w:rPr>
        <w:t xml:space="preserve">. </w:t>
      </w:r>
      <w:r w:rsidR="00914185">
        <w:rPr>
          <w:rFonts w:asciiTheme="minorHAnsi" w:hAnsiTheme="minorHAnsi"/>
        </w:rPr>
        <w:t xml:space="preserve">The </w:t>
      </w:r>
      <w:r w:rsidR="00660117" w:rsidRPr="00A4255D">
        <w:rPr>
          <w:rFonts w:asciiTheme="minorHAnsi" w:hAnsiTheme="minorHAnsi"/>
        </w:rPr>
        <w:t>M</w:t>
      </w:r>
      <w:r w:rsidR="00914185">
        <w:rPr>
          <w:rFonts w:asciiTheme="minorHAnsi" w:hAnsiTheme="minorHAnsi"/>
        </w:rPr>
        <w:t xml:space="preserve">TEF process </w:t>
      </w:r>
      <w:r w:rsidR="00660117" w:rsidRPr="00A4255D">
        <w:rPr>
          <w:rFonts w:asciiTheme="minorHAnsi" w:hAnsiTheme="minorHAnsi"/>
        </w:rPr>
        <w:t>should relate expenditure allocations to policy priorities and form the basis for strategic re-allocation of resources.  The MTEF may therefore be seen as the first stage of the performance budgeting process</w:t>
      </w:r>
      <w:r w:rsidR="00C54BDA">
        <w:rPr>
          <w:rFonts w:asciiTheme="minorHAnsi" w:hAnsiTheme="minorHAnsi"/>
        </w:rPr>
        <w:t>.</w:t>
      </w:r>
    </w:p>
    <w:p w:rsidR="00660117" w:rsidRPr="00A4255D" w:rsidRDefault="007D5F9B" w:rsidP="00914228">
      <w:pPr>
        <w:pStyle w:val="BodyText"/>
        <w:rPr>
          <w:rFonts w:asciiTheme="minorHAnsi" w:hAnsiTheme="minorHAnsi"/>
        </w:rPr>
      </w:pPr>
      <w:r>
        <w:rPr>
          <w:rFonts w:asciiTheme="minorHAnsi" w:hAnsiTheme="minorHAnsi"/>
        </w:rPr>
        <w:t>Evidence based analysis</w:t>
      </w:r>
      <w:r w:rsidR="00660117" w:rsidRPr="00A4255D">
        <w:rPr>
          <w:rFonts w:asciiTheme="minorHAnsi" w:hAnsiTheme="minorHAnsi"/>
        </w:rPr>
        <w:t xml:space="preserve"> </w:t>
      </w:r>
      <w:r>
        <w:rPr>
          <w:rFonts w:asciiTheme="minorHAnsi" w:hAnsiTheme="minorHAnsi"/>
        </w:rPr>
        <w:t xml:space="preserve">of spending </w:t>
      </w:r>
      <w:r w:rsidR="0090328E">
        <w:rPr>
          <w:rFonts w:asciiTheme="minorHAnsi" w:hAnsiTheme="minorHAnsi"/>
        </w:rPr>
        <w:t>programmes</w:t>
      </w:r>
      <w:r>
        <w:rPr>
          <w:rFonts w:asciiTheme="minorHAnsi" w:hAnsiTheme="minorHAnsi"/>
        </w:rPr>
        <w:t xml:space="preserve"> </w:t>
      </w:r>
      <w:r w:rsidR="00660117" w:rsidRPr="00A4255D">
        <w:rPr>
          <w:rFonts w:asciiTheme="minorHAnsi" w:hAnsiTheme="minorHAnsi"/>
        </w:rPr>
        <w:t xml:space="preserve">are increasingly relied on by OECD countries to </w:t>
      </w:r>
      <w:r>
        <w:rPr>
          <w:rFonts w:asciiTheme="minorHAnsi" w:hAnsiTheme="minorHAnsi"/>
        </w:rPr>
        <w:t xml:space="preserve">help assess the effectiveness of spending and to </w:t>
      </w:r>
      <w:r w:rsidR="00660117" w:rsidRPr="00A4255D">
        <w:rPr>
          <w:rFonts w:asciiTheme="minorHAnsi" w:hAnsiTheme="minorHAnsi"/>
        </w:rPr>
        <w:t xml:space="preserve">reallocate expenditure to match government policy priorities.  </w:t>
      </w:r>
      <w:r>
        <w:rPr>
          <w:rFonts w:asciiTheme="minorHAnsi" w:hAnsiTheme="minorHAnsi"/>
        </w:rPr>
        <w:t xml:space="preserve">These may take various forms including ex-ante policy impact assessments, spending reviews, and ex-post </w:t>
      </w:r>
      <w:r w:rsidR="003B33CC">
        <w:rPr>
          <w:rFonts w:asciiTheme="minorHAnsi" w:hAnsiTheme="minorHAnsi"/>
        </w:rPr>
        <w:t>programme</w:t>
      </w:r>
      <w:r w:rsidR="00DA0272">
        <w:rPr>
          <w:rFonts w:asciiTheme="minorHAnsi" w:hAnsiTheme="minorHAnsi"/>
        </w:rPr>
        <w:t xml:space="preserve"> </w:t>
      </w:r>
      <w:r>
        <w:rPr>
          <w:rFonts w:asciiTheme="minorHAnsi" w:hAnsiTheme="minorHAnsi"/>
        </w:rPr>
        <w:t xml:space="preserve">evaluations.  </w:t>
      </w:r>
    </w:p>
    <w:p w:rsidR="0082183C" w:rsidRDefault="00660117" w:rsidP="0082183C">
      <w:pPr>
        <w:pStyle w:val="BodyText"/>
        <w:rPr>
          <w:rFonts w:asciiTheme="minorHAnsi" w:hAnsiTheme="minorHAnsi"/>
        </w:rPr>
      </w:pPr>
      <w:r w:rsidRPr="00A4255D">
        <w:rPr>
          <w:rFonts w:asciiTheme="minorHAnsi" w:hAnsiTheme="minorHAnsi"/>
        </w:rPr>
        <w:t>Strong central guidance helps to ensure that ministries make the right links between national and sector strategies</w:t>
      </w:r>
      <w:r w:rsidR="00383ED0">
        <w:rPr>
          <w:rFonts w:asciiTheme="minorHAnsi" w:hAnsiTheme="minorHAnsi"/>
        </w:rPr>
        <w:t xml:space="preserve"> and the performance budget. </w:t>
      </w:r>
      <w:r w:rsidR="0082183C">
        <w:rPr>
          <w:rFonts w:asciiTheme="minorHAnsi" w:hAnsiTheme="minorHAnsi"/>
        </w:rPr>
        <w:t>Without a measure of top down, central</w:t>
      </w:r>
      <w:r w:rsidR="0082183C" w:rsidRPr="00A4255D">
        <w:rPr>
          <w:rFonts w:asciiTheme="minorHAnsi" w:hAnsiTheme="minorHAnsi"/>
        </w:rPr>
        <w:t xml:space="preserve"> strategic direction, performance budgets will tend to reflect the ongoing activities of government departments rather than government’s strategic policy priorities</w:t>
      </w:r>
      <w:r w:rsidR="0082183C">
        <w:rPr>
          <w:rFonts w:asciiTheme="minorHAnsi" w:hAnsiTheme="minorHAnsi"/>
        </w:rPr>
        <w:t xml:space="preserve">. Where there is a bottom-up approach to performance budgeting, there is a real danger that line ministries will use performance budgeting to justify additional spending, rather than </w:t>
      </w:r>
      <w:r w:rsidR="00914228">
        <w:rPr>
          <w:rFonts w:asciiTheme="minorHAnsi" w:hAnsiTheme="minorHAnsi"/>
        </w:rPr>
        <w:t xml:space="preserve">to </w:t>
      </w:r>
      <w:r w:rsidR="00383ED0">
        <w:rPr>
          <w:rFonts w:asciiTheme="minorHAnsi" w:hAnsiTheme="minorHAnsi"/>
        </w:rPr>
        <w:t xml:space="preserve">improve performance. </w:t>
      </w:r>
      <w:r w:rsidR="0082183C" w:rsidRPr="00A4255D">
        <w:rPr>
          <w:rFonts w:asciiTheme="minorHAnsi" w:hAnsiTheme="minorHAnsi"/>
        </w:rPr>
        <w:t>This can be provided by the CBA in the form of clear guidelines and training, but best practice is for the centre of government to take the leading role in promoting performance management across government</w:t>
      </w:r>
    </w:p>
    <w:p w:rsidR="00660117" w:rsidRDefault="00660117" w:rsidP="00A4255D">
      <w:pPr>
        <w:pStyle w:val="BodyText"/>
        <w:rPr>
          <w:rFonts w:asciiTheme="minorHAnsi" w:hAnsiTheme="minorHAnsi"/>
        </w:rPr>
      </w:pPr>
      <w:r w:rsidRPr="00A4255D">
        <w:rPr>
          <w:rFonts w:asciiTheme="minorHAnsi" w:hAnsiTheme="minorHAnsi"/>
        </w:rPr>
        <w:t>Austria</w:t>
      </w:r>
      <w:r w:rsidR="00514A38">
        <w:rPr>
          <w:rFonts w:asciiTheme="minorHAnsi" w:hAnsiTheme="minorHAnsi"/>
        </w:rPr>
        <w:t xml:space="preserve">, France and Mexico </w:t>
      </w:r>
      <w:r w:rsidR="00C54BDA">
        <w:rPr>
          <w:rFonts w:asciiTheme="minorHAnsi" w:hAnsiTheme="minorHAnsi"/>
        </w:rPr>
        <w:t xml:space="preserve">(Boxes 4 to 6) </w:t>
      </w:r>
      <w:r w:rsidR="00383ED0">
        <w:rPr>
          <w:rFonts w:asciiTheme="minorHAnsi" w:hAnsiTheme="minorHAnsi"/>
        </w:rPr>
        <w:t xml:space="preserve">provide </w:t>
      </w:r>
      <w:r w:rsidRPr="00A4255D">
        <w:rPr>
          <w:rFonts w:asciiTheme="minorHAnsi" w:hAnsiTheme="minorHAnsi"/>
        </w:rPr>
        <w:t>example</w:t>
      </w:r>
      <w:r w:rsidR="00514A38">
        <w:rPr>
          <w:rFonts w:asciiTheme="minorHAnsi" w:hAnsiTheme="minorHAnsi"/>
        </w:rPr>
        <w:t>s</w:t>
      </w:r>
      <w:r w:rsidRPr="00A4255D">
        <w:rPr>
          <w:rFonts w:asciiTheme="minorHAnsi" w:hAnsiTheme="minorHAnsi"/>
        </w:rPr>
        <w:t xml:space="preserve"> of how performance indicators in the budget process can be systematically linked to </w:t>
      </w:r>
      <w:r w:rsidR="00514A38">
        <w:rPr>
          <w:rFonts w:asciiTheme="minorHAnsi" w:hAnsiTheme="minorHAnsi"/>
        </w:rPr>
        <w:t>strategic policy goals</w:t>
      </w:r>
      <w:r w:rsidRPr="00A4255D">
        <w:rPr>
          <w:rFonts w:asciiTheme="minorHAnsi" w:hAnsiTheme="minorHAnsi"/>
        </w:rPr>
        <w:t>.</w:t>
      </w:r>
    </w:p>
    <w:p w:rsidR="00660117" w:rsidRPr="00A4255D" w:rsidRDefault="00C54BDA" w:rsidP="00383ED0">
      <w:pPr>
        <w:pBdr>
          <w:top w:val="single" w:sz="4" w:space="1" w:color="auto"/>
          <w:left w:val="single" w:sz="4" w:space="4" w:color="auto"/>
          <w:bottom w:val="single" w:sz="4" w:space="6" w:color="auto"/>
          <w:right w:val="single" w:sz="4" w:space="4" w:color="auto"/>
        </w:pBdr>
        <w:spacing w:before="240" w:after="240"/>
        <w:jc w:val="center"/>
        <w:rPr>
          <w:rFonts w:asciiTheme="minorHAnsi" w:hAnsiTheme="minorHAnsi"/>
          <w:b/>
        </w:rPr>
      </w:pPr>
      <w:r>
        <w:rPr>
          <w:rFonts w:asciiTheme="minorHAnsi" w:hAnsiTheme="minorHAnsi"/>
          <w:b/>
        </w:rPr>
        <w:lastRenderedPageBreak/>
        <w:t xml:space="preserve">Box 4: </w:t>
      </w:r>
      <w:r w:rsidR="00660117" w:rsidRPr="00A4255D">
        <w:rPr>
          <w:rFonts w:asciiTheme="minorHAnsi" w:hAnsiTheme="minorHAnsi"/>
          <w:b/>
        </w:rPr>
        <w:t>Austria’s Linkages between Strategy and Budget</w:t>
      </w:r>
    </w:p>
    <w:p w:rsidR="00660117" w:rsidRPr="006359B9" w:rsidRDefault="00660117" w:rsidP="00383ED0">
      <w:pPr>
        <w:pStyle w:val="BodyText"/>
        <w:pBdr>
          <w:top w:val="single" w:sz="4" w:space="1" w:color="auto"/>
          <w:left w:val="single" w:sz="4" w:space="4" w:color="auto"/>
          <w:bottom w:val="single" w:sz="4" w:space="6" w:color="auto"/>
          <w:right w:val="single" w:sz="4" w:space="4" w:color="auto"/>
        </w:pBdr>
        <w:spacing w:after="120"/>
        <w:ind w:firstLine="0"/>
        <w:rPr>
          <w:rFonts w:asciiTheme="minorHAnsi" w:hAnsiTheme="minorHAnsi"/>
        </w:rPr>
      </w:pPr>
      <w:r w:rsidRPr="006359B9">
        <w:rPr>
          <w:rFonts w:asciiTheme="minorHAnsi" w:hAnsiTheme="minorHAnsi"/>
        </w:rPr>
        <w:t xml:space="preserve">The performance budgeting system in Austria requires that outcome objectives of the budget chapters should be aligned with international strategies (e.g. EU 2020), the Federal Government’s Programme and sectoral strategies (e.g. Strategy for Research, Technology and Innovation). In the annual budget each outcome objective is described in detail. Line ministries must give reasons why they have chosen a certain objective and describe links between the objective and overarching strategies. For example, in the budget chapter 20 “Labour market” there is one objective which aims to reduce unemployment. The objective and the indicators to measure performance are linked to the national targets of the EU 2020 strategy. </w:t>
      </w:r>
    </w:p>
    <w:p w:rsidR="00660117" w:rsidRDefault="00660117" w:rsidP="00383ED0">
      <w:pPr>
        <w:pStyle w:val="BodyText"/>
        <w:pBdr>
          <w:top w:val="single" w:sz="4" w:space="1" w:color="auto"/>
          <w:left w:val="single" w:sz="4" w:space="4" w:color="auto"/>
          <w:bottom w:val="single" w:sz="4" w:space="6" w:color="auto"/>
          <w:right w:val="single" w:sz="4" w:space="4" w:color="auto"/>
        </w:pBdr>
        <w:ind w:firstLine="0"/>
        <w:rPr>
          <w:rFonts w:asciiTheme="minorHAnsi" w:hAnsiTheme="minorHAnsi"/>
        </w:rPr>
      </w:pPr>
      <w:r w:rsidRPr="006359B9">
        <w:rPr>
          <w:rFonts w:asciiTheme="minorHAnsi" w:hAnsiTheme="minorHAnsi"/>
        </w:rPr>
        <w:t xml:space="preserve">During budget preparation the Federal Performance Management Office (FPMO) in the Federal Chancellery provides quality assurance of the proposed objectives and indicators, including checking the alignment of objectives with national and sectoral strategies. If the objectives and indicators do not fulfil the quality criteria, FPMO will make recommendations to the line ministries to amend the draft. </w:t>
      </w:r>
    </w:p>
    <w:p w:rsidR="00E50D35" w:rsidRPr="006359B9" w:rsidRDefault="00E50D35" w:rsidP="00E50D35">
      <w:pPr>
        <w:pStyle w:val="BodyText"/>
        <w:ind w:firstLine="0"/>
        <w:rPr>
          <w:rFonts w:asciiTheme="minorHAnsi" w:hAnsiTheme="minorHAnsi"/>
        </w:rPr>
      </w:pPr>
    </w:p>
    <w:p w:rsidR="00660117" w:rsidRPr="00A4255D" w:rsidRDefault="00C54BDA" w:rsidP="00E50D35">
      <w:pPr>
        <w:pStyle w:val="NoSpacing"/>
        <w:pBdr>
          <w:top w:val="single" w:sz="4" w:space="1" w:color="auto"/>
          <w:left w:val="single" w:sz="4" w:space="4" w:color="auto"/>
          <w:bottom w:val="single" w:sz="4" w:space="1" w:color="auto"/>
          <w:right w:val="single" w:sz="4" w:space="4" w:color="auto"/>
        </w:pBdr>
        <w:spacing w:before="240" w:after="240"/>
        <w:jc w:val="center"/>
        <w:rPr>
          <w:rFonts w:asciiTheme="minorHAnsi" w:hAnsiTheme="minorHAnsi"/>
          <w:b/>
        </w:rPr>
      </w:pPr>
      <w:r>
        <w:rPr>
          <w:rFonts w:asciiTheme="minorHAnsi" w:hAnsiTheme="minorHAnsi"/>
          <w:b/>
        </w:rPr>
        <w:t xml:space="preserve">Box 5: </w:t>
      </w:r>
      <w:r w:rsidR="00660117" w:rsidRPr="00A4255D">
        <w:rPr>
          <w:rFonts w:asciiTheme="minorHAnsi" w:hAnsiTheme="minorHAnsi"/>
          <w:b/>
        </w:rPr>
        <w:t>Alignment of the Budget Structure with Strategic Goals in France</w:t>
      </w:r>
    </w:p>
    <w:p w:rsidR="00660117" w:rsidRDefault="00660117" w:rsidP="00E50D35">
      <w:pPr>
        <w:pStyle w:val="BodyText"/>
        <w:pBdr>
          <w:top w:val="single" w:sz="4" w:space="1" w:color="auto"/>
          <w:left w:val="single" w:sz="4" w:space="4" w:color="auto"/>
          <w:bottom w:val="single" w:sz="4" w:space="1" w:color="auto"/>
          <w:right w:val="single" w:sz="4" w:space="4" w:color="auto"/>
        </w:pBdr>
        <w:rPr>
          <w:rFonts w:asciiTheme="minorHAnsi" w:hAnsiTheme="minorHAnsi"/>
        </w:rPr>
      </w:pPr>
      <w:r w:rsidRPr="006359B9">
        <w:rPr>
          <w:rFonts w:asciiTheme="minorHAnsi" w:hAnsiTheme="minorHAnsi"/>
        </w:rPr>
        <w:t xml:space="preserve">France’s </w:t>
      </w:r>
      <w:r w:rsidR="003B33CC">
        <w:rPr>
          <w:rFonts w:asciiTheme="minorHAnsi" w:hAnsiTheme="minorHAnsi"/>
        </w:rPr>
        <w:t>programme</w:t>
      </w:r>
      <w:r w:rsidR="00DA0272">
        <w:rPr>
          <w:rFonts w:asciiTheme="minorHAnsi" w:hAnsiTheme="minorHAnsi"/>
        </w:rPr>
        <w:t xml:space="preserve"> </w:t>
      </w:r>
      <w:r w:rsidRPr="006359B9">
        <w:rPr>
          <w:rFonts w:asciiTheme="minorHAnsi" w:hAnsiTheme="minorHAnsi"/>
        </w:rPr>
        <w:t xml:space="preserve">budget structure is based on major political objectives. France has broken with the tradition of expenditure-oriented budgets by drawing up a </w:t>
      </w:r>
      <w:r w:rsidR="003B33CC">
        <w:rPr>
          <w:rFonts w:asciiTheme="minorHAnsi" w:hAnsiTheme="minorHAnsi"/>
        </w:rPr>
        <w:t>programme</w:t>
      </w:r>
      <w:r w:rsidR="00DA0272">
        <w:rPr>
          <w:rFonts w:asciiTheme="minorHAnsi" w:hAnsiTheme="minorHAnsi"/>
        </w:rPr>
        <w:t xml:space="preserve"> </w:t>
      </w:r>
      <w:r w:rsidRPr="006359B9">
        <w:rPr>
          <w:rFonts w:asciiTheme="minorHAnsi" w:hAnsiTheme="minorHAnsi"/>
        </w:rPr>
        <w:t xml:space="preserve">budget with a three-tier structure, in which missions correspond to the state’s public policy priorities. Some missions are “multi-ministry,” pulling together all the </w:t>
      </w:r>
      <w:r w:rsidR="0090328E">
        <w:rPr>
          <w:rFonts w:asciiTheme="minorHAnsi" w:hAnsiTheme="minorHAnsi"/>
        </w:rPr>
        <w:t>programmes</w:t>
      </w:r>
      <w:r w:rsidRPr="006359B9">
        <w:rPr>
          <w:rFonts w:asciiTheme="minorHAnsi" w:hAnsiTheme="minorHAnsi"/>
        </w:rPr>
        <w:t xml:space="preserve">, such as research, conducted by different ministries that relate to the same general policy. Each mission comprises </w:t>
      </w:r>
      <w:r w:rsidR="0090328E">
        <w:rPr>
          <w:rFonts w:asciiTheme="minorHAnsi" w:hAnsiTheme="minorHAnsi"/>
        </w:rPr>
        <w:t>programmes</w:t>
      </w:r>
      <w:r w:rsidRPr="006359B9">
        <w:rPr>
          <w:rFonts w:asciiTheme="minorHAnsi" w:hAnsiTheme="minorHAnsi"/>
        </w:rPr>
        <w:t xml:space="preserve"> to which appropriations are allocated, broken down by </w:t>
      </w:r>
      <w:proofErr w:type="spellStart"/>
      <w:r w:rsidRPr="006359B9">
        <w:rPr>
          <w:rFonts w:asciiTheme="minorHAnsi" w:hAnsiTheme="minorHAnsi"/>
        </w:rPr>
        <w:t>sub</w:t>
      </w:r>
      <w:r w:rsidR="0090328E">
        <w:rPr>
          <w:rFonts w:asciiTheme="minorHAnsi" w:hAnsiTheme="minorHAnsi"/>
        </w:rPr>
        <w:t>programmes</w:t>
      </w:r>
      <w:proofErr w:type="spellEnd"/>
      <w:r w:rsidRPr="006359B9">
        <w:rPr>
          <w:rFonts w:asciiTheme="minorHAnsi" w:hAnsiTheme="minorHAnsi"/>
        </w:rPr>
        <w:t xml:space="preserve">, the actions that together constitute the operational resources with which a </w:t>
      </w:r>
      <w:r w:rsidR="003B33CC">
        <w:rPr>
          <w:rFonts w:asciiTheme="minorHAnsi" w:hAnsiTheme="minorHAnsi"/>
        </w:rPr>
        <w:t>programme</w:t>
      </w:r>
      <w:r w:rsidR="00DA0272">
        <w:rPr>
          <w:rFonts w:asciiTheme="minorHAnsi" w:hAnsiTheme="minorHAnsi"/>
        </w:rPr>
        <w:t xml:space="preserve"> </w:t>
      </w:r>
      <w:r w:rsidRPr="006359B9">
        <w:rPr>
          <w:rFonts w:asciiTheme="minorHAnsi" w:hAnsiTheme="minorHAnsi"/>
        </w:rPr>
        <w:t>will be implemented. The previous structure based on “budget chapters” (line items) obscured the aims of budget appropriations and the cost of administrative policies and structures. By structuring the budget in terms of public policy objectives, the state’s missions and public service goals become fully transparent.</w:t>
      </w:r>
    </w:p>
    <w:p w:rsidR="00E50D35" w:rsidRPr="006359B9" w:rsidRDefault="00E50D35" w:rsidP="00E50D35">
      <w:pPr>
        <w:pStyle w:val="BodyText"/>
        <w:rPr>
          <w:rFonts w:asciiTheme="minorHAnsi" w:hAnsiTheme="minorHAnsi"/>
        </w:rPr>
      </w:pPr>
    </w:p>
    <w:p w:rsidR="00514A38" w:rsidRPr="00E50D35" w:rsidRDefault="00C54BDA" w:rsidP="00E50D35">
      <w:pPr>
        <w:pBdr>
          <w:top w:val="single" w:sz="4" w:space="1" w:color="auto"/>
          <w:left w:val="single" w:sz="4" w:space="4" w:color="auto"/>
          <w:bottom w:val="single" w:sz="4" w:space="11" w:color="auto"/>
          <w:right w:val="single" w:sz="4" w:space="4" w:color="auto"/>
        </w:pBdr>
        <w:spacing w:before="120" w:after="240"/>
        <w:jc w:val="center"/>
        <w:rPr>
          <w:rFonts w:asciiTheme="minorHAnsi" w:hAnsiTheme="minorHAnsi"/>
          <w:b/>
          <w:lang w:val="en-US"/>
        </w:rPr>
      </w:pPr>
      <w:r>
        <w:rPr>
          <w:rFonts w:asciiTheme="minorHAnsi" w:hAnsiTheme="minorHAnsi"/>
          <w:b/>
          <w:lang w:val="en-US"/>
        </w:rPr>
        <w:t xml:space="preserve">Box 6: </w:t>
      </w:r>
      <w:r w:rsidR="00514A38" w:rsidRPr="00E50D35">
        <w:rPr>
          <w:rFonts w:asciiTheme="minorHAnsi" w:hAnsiTheme="minorHAnsi"/>
          <w:b/>
          <w:lang w:val="en-US"/>
        </w:rPr>
        <w:t>Linking the budget to Mexico's National Development Plan</w:t>
      </w:r>
    </w:p>
    <w:p w:rsidR="00514A38" w:rsidRPr="00E50D35" w:rsidRDefault="00514A38" w:rsidP="00E50D35">
      <w:pPr>
        <w:pBdr>
          <w:top w:val="single" w:sz="4" w:space="1" w:color="auto"/>
          <w:left w:val="single" w:sz="4" w:space="4" w:color="auto"/>
          <w:bottom w:val="single" w:sz="4" w:space="11" w:color="auto"/>
          <w:right w:val="single" w:sz="4" w:space="4" w:color="auto"/>
        </w:pBdr>
        <w:spacing w:after="240"/>
        <w:rPr>
          <w:rFonts w:asciiTheme="minorHAnsi" w:hAnsiTheme="minorHAnsi"/>
          <w:lang w:val="en-US"/>
        </w:rPr>
      </w:pPr>
      <w:r w:rsidRPr="00E50D35">
        <w:rPr>
          <w:rFonts w:asciiTheme="minorHAnsi" w:hAnsiTheme="minorHAnsi"/>
          <w:lang w:val="en-US"/>
        </w:rPr>
        <w:t xml:space="preserve">The public policy priorities of the Federal Government are stablished in a National Development Plan, which sets the National Goals and the objectives of each administration, with a planning horizon of six years. For the planning cycle 2013-2018, the results orientation of the Plan and its sectoral </w:t>
      </w:r>
      <w:proofErr w:type="spellStart"/>
      <w:r w:rsidR="0090328E">
        <w:rPr>
          <w:rFonts w:asciiTheme="minorHAnsi" w:hAnsiTheme="minorHAnsi"/>
          <w:lang w:val="en-US"/>
        </w:rPr>
        <w:t>programmes</w:t>
      </w:r>
      <w:proofErr w:type="spellEnd"/>
      <w:r w:rsidRPr="00E50D35">
        <w:rPr>
          <w:rFonts w:asciiTheme="minorHAnsi" w:hAnsiTheme="minorHAnsi"/>
          <w:lang w:val="en-US"/>
        </w:rPr>
        <w:t xml:space="preserve"> was strengthened, so that budgetary </w:t>
      </w:r>
      <w:proofErr w:type="spellStart"/>
      <w:r w:rsidR="0090328E">
        <w:rPr>
          <w:rFonts w:asciiTheme="minorHAnsi" w:hAnsiTheme="minorHAnsi"/>
          <w:lang w:val="en-US"/>
        </w:rPr>
        <w:t>programmes</w:t>
      </w:r>
      <w:proofErr w:type="spellEnd"/>
      <w:r w:rsidRPr="00E50D35">
        <w:rPr>
          <w:rFonts w:asciiTheme="minorHAnsi" w:hAnsiTheme="minorHAnsi"/>
          <w:lang w:val="en-US"/>
        </w:rPr>
        <w:t xml:space="preserve"> are linked, through the logical framework, to the achievement of the sectoral objectives and, consequently, of those of the Plan; this ensures that public spending identifies the expected contribution to the achievement of national priorities, as the axis for its monitoring and evaluation. The structure of the Plan and Results-based Budget policies have facilitated the identification of the strategies that drive the achievement of the Sustainable Development Goals of the 2030 Agenda, both at the level of sectoral and budgetary </w:t>
      </w:r>
      <w:proofErr w:type="spellStart"/>
      <w:r w:rsidR="0090328E">
        <w:rPr>
          <w:rFonts w:asciiTheme="minorHAnsi" w:hAnsiTheme="minorHAnsi"/>
          <w:lang w:val="en-US"/>
        </w:rPr>
        <w:t>programmes</w:t>
      </w:r>
      <w:proofErr w:type="spellEnd"/>
      <w:r w:rsidR="0046141F">
        <w:rPr>
          <w:rFonts w:asciiTheme="minorHAnsi" w:hAnsiTheme="minorHAnsi"/>
          <w:lang w:val="en-US"/>
        </w:rPr>
        <w:t>.</w:t>
      </w:r>
    </w:p>
    <w:p w:rsidR="00AB0B53" w:rsidRDefault="00AB0B53" w:rsidP="000F5842">
      <w:pPr>
        <w:pStyle w:val="Heading1"/>
        <w:pBdr>
          <w:top w:val="single" w:sz="4" w:space="1" w:color="auto"/>
          <w:left w:val="single" w:sz="4" w:space="4" w:color="auto"/>
          <w:bottom w:val="single" w:sz="4" w:space="7" w:color="auto"/>
          <w:right w:val="single" w:sz="4" w:space="4" w:color="auto"/>
        </w:pBdr>
        <w:spacing w:before="240" w:after="240"/>
        <w:rPr>
          <w:rFonts w:asciiTheme="minorHAnsi" w:hAnsiTheme="minorHAnsi"/>
          <w:bCs w:val="0"/>
          <w:caps w:val="0"/>
          <w:color w:val="1E63AE"/>
          <w:kern w:val="0"/>
          <w:sz w:val="24"/>
          <w:szCs w:val="24"/>
        </w:rPr>
      </w:pPr>
      <w:r>
        <w:rPr>
          <w:rFonts w:asciiTheme="minorHAnsi" w:hAnsiTheme="minorHAnsi"/>
          <w:bCs w:val="0"/>
          <w:caps w:val="0"/>
          <w:color w:val="1E63AE"/>
          <w:kern w:val="0"/>
          <w:sz w:val="24"/>
          <w:szCs w:val="24"/>
        </w:rPr>
        <w:br w:type="page"/>
      </w:r>
    </w:p>
    <w:p w:rsidR="000A41DB" w:rsidRPr="000A41DB" w:rsidRDefault="003A2CEB" w:rsidP="0046141F">
      <w:pPr>
        <w:pStyle w:val="Heading1"/>
        <w:pBdr>
          <w:top w:val="single" w:sz="4" w:space="1" w:color="auto"/>
          <w:left w:val="single" w:sz="4" w:space="4" w:color="auto"/>
          <w:bottom w:val="single" w:sz="4" w:space="13" w:color="auto"/>
          <w:right w:val="single" w:sz="4" w:space="4" w:color="auto"/>
        </w:pBdr>
        <w:shd w:val="clear" w:color="auto" w:fill="CCECFF"/>
        <w:tabs>
          <w:tab w:val="clear" w:pos="1191"/>
          <w:tab w:val="left" w:pos="567"/>
        </w:tabs>
        <w:spacing w:before="120" w:after="0"/>
        <w:ind w:left="567" w:hanging="567"/>
        <w:rPr>
          <w:rFonts w:asciiTheme="minorHAnsi" w:hAnsiTheme="minorHAnsi"/>
          <w:bCs w:val="0"/>
          <w:caps w:val="0"/>
          <w:color w:val="1E63AE"/>
          <w:kern w:val="0"/>
          <w:sz w:val="24"/>
          <w:szCs w:val="24"/>
        </w:rPr>
      </w:pPr>
      <w:r>
        <w:rPr>
          <w:rFonts w:asciiTheme="minorHAnsi" w:hAnsiTheme="minorHAnsi"/>
          <w:bCs w:val="0"/>
          <w:caps w:val="0"/>
          <w:color w:val="1E63AE"/>
          <w:kern w:val="0"/>
          <w:sz w:val="24"/>
          <w:szCs w:val="24"/>
        </w:rPr>
        <w:lastRenderedPageBreak/>
        <w:t>Best Practice </w:t>
      </w:r>
      <w:r w:rsidRPr="000A41DB">
        <w:rPr>
          <w:rFonts w:asciiTheme="minorHAnsi" w:hAnsiTheme="minorHAnsi"/>
          <w:bCs w:val="0"/>
          <w:caps w:val="0"/>
          <w:color w:val="1E63AE"/>
          <w:kern w:val="0"/>
          <w:sz w:val="24"/>
          <w:szCs w:val="24"/>
        </w:rPr>
        <w:t xml:space="preserve">3 </w:t>
      </w:r>
    </w:p>
    <w:p w:rsidR="00DD305F" w:rsidRPr="00C63F41" w:rsidRDefault="00DD305F" w:rsidP="0046141F">
      <w:pPr>
        <w:pBdr>
          <w:top w:val="single" w:sz="4" w:space="1" w:color="auto"/>
          <w:left w:val="single" w:sz="4" w:space="4" w:color="auto"/>
          <w:bottom w:val="single" w:sz="4" w:space="13" w:color="auto"/>
          <w:right w:val="single" w:sz="4" w:space="4" w:color="auto"/>
        </w:pBdr>
        <w:shd w:val="clear" w:color="auto" w:fill="CCECFF"/>
        <w:tabs>
          <w:tab w:val="clear" w:pos="1191"/>
          <w:tab w:val="left" w:pos="567"/>
        </w:tabs>
        <w:spacing w:after="240"/>
        <w:ind w:left="567" w:hanging="567"/>
        <w:jc w:val="center"/>
        <w:rPr>
          <w:rFonts w:asciiTheme="minorHAnsi" w:hAnsiTheme="minorHAnsi"/>
          <w:b/>
          <w:color w:val="1E63AE"/>
          <w:sz w:val="24"/>
          <w:szCs w:val="24"/>
        </w:rPr>
      </w:pPr>
      <w:r>
        <w:rPr>
          <w:rFonts w:asciiTheme="minorHAnsi" w:hAnsiTheme="minorHAnsi"/>
          <w:b/>
          <w:color w:val="1E63AE"/>
          <w:sz w:val="24"/>
          <w:szCs w:val="24"/>
        </w:rPr>
        <w:t xml:space="preserve">Adapting </w:t>
      </w:r>
      <w:r w:rsidRPr="005A54C3">
        <w:rPr>
          <w:rFonts w:asciiTheme="minorHAnsi" w:hAnsiTheme="minorHAnsi"/>
          <w:b/>
          <w:color w:val="1E63AE"/>
          <w:sz w:val="24"/>
          <w:szCs w:val="24"/>
        </w:rPr>
        <w:t xml:space="preserve">Performance Budgeting </w:t>
      </w:r>
      <w:r>
        <w:rPr>
          <w:rFonts w:asciiTheme="minorHAnsi" w:hAnsiTheme="minorHAnsi"/>
          <w:b/>
          <w:color w:val="1E63AE"/>
          <w:sz w:val="24"/>
          <w:szCs w:val="24"/>
        </w:rPr>
        <w:t>to the Complex, Varying Needs of Policy-making</w:t>
      </w:r>
    </w:p>
    <w:p w:rsidR="00DD305F" w:rsidRDefault="00DD305F" w:rsidP="0046141F">
      <w:pPr>
        <w:pBdr>
          <w:top w:val="single" w:sz="4" w:space="1" w:color="auto"/>
          <w:left w:val="single" w:sz="4" w:space="4" w:color="auto"/>
          <w:bottom w:val="single" w:sz="4" w:space="13" w:color="auto"/>
          <w:right w:val="single" w:sz="4" w:space="4" w:color="auto"/>
        </w:pBdr>
        <w:shd w:val="clear" w:color="auto" w:fill="CCECFF"/>
        <w:tabs>
          <w:tab w:val="clear" w:pos="850"/>
          <w:tab w:val="clear" w:pos="1191"/>
          <w:tab w:val="clear" w:pos="1531"/>
          <w:tab w:val="left" w:pos="567"/>
        </w:tabs>
        <w:spacing w:after="120"/>
        <w:ind w:left="567" w:hanging="567"/>
        <w:rPr>
          <w:rFonts w:asciiTheme="minorHAnsi" w:hAnsiTheme="minorHAnsi"/>
        </w:rPr>
      </w:pPr>
      <w:r>
        <w:rPr>
          <w:rFonts w:asciiTheme="minorHAnsi" w:hAnsiTheme="minorHAnsi"/>
        </w:rPr>
        <w:t>•</w:t>
      </w:r>
      <w:r>
        <w:rPr>
          <w:rFonts w:asciiTheme="minorHAnsi" w:hAnsiTheme="minorHAnsi"/>
        </w:rPr>
        <w:tab/>
        <w:t xml:space="preserve">The performance </w:t>
      </w:r>
      <w:r w:rsidRPr="00A4255D">
        <w:rPr>
          <w:rFonts w:asciiTheme="minorHAnsi" w:hAnsiTheme="minorHAnsi"/>
        </w:rPr>
        <w:t xml:space="preserve">budgeting methodology </w:t>
      </w:r>
      <w:r>
        <w:rPr>
          <w:rFonts w:asciiTheme="minorHAnsi" w:hAnsiTheme="minorHAnsi"/>
        </w:rPr>
        <w:t xml:space="preserve">includes in-built flexibility </w:t>
      </w:r>
      <w:r w:rsidRPr="00A4255D">
        <w:rPr>
          <w:rFonts w:asciiTheme="minorHAnsi" w:hAnsiTheme="minorHAnsi"/>
        </w:rPr>
        <w:t>to handle the varied nature of government business</w:t>
      </w:r>
      <w:r>
        <w:rPr>
          <w:rFonts w:asciiTheme="minorHAnsi" w:hAnsiTheme="minorHAnsi"/>
        </w:rPr>
        <w:t>, and to recognise the differing relationships between inputs and outcomes.</w:t>
      </w:r>
    </w:p>
    <w:p w:rsidR="00DD305F" w:rsidRDefault="0046141F" w:rsidP="0046141F">
      <w:pPr>
        <w:pBdr>
          <w:top w:val="single" w:sz="4" w:space="1" w:color="auto"/>
          <w:left w:val="single" w:sz="4" w:space="4" w:color="auto"/>
          <w:bottom w:val="single" w:sz="4" w:space="13" w:color="auto"/>
          <w:right w:val="single" w:sz="4" w:space="4" w:color="auto"/>
        </w:pBdr>
        <w:shd w:val="clear" w:color="auto" w:fill="CCECFF"/>
        <w:tabs>
          <w:tab w:val="clear" w:pos="850"/>
          <w:tab w:val="clear" w:pos="1191"/>
          <w:tab w:val="clear" w:pos="1531"/>
          <w:tab w:val="left" w:pos="567"/>
        </w:tabs>
        <w:spacing w:after="120"/>
        <w:ind w:left="567" w:hanging="567"/>
        <w:rPr>
          <w:rFonts w:asciiTheme="minorHAnsi" w:hAnsiTheme="minorHAnsi"/>
        </w:rPr>
      </w:pPr>
      <w:r>
        <w:rPr>
          <w:rFonts w:asciiTheme="minorHAnsi" w:hAnsiTheme="minorHAnsi"/>
        </w:rPr>
        <w:t>•</w:t>
      </w:r>
      <w:r>
        <w:rPr>
          <w:rFonts w:asciiTheme="minorHAnsi" w:hAnsiTheme="minorHAnsi"/>
        </w:rPr>
        <w:tab/>
      </w:r>
      <w:r w:rsidR="00DD305F">
        <w:rPr>
          <w:rFonts w:asciiTheme="minorHAnsi" w:hAnsiTheme="minorHAnsi"/>
        </w:rPr>
        <w:t>Programme structures are aligned with the service delivery functions and responsibilities of ministries and agencies</w:t>
      </w:r>
      <w:r>
        <w:rPr>
          <w:rFonts w:asciiTheme="minorHAnsi" w:hAnsiTheme="minorHAnsi"/>
        </w:rPr>
        <w:t>.</w:t>
      </w:r>
    </w:p>
    <w:p w:rsidR="00DD305F" w:rsidRDefault="00DD305F" w:rsidP="0046141F">
      <w:pPr>
        <w:pBdr>
          <w:top w:val="single" w:sz="4" w:space="1" w:color="auto"/>
          <w:left w:val="single" w:sz="4" w:space="4" w:color="auto"/>
          <w:bottom w:val="single" w:sz="4" w:space="13" w:color="auto"/>
          <w:right w:val="single" w:sz="4" w:space="4" w:color="auto"/>
        </w:pBdr>
        <w:shd w:val="clear" w:color="auto" w:fill="CCECFF"/>
        <w:tabs>
          <w:tab w:val="clear" w:pos="850"/>
          <w:tab w:val="clear" w:pos="1191"/>
          <w:tab w:val="clear" w:pos="1531"/>
          <w:tab w:val="left" w:pos="567"/>
        </w:tabs>
        <w:spacing w:after="120"/>
        <w:ind w:left="567" w:hanging="567"/>
        <w:rPr>
          <w:rFonts w:asciiTheme="minorHAnsi" w:hAnsiTheme="minorHAnsi"/>
        </w:rPr>
      </w:pPr>
      <w:r>
        <w:rPr>
          <w:rFonts w:asciiTheme="minorHAnsi" w:hAnsiTheme="minorHAnsi"/>
        </w:rPr>
        <w:t>•</w:t>
      </w:r>
      <w:r>
        <w:rPr>
          <w:rFonts w:asciiTheme="minorHAnsi" w:hAnsiTheme="minorHAnsi"/>
        </w:rPr>
        <w:tab/>
        <w:t>Complex, persistent and multi-dimensional social problems (so-called “wicked” issues) are addressed through coordination mechanisms and high level government support.</w:t>
      </w:r>
    </w:p>
    <w:p w:rsidR="00DD305F" w:rsidRDefault="00DD305F" w:rsidP="0046141F">
      <w:pPr>
        <w:pBdr>
          <w:top w:val="single" w:sz="4" w:space="1" w:color="auto"/>
          <w:left w:val="single" w:sz="4" w:space="4" w:color="auto"/>
          <w:bottom w:val="single" w:sz="4" w:space="13" w:color="auto"/>
          <w:right w:val="single" w:sz="4" w:space="4" w:color="auto"/>
        </w:pBdr>
        <w:shd w:val="clear" w:color="auto" w:fill="CCECFF"/>
        <w:tabs>
          <w:tab w:val="clear" w:pos="850"/>
          <w:tab w:val="clear" w:pos="1191"/>
          <w:tab w:val="clear" w:pos="1531"/>
          <w:tab w:val="left" w:pos="567"/>
        </w:tabs>
        <w:spacing w:after="360"/>
        <w:ind w:left="567" w:hanging="567"/>
        <w:rPr>
          <w:rFonts w:asciiTheme="minorHAnsi" w:hAnsiTheme="minorHAnsi"/>
        </w:rPr>
      </w:pPr>
      <w:r>
        <w:rPr>
          <w:rFonts w:asciiTheme="minorHAnsi" w:hAnsiTheme="minorHAnsi"/>
        </w:rPr>
        <w:t>•</w:t>
      </w:r>
      <w:r>
        <w:rPr>
          <w:rFonts w:asciiTheme="minorHAnsi" w:hAnsiTheme="minorHAnsi"/>
        </w:rPr>
        <w:tab/>
        <w:t>Control frameworks are revised and adapted to supp</w:t>
      </w:r>
      <w:r w:rsidR="0046141F">
        <w:rPr>
          <w:rFonts w:asciiTheme="minorHAnsi" w:hAnsiTheme="minorHAnsi"/>
        </w:rPr>
        <w:t>ort effective budget execution.</w:t>
      </w:r>
    </w:p>
    <w:p w:rsidR="00FB57F2" w:rsidRPr="00A4255D" w:rsidRDefault="00FB57F2" w:rsidP="00FB57F2">
      <w:pPr>
        <w:pStyle w:val="BodyText"/>
        <w:rPr>
          <w:rFonts w:asciiTheme="minorHAnsi" w:hAnsiTheme="minorHAnsi"/>
        </w:rPr>
      </w:pPr>
      <w:r w:rsidRPr="00A4255D">
        <w:rPr>
          <w:rFonts w:asciiTheme="minorHAnsi" w:hAnsiTheme="minorHAnsi"/>
        </w:rPr>
        <w:t>Performance budgeting methodology needs to incorporate flexibility to deal with the varied and complex relationships between financial resources and performance.</w:t>
      </w:r>
      <w:r w:rsidRPr="00A4255D">
        <w:rPr>
          <w:rFonts w:asciiTheme="minorHAnsi" w:hAnsiTheme="minorHAnsi"/>
          <w:b/>
        </w:rPr>
        <w:t xml:space="preserve"> </w:t>
      </w:r>
      <w:r w:rsidRPr="00A4255D">
        <w:rPr>
          <w:rFonts w:asciiTheme="minorHAnsi" w:hAnsiTheme="minorHAnsi"/>
        </w:rPr>
        <w:t xml:space="preserve">Where government is directly responsible for delivering public services, e.g. issuing passports or constructing roads, it makes sense to link budget resources closely </w:t>
      </w:r>
      <w:r>
        <w:rPr>
          <w:rFonts w:asciiTheme="minorHAnsi" w:hAnsiTheme="minorHAnsi"/>
        </w:rPr>
        <w:t xml:space="preserve">(if not directly) </w:t>
      </w:r>
      <w:r w:rsidRPr="00A4255D">
        <w:rPr>
          <w:rFonts w:asciiTheme="minorHAnsi" w:hAnsiTheme="minorHAnsi"/>
        </w:rPr>
        <w:t>to the ach</w:t>
      </w:r>
      <w:r w:rsidR="00383ED0">
        <w:rPr>
          <w:rFonts w:asciiTheme="minorHAnsi" w:hAnsiTheme="minorHAnsi"/>
        </w:rPr>
        <w:t xml:space="preserve">ievement of specific outcomes. </w:t>
      </w:r>
      <w:r w:rsidRPr="00A4255D">
        <w:rPr>
          <w:rFonts w:asciiTheme="minorHAnsi" w:hAnsiTheme="minorHAnsi"/>
        </w:rPr>
        <w:t xml:space="preserve">Where government’s role is more indirect, for example as a regulator or policy maker, the relationship between budget funding and the outcomes of government policy is indirect and </w:t>
      </w:r>
      <w:r>
        <w:rPr>
          <w:rFonts w:asciiTheme="minorHAnsi" w:hAnsiTheme="minorHAnsi"/>
        </w:rPr>
        <w:t xml:space="preserve">clear </w:t>
      </w:r>
      <w:r w:rsidRPr="00A4255D">
        <w:rPr>
          <w:rFonts w:asciiTheme="minorHAnsi" w:hAnsiTheme="minorHAnsi"/>
        </w:rPr>
        <w:t>attribution</w:t>
      </w:r>
      <w:r>
        <w:rPr>
          <w:rFonts w:asciiTheme="minorHAnsi" w:hAnsiTheme="minorHAnsi"/>
        </w:rPr>
        <w:t xml:space="preserve"> problems </w:t>
      </w:r>
      <w:r w:rsidRPr="00A4255D">
        <w:rPr>
          <w:rFonts w:asciiTheme="minorHAnsi" w:hAnsiTheme="minorHAnsi"/>
        </w:rPr>
        <w:t xml:space="preserve">arise if you try to link funding closely to </w:t>
      </w:r>
      <w:r>
        <w:rPr>
          <w:rFonts w:asciiTheme="minorHAnsi" w:hAnsiTheme="minorHAnsi"/>
        </w:rPr>
        <w:t xml:space="preserve">success or failure to achieve </w:t>
      </w:r>
      <w:r w:rsidR="00383ED0">
        <w:rPr>
          <w:rFonts w:asciiTheme="minorHAnsi" w:hAnsiTheme="minorHAnsi"/>
        </w:rPr>
        <w:t>policy outcomes. Figure </w:t>
      </w:r>
      <w:r w:rsidR="008F79FE">
        <w:rPr>
          <w:rFonts w:asciiTheme="minorHAnsi" w:hAnsiTheme="minorHAnsi"/>
        </w:rPr>
        <w:t>4</w:t>
      </w:r>
      <w:r w:rsidRPr="00A4255D">
        <w:rPr>
          <w:rFonts w:asciiTheme="minorHAnsi" w:hAnsiTheme="minorHAnsi"/>
        </w:rPr>
        <w:t xml:space="preserve"> below shows OECD countries </w:t>
      </w:r>
      <w:r>
        <w:rPr>
          <w:rFonts w:asciiTheme="minorHAnsi" w:hAnsiTheme="minorHAnsi"/>
        </w:rPr>
        <w:t xml:space="preserve">own </w:t>
      </w:r>
      <w:r w:rsidRPr="00A4255D">
        <w:rPr>
          <w:rFonts w:asciiTheme="minorHAnsi" w:hAnsiTheme="minorHAnsi"/>
        </w:rPr>
        <w:t>assessments of the impact that performance information has had on budget decisions in each sector.</w:t>
      </w:r>
    </w:p>
    <w:p w:rsidR="00FB57F2" w:rsidRPr="00A4255D" w:rsidRDefault="00DE5FA9" w:rsidP="008F79FE">
      <w:pPr>
        <w:keepNext/>
        <w:spacing w:before="240" w:after="240"/>
        <w:jc w:val="center"/>
        <w:rPr>
          <w:rFonts w:asciiTheme="minorHAnsi" w:hAnsiTheme="minorHAnsi" w:cs="Arial"/>
          <w:b/>
          <w:color w:val="000000"/>
        </w:rPr>
      </w:pPr>
      <w:r>
        <w:rPr>
          <w:rFonts w:asciiTheme="minorHAnsi" w:hAnsiTheme="minorHAnsi"/>
          <w:b/>
        </w:rPr>
        <w:lastRenderedPageBreak/>
        <w:t xml:space="preserve">Figure </w:t>
      </w:r>
      <w:r w:rsidR="008F79FE">
        <w:rPr>
          <w:rFonts w:asciiTheme="minorHAnsi" w:hAnsiTheme="minorHAnsi"/>
          <w:b/>
        </w:rPr>
        <w:t>4</w:t>
      </w:r>
      <w:r w:rsidR="00FB57F2">
        <w:rPr>
          <w:rFonts w:asciiTheme="minorHAnsi" w:hAnsiTheme="minorHAnsi"/>
          <w:b/>
        </w:rPr>
        <w:t xml:space="preserve"> -- </w:t>
      </w:r>
      <w:r w:rsidR="00FB57F2" w:rsidRPr="00A4255D">
        <w:rPr>
          <w:rFonts w:asciiTheme="minorHAnsi" w:hAnsiTheme="minorHAnsi"/>
          <w:b/>
        </w:rPr>
        <w:t>How Would You Rate the Impact Performance Information Has Had on</w:t>
      </w:r>
      <w:r w:rsidR="0046141F">
        <w:rPr>
          <w:rFonts w:asciiTheme="minorHAnsi" w:hAnsiTheme="minorHAnsi"/>
          <w:b/>
        </w:rPr>
        <w:br/>
      </w:r>
      <w:r w:rsidR="00FB57F2" w:rsidRPr="00A4255D">
        <w:rPr>
          <w:rFonts w:asciiTheme="minorHAnsi" w:hAnsiTheme="minorHAnsi"/>
          <w:b/>
        </w:rPr>
        <w:t xml:space="preserve"> Influencing Budget Decisions in Each Sector?</w:t>
      </w:r>
    </w:p>
    <w:p w:rsidR="00FB57F2" w:rsidRPr="00A4255D" w:rsidRDefault="00FB57F2" w:rsidP="00FB57F2">
      <w:pPr>
        <w:jc w:val="center"/>
        <w:rPr>
          <w:rFonts w:asciiTheme="minorHAnsi" w:hAnsiTheme="minorHAnsi"/>
        </w:rPr>
      </w:pPr>
      <w:r w:rsidRPr="00A4255D">
        <w:rPr>
          <w:rFonts w:asciiTheme="minorHAnsi" w:hAnsiTheme="minorHAnsi"/>
          <w:noProof/>
          <w:lang w:eastAsia="en-GB"/>
        </w:rPr>
        <w:drawing>
          <wp:inline distT="0" distB="0" distL="0" distR="0" wp14:anchorId="565E68FD" wp14:editId="7EEE8A9F">
            <wp:extent cx="4818529" cy="5433733"/>
            <wp:effectExtent l="0" t="0" r="127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B57F2" w:rsidRPr="00A4255D" w:rsidRDefault="00FB57F2" w:rsidP="00FB57F2">
      <w:pPr>
        <w:pStyle w:val="BodyText"/>
        <w:spacing w:before="120"/>
        <w:rPr>
          <w:rFonts w:asciiTheme="minorHAnsi" w:hAnsiTheme="minorHAnsi"/>
        </w:rPr>
      </w:pPr>
      <w:r w:rsidRPr="00A4255D">
        <w:rPr>
          <w:rFonts w:asciiTheme="minorHAnsi" w:hAnsiTheme="minorHAnsi"/>
        </w:rPr>
        <w:t xml:space="preserve">A “’one size fits all” template for the preparation of performance budgets can result in a “make work” scheme where, for example, ministries are required to identify outcome indicators for all </w:t>
      </w:r>
      <w:r w:rsidR="0090328E">
        <w:rPr>
          <w:rFonts w:asciiTheme="minorHAnsi" w:hAnsiTheme="minorHAnsi"/>
        </w:rPr>
        <w:t>programmes</w:t>
      </w:r>
      <w:r w:rsidRPr="00A4255D">
        <w:rPr>
          <w:rFonts w:asciiTheme="minorHAnsi" w:hAnsiTheme="minorHAnsi"/>
        </w:rPr>
        <w:t xml:space="preserve">. A smart system recognizes that the relationships between budget resources and outcomes vary considerably across different activities of government and allows departments a limited degree of flexibility, while maintaining a coherent overall approach.  </w:t>
      </w:r>
    </w:p>
    <w:p w:rsidR="00FB57F2" w:rsidRDefault="00FB57F2" w:rsidP="00FB57F2">
      <w:pPr>
        <w:pStyle w:val="BodyText"/>
        <w:rPr>
          <w:rFonts w:asciiTheme="minorHAnsi" w:hAnsiTheme="minorHAnsi"/>
        </w:rPr>
      </w:pPr>
      <w:r w:rsidRPr="00A4255D">
        <w:rPr>
          <w:rFonts w:asciiTheme="minorHAnsi" w:hAnsiTheme="minorHAnsi"/>
        </w:rPr>
        <w:t xml:space="preserve">One approach to flexibility is characterized by the United States, in which departments and agencies are granted a wide degree to freedom to identify performance indicators within an overall </w:t>
      </w:r>
      <w:r>
        <w:rPr>
          <w:rFonts w:asciiTheme="minorHAnsi" w:hAnsiTheme="minorHAnsi"/>
        </w:rPr>
        <w:t>performance framework (Government Performance and Results Mode</w:t>
      </w:r>
      <w:r w:rsidR="00EE64FE">
        <w:rPr>
          <w:rFonts w:asciiTheme="minorHAnsi" w:hAnsiTheme="minorHAnsi"/>
        </w:rPr>
        <w:t>r</w:t>
      </w:r>
      <w:r>
        <w:rPr>
          <w:rFonts w:asciiTheme="minorHAnsi" w:hAnsiTheme="minorHAnsi"/>
        </w:rPr>
        <w:t xml:space="preserve">nization Act) </w:t>
      </w:r>
      <w:r w:rsidRPr="00A4255D">
        <w:rPr>
          <w:rFonts w:asciiTheme="minorHAnsi" w:hAnsiTheme="minorHAnsi"/>
        </w:rPr>
        <w:t>that requires each agency to develop a strategic plan and identify agency priority goals, lin</w:t>
      </w:r>
      <w:r w:rsidR="00383ED0">
        <w:rPr>
          <w:rFonts w:asciiTheme="minorHAnsi" w:hAnsiTheme="minorHAnsi"/>
        </w:rPr>
        <w:t xml:space="preserve">ked to federal priority goals. </w:t>
      </w:r>
      <w:r w:rsidRPr="00A4255D">
        <w:rPr>
          <w:rFonts w:asciiTheme="minorHAnsi" w:hAnsiTheme="minorHAnsi"/>
        </w:rPr>
        <w:t xml:space="preserve">The Office of Management and Budget provides an oversight role, supports and advises departments and agencies on methodology, follows up on priority goals of the administration and intervenes in cases of poor </w:t>
      </w:r>
      <w:r w:rsidRPr="00A4255D">
        <w:rPr>
          <w:rFonts w:asciiTheme="minorHAnsi" w:hAnsiTheme="minorHAnsi"/>
        </w:rPr>
        <w:lastRenderedPageBreak/>
        <w:t xml:space="preserve">performance. The challenge with this type of approach is to prepare a single coherent budget report to the legislature.  </w:t>
      </w:r>
    </w:p>
    <w:p w:rsidR="00FB57F2" w:rsidRPr="00A4255D" w:rsidRDefault="00FB57F2" w:rsidP="00FB57F2">
      <w:pPr>
        <w:pStyle w:val="BodyText"/>
        <w:rPr>
          <w:rFonts w:asciiTheme="minorHAnsi" w:hAnsiTheme="minorHAnsi"/>
        </w:rPr>
      </w:pPr>
      <w:r w:rsidRPr="00A4255D">
        <w:rPr>
          <w:rFonts w:asciiTheme="minorHAnsi" w:hAnsiTheme="minorHAnsi"/>
        </w:rPr>
        <w:t>An alternative approach</w:t>
      </w:r>
      <w:r>
        <w:rPr>
          <w:rFonts w:asciiTheme="minorHAnsi" w:hAnsiTheme="minorHAnsi"/>
        </w:rPr>
        <w:t xml:space="preserve"> to flexibility </w:t>
      </w:r>
      <w:r w:rsidRPr="00A4255D">
        <w:rPr>
          <w:rFonts w:asciiTheme="minorHAnsi" w:hAnsiTheme="minorHAnsi"/>
        </w:rPr>
        <w:t xml:space="preserve">is to create alternative tracks/ requirements for different types of </w:t>
      </w:r>
      <w:r w:rsidR="0090328E">
        <w:rPr>
          <w:rFonts w:asciiTheme="minorHAnsi" w:hAnsiTheme="minorHAnsi"/>
        </w:rPr>
        <w:t>programmes</w:t>
      </w:r>
      <w:r w:rsidRPr="00A4255D">
        <w:rPr>
          <w:rFonts w:asciiTheme="minorHAnsi" w:hAnsiTheme="minorHAnsi"/>
        </w:rPr>
        <w:t xml:space="preserve"> that fall into pre-defined categories.</w:t>
      </w:r>
      <w:r>
        <w:rPr>
          <w:rFonts w:asciiTheme="minorHAnsi" w:hAnsiTheme="minorHAnsi"/>
        </w:rPr>
        <w:t xml:space="preserve"> </w:t>
      </w:r>
      <w:r w:rsidRPr="00A4255D">
        <w:rPr>
          <w:rFonts w:asciiTheme="minorHAnsi" w:hAnsiTheme="minorHAnsi"/>
        </w:rPr>
        <w:t>The Netherlands has sought to add nuance to strategic prioritization by asking ministries to identify the degree to which they control a policy outcome; four distinct levels of involvement are distinguished</w:t>
      </w:r>
      <w:r w:rsidR="00EE64FE">
        <w:rPr>
          <w:rFonts w:asciiTheme="minorHAnsi" w:hAnsiTheme="minorHAnsi"/>
        </w:rPr>
        <w:t xml:space="preserve"> (see Figure 5)</w:t>
      </w:r>
      <w:r w:rsidRPr="00A4255D">
        <w:rPr>
          <w:rFonts w:asciiTheme="minorHAnsi" w:hAnsiTheme="minorHAnsi"/>
        </w:rPr>
        <w:t xml:space="preserve">. </w:t>
      </w:r>
    </w:p>
    <w:p w:rsidR="00FB57F2" w:rsidRPr="00A4255D" w:rsidRDefault="00DE5FA9" w:rsidP="00FB57F2">
      <w:pPr>
        <w:keepNext/>
        <w:spacing w:before="240" w:after="240"/>
        <w:jc w:val="center"/>
        <w:rPr>
          <w:rFonts w:asciiTheme="minorHAnsi" w:hAnsiTheme="minorHAnsi"/>
          <w:b/>
        </w:rPr>
      </w:pPr>
      <w:r>
        <w:rPr>
          <w:rFonts w:asciiTheme="minorHAnsi" w:hAnsiTheme="minorHAnsi"/>
          <w:b/>
        </w:rPr>
        <w:t xml:space="preserve">Figure </w:t>
      </w:r>
      <w:r w:rsidR="008F79FE">
        <w:rPr>
          <w:rFonts w:asciiTheme="minorHAnsi" w:hAnsiTheme="minorHAnsi"/>
          <w:b/>
        </w:rPr>
        <w:t>5</w:t>
      </w:r>
      <w:r w:rsidR="00EE64FE">
        <w:rPr>
          <w:rFonts w:asciiTheme="minorHAnsi" w:hAnsiTheme="minorHAnsi"/>
          <w:b/>
        </w:rPr>
        <w:t xml:space="preserve"> – Netherlands: </w:t>
      </w:r>
      <w:r w:rsidR="00FB57F2" w:rsidRPr="00A4255D">
        <w:rPr>
          <w:rFonts w:asciiTheme="minorHAnsi" w:hAnsiTheme="minorHAnsi"/>
          <w:b/>
        </w:rPr>
        <w:t xml:space="preserve">Differentiated Approaches Based on Relationships between </w:t>
      </w:r>
      <w:r w:rsidR="0046141F">
        <w:rPr>
          <w:rFonts w:asciiTheme="minorHAnsi" w:hAnsiTheme="minorHAnsi"/>
          <w:b/>
        </w:rPr>
        <w:br/>
      </w:r>
      <w:r w:rsidR="00FB57F2" w:rsidRPr="00A4255D">
        <w:rPr>
          <w:rFonts w:asciiTheme="minorHAnsi" w:hAnsiTheme="minorHAnsi"/>
          <w:b/>
        </w:rPr>
        <w:t>Budget and Outcomes</w:t>
      </w:r>
    </w:p>
    <w:p w:rsidR="00FB57F2" w:rsidRPr="00A4255D" w:rsidRDefault="00FB57F2" w:rsidP="00FB57F2">
      <w:pPr>
        <w:jc w:val="center"/>
        <w:rPr>
          <w:rFonts w:asciiTheme="minorHAnsi" w:hAnsiTheme="minorHAnsi"/>
        </w:rPr>
      </w:pPr>
      <w:r w:rsidRPr="00A4255D">
        <w:rPr>
          <w:rFonts w:asciiTheme="minorHAnsi" w:hAnsiTheme="minorHAnsi"/>
          <w:noProof/>
          <w:lang w:eastAsia="en-GB"/>
        </w:rPr>
        <w:drawing>
          <wp:inline distT="0" distB="0" distL="0" distR="0" wp14:anchorId="2048F85D" wp14:editId="2A6CD257">
            <wp:extent cx="4472940" cy="183642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472940" cy="1836420"/>
                    </a:xfrm>
                    <a:prstGeom prst="rect">
                      <a:avLst/>
                    </a:prstGeom>
                  </pic:spPr>
                </pic:pic>
              </a:graphicData>
            </a:graphic>
          </wp:inline>
        </w:drawing>
      </w:r>
    </w:p>
    <w:p w:rsidR="00FB57F2" w:rsidRDefault="00FB57F2" w:rsidP="00FB57F2">
      <w:pPr>
        <w:pStyle w:val="BodyText"/>
        <w:spacing w:before="360"/>
        <w:rPr>
          <w:rFonts w:asciiTheme="minorHAnsi" w:hAnsiTheme="minorHAnsi"/>
        </w:rPr>
      </w:pPr>
      <w:r w:rsidRPr="00A4255D">
        <w:rPr>
          <w:rFonts w:asciiTheme="minorHAnsi" w:hAnsiTheme="minorHAnsi"/>
        </w:rPr>
        <w:t>When government has limited control over the policy outcome, such as domestic security or environmental outcomes, it might seek to stimulate or regulate outcomes. It may also fund services, or directly provide services. In the latter cases, it becomes more reasonable to expect a closer link between resources provided and outputs and outcomes than in cases where government has much less direct involvement in an outcome. Such an approach requires politicians to take a realistic approach to performance data, acknowledging that government does not control outcomes for many services it may have an interest in. This change has discouraged ministries from padding budget proposals with performance data that was unnecessary, or seeking to claim credit for tasks they did not really control.</w:t>
      </w:r>
    </w:p>
    <w:p w:rsidR="00FB57F2" w:rsidRDefault="0090328E" w:rsidP="00FB57F2">
      <w:pPr>
        <w:pStyle w:val="BodyText"/>
        <w:spacing w:before="360"/>
        <w:rPr>
          <w:rFonts w:asciiTheme="minorHAnsi" w:hAnsiTheme="minorHAnsi"/>
        </w:rPr>
      </w:pPr>
      <w:r>
        <w:rPr>
          <w:rFonts w:asciiTheme="minorHAnsi" w:hAnsiTheme="minorHAnsi"/>
        </w:rPr>
        <w:t>Programmes</w:t>
      </w:r>
      <w:r w:rsidR="00FB57F2">
        <w:rPr>
          <w:rFonts w:asciiTheme="minorHAnsi" w:hAnsiTheme="minorHAnsi"/>
        </w:rPr>
        <w:t xml:space="preserve"> that cover the basic functioning of ministries, such as administrative costs, maintenance etc. do not directly contribute to policy outcomes and so it does not make sense to relate such expenditure to higher level policy objectives of the Ministry. The relevant measures of the performance of such </w:t>
      </w:r>
      <w:r>
        <w:rPr>
          <w:rFonts w:asciiTheme="minorHAnsi" w:hAnsiTheme="minorHAnsi"/>
        </w:rPr>
        <w:t>programmes</w:t>
      </w:r>
      <w:r w:rsidR="00FB57F2">
        <w:rPr>
          <w:rFonts w:asciiTheme="minorHAnsi" w:hAnsiTheme="minorHAnsi"/>
        </w:rPr>
        <w:t xml:space="preserve"> are more likely to be cross government targets to improve the efficiency and quality of such functions.  Standard templates and performance measures may therefore be applied reducing the burden on ministries to define </w:t>
      </w:r>
      <w:r>
        <w:rPr>
          <w:rFonts w:asciiTheme="minorHAnsi" w:hAnsiTheme="minorHAnsi"/>
        </w:rPr>
        <w:t>programmes</w:t>
      </w:r>
      <w:r w:rsidR="00FB57F2">
        <w:rPr>
          <w:rFonts w:asciiTheme="minorHAnsi" w:hAnsiTheme="minorHAnsi"/>
        </w:rPr>
        <w:t xml:space="preserve"> and develop performance measures and will also aid comparison of performance</w:t>
      </w:r>
      <w:r w:rsidR="00383ED0">
        <w:rPr>
          <w:rFonts w:asciiTheme="minorHAnsi" w:hAnsiTheme="minorHAnsi"/>
        </w:rPr>
        <w:t xml:space="preserve"> across government departments.</w:t>
      </w:r>
    </w:p>
    <w:p w:rsidR="00FB57F2" w:rsidRPr="00A4255D" w:rsidRDefault="00FB57F2" w:rsidP="00FB57F2">
      <w:pPr>
        <w:pStyle w:val="BodyText"/>
        <w:rPr>
          <w:rFonts w:asciiTheme="minorHAnsi" w:hAnsiTheme="minorHAnsi"/>
        </w:rPr>
      </w:pPr>
      <w:r w:rsidRPr="00A4255D">
        <w:rPr>
          <w:rFonts w:asciiTheme="minorHAnsi" w:hAnsiTheme="minorHAnsi"/>
        </w:rPr>
        <w:t xml:space="preserve">A common challenge in performance budgeting is </w:t>
      </w:r>
      <w:r>
        <w:rPr>
          <w:rFonts w:asciiTheme="minorHAnsi" w:hAnsiTheme="minorHAnsi"/>
        </w:rPr>
        <w:t xml:space="preserve">how to deal with complex or “wicked” issues that defy an easy solution and require concerted action by different government departments and agencies.  Should reducing infant mortality for example be a separate program, with its own resources, or simply a goal supported by activities within multiple other </w:t>
      </w:r>
      <w:r w:rsidR="0090328E">
        <w:rPr>
          <w:rFonts w:asciiTheme="minorHAnsi" w:hAnsiTheme="minorHAnsi"/>
        </w:rPr>
        <w:t>programmes</w:t>
      </w:r>
      <w:r>
        <w:rPr>
          <w:rFonts w:asciiTheme="minorHAnsi" w:hAnsiTheme="minorHAnsi"/>
        </w:rPr>
        <w:t xml:space="preserve"> (e.g. health education, nutrition and primary care)</w:t>
      </w:r>
      <w:proofErr w:type="gramStart"/>
      <w:r>
        <w:rPr>
          <w:rFonts w:asciiTheme="minorHAnsi" w:hAnsiTheme="minorHAnsi"/>
        </w:rPr>
        <w:t>.</w:t>
      </w:r>
      <w:proofErr w:type="gramEnd"/>
      <w:r>
        <w:rPr>
          <w:rFonts w:asciiTheme="minorHAnsi" w:hAnsiTheme="minorHAnsi"/>
        </w:rPr>
        <w:t xml:space="preserve"> There is no right answer, only di</w:t>
      </w:r>
      <w:r w:rsidR="0046141F">
        <w:rPr>
          <w:rFonts w:asciiTheme="minorHAnsi" w:hAnsiTheme="minorHAnsi"/>
        </w:rPr>
        <w:t xml:space="preserve">fferent trade-offs to be made. </w:t>
      </w:r>
      <w:r>
        <w:rPr>
          <w:rFonts w:asciiTheme="minorHAnsi" w:hAnsiTheme="minorHAnsi"/>
        </w:rPr>
        <w:t xml:space="preserve">In general, however, </w:t>
      </w:r>
      <w:r w:rsidR="0090328E">
        <w:rPr>
          <w:rFonts w:asciiTheme="minorHAnsi" w:hAnsiTheme="minorHAnsi"/>
        </w:rPr>
        <w:t>programmes</w:t>
      </w:r>
      <w:r>
        <w:rPr>
          <w:rFonts w:asciiTheme="minorHAnsi" w:hAnsiTheme="minorHAnsi"/>
        </w:rPr>
        <w:t xml:space="preserve"> in OECD countries are aligned </w:t>
      </w:r>
      <w:r w:rsidRPr="00A4255D">
        <w:rPr>
          <w:rFonts w:asciiTheme="minorHAnsi" w:hAnsiTheme="minorHAnsi"/>
        </w:rPr>
        <w:t>with existing administrative structures</w:t>
      </w:r>
      <w:r>
        <w:rPr>
          <w:rFonts w:asciiTheme="minorHAnsi" w:hAnsiTheme="minorHAnsi"/>
        </w:rPr>
        <w:t xml:space="preserve"> as this aids accountability</w:t>
      </w:r>
      <w:r w:rsidRPr="00A4255D">
        <w:rPr>
          <w:rFonts w:asciiTheme="minorHAnsi" w:hAnsiTheme="minorHAnsi"/>
        </w:rPr>
        <w:t>.</w:t>
      </w:r>
      <w:r>
        <w:rPr>
          <w:rFonts w:asciiTheme="minorHAnsi" w:hAnsiTheme="minorHAnsi"/>
        </w:rPr>
        <w:t xml:space="preserve"> T</w:t>
      </w:r>
      <w:r w:rsidRPr="00A4255D">
        <w:rPr>
          <w:rFonts w:asciiTheme="minorHAnsi" w:hAnsiTheme="minorHAnsi"/>
        </w:rPr>
        <w:t>o de</w:t>
      </w:r>
      <w:r>
        <w:rPr>
          <w:rFonts w:asciiTheme="minorHAnsi" w:hAnsiTheme="minorHAnsi"/>
        </w:rPr>
        <w:t>al with complex or wicked issues governments tend to rely on inter-</w:t>
      </w:r>
      <w:r w:rsidRPr="00A4255D">
        <w:rPr>
          <w:rFonts w:asciiTheme="minorHAnsi" w:hAnsiTheme="minorHAnsi"/>
        </w:rPr>
        <w:t>ministerial co-ordination mechanisms</w:t>
      </w:r>
      <w:r>
        <w:rPr>
          <w:rFonts w:asciiTheme="minorHAnsi" w:hAnsiTheme="minorHAnsi"/>
        </w:rPr>
        <w:t xml:space="preserve">, led by </w:t>
      </w:r>
      <w:r w:rsidRPr="00A4255D">
        <w:rPr>
          <w:rFonts w:asciiTheme="minorHAnsi" w:hAnsiTheme="minorHAnsi"/>
        </w:rPr>
        <w:t>the centre of government.</w:t>
      </w:r>
      <w:r w:rsidRPr="002E66F3">
        <w:rPr>
          <w:rFonts w:asciiTheme="minorHAnsi" w:hAnsiTheme="minorHAnsi"/>
        </w:rPr>
        <w:t xml:space="preserve"> </w:t>
      </w:r>
      <w:r>
        <w:rPr>
          <w:rFonts w:asciiTheme="minorHAnsi" w:hAnsiTheme="minorHAnsi"/>
        </w:rPr>
        <w:t xml:space="preserve">At the same time the organisational structure </w:t>
      </w:r>
      <w:r>
        <w:rPr>
          <w:rFonts w:asciiTheme="minorHAnsi" w:hAnsiTheme="minorHAnsi"/>
        </w:rPr>
        <w:lastRenderedPageBreak/>
        <w:t xml:space="preserve">should not dictate the </w:t>
      </w:r>
      <w:r w:rsidR="0090328E">
        <w:rPr>
          <w:rFonts w:asciiTheme="minorHAnsi" w:hAnsiTheme="minorHAnsi"/>
        </w:rPr>
        <w:t>programmes</w:t>
      </w:r>
      <w:r>
        <w:rPr>
          <w:rFonts w:asciiTheme="minorHAnsi" w:hAnsiTheme="minorHAnsi"/>
        </w:rPr>
        <w:t xml:space="preserve"> and a performance focus may help to identify that reorganization is justified and will lead to better outcomes.</w:t>
      </w:r>
      <w:r w:rsidR="00C54BDA">
        <w:rPr>
          <w:rFonts w:asciiTheme="minorHAnsi" w:hAnsiTheme="minorHAnsi"/>
        </w:rPr>
        <w:t xml:space="preserve">  The United States offers an example of institutionalized mechanisms to promote co-ordination</w:t>
      </w:r>
      <w:r w:rsidR="005F7A37">
        <w:rPr>
          <w:rFonts w:asciiTheme="minorHAnsi" w:hAnsiTheme="minorHAnsi"/>
        </w:rPr>
        <w:t xml:space="preserve"> around cross-agency goals (see Box 7).</w:t>
      </w:r>
      <w:r w:rsidR="00C54BDA">
        <w:rPr>
          <w:rFonts w:asciiTheme="minorHAnsi" w:hAnsiTheme="minorHAnsi"/>
        </w:rPr>
        <w:t xml:space="preserve"> </w:t>
      </w:r>
    </w:p>
    <w:p w:rsidR="00FB57F2" w:rsidRDefault="00FB57F2" w:rsidP="00FB57F2">
      <w:pPr>
        <w:pStyle w:val="BodyText"/>
        <w:rPr>
          <w:rFonts w:asciiTheme="minorHAnsi" w:hAnsiTheme="minorHAnsi"/>
        </w:rPr>
      </w:pPr>
      <w:r w:rsidRPr="00A4255D">
        <w:rPr>
          <w:rFonts w:asciiTheme="minorHAnsi" w:hAnsiTheme="minorHAnsi"/>
        </w:rPr>
        <w:t>Performance based budgeting typically leads governments to reorganize the budget, introducing a new programmatic classification.  This does not mean that governments need to abandon the traditional economic, administrative an</w:t>
      </w:r>
      <w:r w:rsidR="00383ED0">
        <w:rPr>
          <w:rFonts w:asciiTheme="minorHAnsi" w:hAnsiTheme="minorHAnsi"/>
        </w:rPr>
        <w:t xml:space="preserve">d functional classifications. </w:t>
      </w:r>
      <w:r w:rsidRPr="00A4255D">
        <w:rPr>
          <w:rFonts w:asciiTheme="minorHAnsi" w:hAnsiTheme="minorHAnsi"/>
        </w:rPr>
        <w:t xml:space="preserve">However, in order to avoid over complicating budget execution the economic classification may need to be simplified by consolidating </w:t>
      </w:r>
      <w:r>
        <w:rPr>
          <w:rFonts w:asciiTheme="minorHAnsi" w:hAnsiTheme="minorHAnsi"/>
        </w:rPr>
        <w:t xml:space="preserve">economic and administrative classification systems, </w:t>
      </w:r>
      <w:r w:rsidRPr="00A4255D">
        <w:rPr>
          <w:rFonts w:asciiTheme="minorHAnsi" w:hAnsiTheme="minorHAnsi"/>
        </w:rPr>
        <w:t>thereby retaining or increasing flexibil</w:t>
      </w:r>
      <w:r w:rsidR="00383ED0">
        <w:rPr>
          <w:rFonts w:asciiTheme="minorHAnsi" w:hAnsiTheme="minorHAnsi"/>
        </w:rPr>
        <w:t xml:space="preserve">ity. </w:t>
      </w:r>
      <w:r w:rsidRPr="00A4255D">
        <w:rPr>
          <w:rFonts w:asciiTheme="minorHAnsi" w:hAnsiTheme="minorHAnsi"/>
        </w:rPr>
        <w:t>Several countries, such as the Netherlands, initially abandoned economic classification but re-introduced it on a simplified basis after concluding that this has led to too much loss of control.</w:t>
      </w:r>
    </w:p>
    <w:p w:rsidR="005F7A37" w:rsidRPr="00E319D8" w:rsidRDefault="005F7A37" w:rsidP="00002EE1">
      <w:pPr>
        <w:pBdr>
          <w:top w:val="single" w:sz="4" w:space="1" w:color="auto"/>
          <w:left w:val="single" w:sz="4" w:space="4" w:color="auto"/>
          <w:bottom w:val="single" w:sz="4" w:space="5" w:color="auto"/>
          <w:right w:val="single" w:sz="4" w:space="4" w:color="auto"/>
        </w:pBdr>
        <w:spacing w:before="240" w:after="240"/>
        <w:jc w:val="center"/>
        <w:rPr>
          <w:rFonts w:asciiTheme="minorHAnsi" w:hAnsiTheme="minorHAnsi"/>
          <w:b/>
        </w:rPr>
      </w:pPr>
      <w:r w:rsidRPr="00E319D8">
        <w:rPr>
          <w:rFonts w:asciiTheme="minorHAnsi" w:hAnsiTheme="minorHAnsi"/>
          <w:b/>
        </w:rPr>
        <w:t>Box 7</w:t>
      </w:r>
      <w:r w:rsidR="007E549C">
        <w:rPr>
          <w:rFonts w:asciiTheme="minorHAnsi" w:hAnsiTheme="minorHAnsi"/>
          <w:b/>
        </w:rPr>
        <w:t>:</w:t>
      </w:r>
      <w:r w:rsidRPr="00E319D8">
        <w:rPr>
          <w:rFonts w:asciiTheme="minorHAnsi" w:hAnsiTheme="minorHAnsi"/>
          <w:b/>
        </w:rPr>
        <w:t xml:space="preserve">  </w:t>
      </w:r>
      <w:r>
        <w:rPr>
          <w:rFonts w:asciiTheme="minorHAnsi" w:hAnsiTheme="minorHAnsi"/>
          <w:b/>
        </w:rPr>
        <w:t>United States</w:t>
      </w:r>
      <w:r w:rsidR="007E549C">
        <w:rPr>
          <w:rFonts w:asciiTheme="minorHAnsi" w:hAnsiTheme="minorHAnsi"/>
          <w:b/>
        </w:rPr>
        <w:t xml:space="preserve"> -</w:t>
      </w:r>
      <w:r>
        <w:rPr>
          <w:rFonts w:asciiTheme="minorHAnsi" w:hAnsiTheme="minorHAnsi"/>
          <w:b/>
        </w:rPr>
        <w:t xml:space="preserve"> </w:t>
      </w:r>
      <w:r w:rsidR="007E549C">
        <w:rPr>
          <w:rFonts w:asciiTheme="minorHAnsi" w:hAnsiTheme="minorHAnsi"/>
          <w:b/>
        </w:rPr>
        <w:t>Coordination of cross</w:t>
      </w:r>
      <w:r w:rsidRPr="00E319D8">
        <w:rPr>
          <w:rFonts w:asciiTheme="minorHAnsi" w:hAnsiTheme="minorHAnsi"/>
          <w:b/>
        </w:rPr>
        <w:t>–agency priority goals</w:t>
      </w:r>
    </w:p>
    <w:p w:rsidR="005F7A37" w:rsidRPr="005461D8" w:rsidRDefault="005F7A37" w:rsidP="00002EE1">
      <w:pPr>
        <w:pBdr>
          <w:top w:val="single" w:sz="4" w:space="1" w:color="auto"/>
          <w:left w:val="single" w:sz="4" w:space="4" w:color="auto"/>
          <w:bottom w:val="single" w:sz="4" w:space="5" w:color="auto"/>
          <w:right w:val="single" w:sz="4" w:space="4" w:color="auto"/>
        </w:pBdr>
        <w:spacing w:after="240"/>
        <w:rPr>
          <w:rFonts w:asciiTheme="minorHAnsi" w:hAnsiTheme="minorHAnsi"/>
        </w:rPr>
      </w:pPr>
      <w:r w:rsidRPr="005461D8">
        <w:rPr>
          <w:rFonts w:asciiTheme="minorHAnsi" w:hAnsiTheme="minorHAnsi"/>
        </w:rPr>
        <w:t>The GPRA Modernization Act of 2010 (GPRAMA) requires the Office of Management and Budget (OMB) to coordinate with agencies to develop cross</w:t>
      </w:r>
      <w:r>
        <w:rPr>
          <w:rFonts w:asciiTheme="minorHAnsi" w:hAnsiTheme="minorHAnsi"/>
        </w:rPr>
        <w:t>-</w:t>
      </w:r>
      <w:r w:rsidRPr="005461D8">
        <w:rPr>
          <w:rFonts w:asciiTheme="minorHAnsi" w:hAnsiTheme="minorHAnsi"/>
        </w:rPr>
        <w:t xml:space="preserve">agency priority (CAP) goals, which are 4-year outcome-oriented goals covering a number of complex or high-risk management and mission issues. Examples of CAP goals and goal statements </w:t>
      </w:r>
    </w:p>
    <w:p w:rsidR="00002EE1" w:rsidRDefault="005F7A37" w:rsidP="00002EE1">
      <w:pPr>
        <w:pBdr>
          <w:top w:val="single" w:sz="4" w:space="1" w:color="auto"/>
          <w:left w:val="single" w:sz="4" w:space="4" w:color="auto"/>
          <w:bottom w:val="single" w:sz="4" w:space="5" w:color="auto"/>
          <w:right w:val="single" w:sz="4" w:space="4" w:color="auto"/>
        </w:pBdr>
        <w:jc w:val="center"/>
        <w:rPr>
          <w:rFonts w:asciiTheme="minorHAnsi" w:hAnsiTheme="minorHAnsi"/>
        </w:rPr>
      </w:pPr>
      <w:r w:rsidRPr="005461D8">
        <w:rPr>
          <w:rFonts w:asciiTheme="minorHAnsi" w:hAnsiTheme="minorHAnsi"/>
          <w:noProof/>
          <w:lang w:eastAsia="en-GB"/>
        </w:rPr>
        <w:drawing>
          <wp:inline distT="0" distB="0" distL="0" distR="0" wp14:anchorId="5F58F8F6" wp14:editId="7353E049">
            <wp:extent cx="4701540" cy="19278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701540" cy="1927860"/>
                    </a:xfrm>
                    <a:prstGeom prst="rect">
                      <a:avLst/>
                    </a:prstGeom>
                  </pic:spPr>
                </pic:pic>
              </a:graphicData>
            </a:graphic>
          </wp:inline>
        </w:drawing>
      </w:r>
    </w:p>
    <w:p w:rsidR="005F7A37" w:rsidRDefault="005F7A37" w:rsidP="00002EE1">
      <w:pPr>
        <w:pBdr>
          <w:top w:val="single" w:sz="4" w:space="1" w:color="auto"/>
          <w:left w:val="single" w:sz="4" w:space="4" w:color="auto"/>
          <w:bottom w:val="single" w:sz="4" w:space="5" w:color="auto"/>
          <w:right w:val="single" w:sz="4" w:space="4" w:color="auto"/>
        </w:pBdr>
        <w:rPr>
          <w:rFonts w:asciiTheme="minorHAnsi" w:hAnsiTheme="minorHAnsi"/>
        </w:rPr>
      </w:pPr>
      <w:r w:rsidRPr="005461D8">
        <w:rPr>
          <w:rFonts w:asciiTheme="minorHAnsi" w:hAnsiTheme="minorHAnsi"/>
        </w:rPr>
        <w:t xml:space="preserve">OMB and the </w:t>
      </w:r>
      <w:r>
        <w:rPr>
          <w:rFonts w:asciiTheme="minorHAnsi" w:hAnsiTheme="minorHAnsi"/>
        </w:rPr>
        <w:t>Performance Improvement Council (PIC) have introduced a</w:t>
      </w:r>
      <w:r w:rsidRPr="005461D8">
        <w:rPr>
          <w:rFonts w:asciiTheme="minorHAnsi" w:hAnsiTheme="minorHAnsi"/>
        </w:rPr>
        <w:t xml:space="preserve"> goal governance structure </w:t>
      </w:r>
      <w:r>
        <w:rPr>
          <w:rFonts w:asciiTheme="minorHAnsi" w:hAnsiTheme="minorHAnsi"/>
        </w:rPr>
        <w:t xml:space="preserve">that </w:t>
      </w:r>
      <w:r w:rsidRPr="005461D8">
        <w:rPr>
          <w:rFonts w:asciiTheme="minorHAnsi" w:hAnsiTheme="minorHAnsi"/>
        </w:rPr>
        <w:t>include</w:t>
      </w:r>
      <w:r>
        <w:rPr>
          <w:rFonts w:asciiTheme="minorHAnsi" w:hAnsiTheme="minorHAnsi"/>
        </w:rPr>
        <w:t>s</w:t>
      </w:r>
      <w:r w:rsidRPr="005461D8">
        <w:rPr>
          <w:rFonts w:asciiTheme="minorHAnsi" w:hAnsiTheme="minorHAnsi"/>
        </w:rPr>
        <w:t xml:space="preserve"> agency leaders, and holds regular senior-level reviews on CAP goal progress. They also provide ongoing assistance to CAP goal teams, such as by helping teams develop milestones and performance measures. OMB and the PIC </w:t>
      </w:r>
      <w:r>
        <w:rPr>
          <w:rFonts w:asciiTheme="minorHAnsi" w:hAnsiTheme="minorHAnsi"/>
        </w:rPr>
        <w:t>offer</w:t>
      </w:r>
      <w:r w:rsidRPr="005461D8">
        <w:rPr>
          <w:rFonts w:asciiTheme="minorHAnsi" w:hAnsiTheme="minorHAnsi"/>
        </w:rPr>
        <w:t xml:space="preserve"> guidance to assist CAP goal teams in managing the goals and in meeting GPRAMA reporting requirements. CAP goal teams </w:t>
      </w:r>
      <w:r>
        <w:rPr>
          <w:rFonts w:asciiTheme="minorHAnsi" w:hAnsiTheme="minorHAnsi"/>
        </w:rPr>
        <w:t>reported to the US Government Accountability Office (</w:t>
      </w:r>
      <w:r w:rsidRPr="005461D8">
        <w:rPr>
          <w:rFonts w:asciiTheme="minorHAnsi" w:hAnsiTheme="minorHAnsi"/>
        </w:rPr>
        <w:t>GAO</w:t>
      </w:r>
      <w:r>
        <w:rPr>
          <w:rFonts w:asciiTheme="minorHAnsi" w:hAnsiTheme="minorHAnsi"/>
        </w:rPr>
        <w:t>)</w:t>
      </w:r>
      <w:r w:rsidRPr="005461D8">
        <w:rPr>
          <w:rFonts w:asciiTheme="minorHAnsi" w:hAnsiTheme="minorHAnsi"/>
        </w:rPr>
        <w:t xml:space="preserve"> that the CAP goal designation increased leadership attention and improved interagency collaboration on these issues</w:t>
      </w:r>
      <w:r>
        <w:rPr>
          <w:rFonts w:asciiTheme="minorHAnsi" w:hAnsiTheme="minorHAnsi"/>
        </w:rPr>
        <w:t>.</w:t>
      </w:r>
    </w:p>
    <w:p w:rsidR="00002EE1" w:rsidRDefault="00002EE1">
      <w:pPr>
        <w:tabs>
          <w:tab w:val="clear" w:pos="850"/>
          <w:tab w:val="clear" w:pos="1191"/>
          <w:tab w:val="clear" w:pos="1531"/>
        </w:tabs>
        <w:jc w:val="left"/>
        <w:rPr>
          <w:rFonts w:asciiTheme="minorHAnsi" w:hAnsiTheme="minorHAnsi"/>
        </w:rPr>
      </w:pPr>
    </w:p>
    <w:p w:rsidR="005F7A37" w:rsidRDefault="005F7A37">
      <w:pPr>
        <w:tabs>
          <w:tab w:val="clear" w:pos="850"/>
          <w:tab w:val="clear" w:pos="1191"/>
          <w:tab w:val="clear" w:pos="1531"/>
        </w:tabs>
        <w:jc w:val="left"/>
        <w:rPr>
          <w:rFonts w:asciiTheme="minorHAnsi" w:hAnsiTheme="minorHAnsi"/>
        </w:rPr>
      </w:pPr>
      <w:r>
        <w:rPr>
          <w:rFonts w:asciiTheme="minorHAnsi" w:hAnsiTheme="minorHAnsi"/>
        </w:rPr>
        <w:br w:type="page"/>
      </w:r>
    </w:p>
    <w:p w:rsidR="0046141F" w:rsidRDefault="0046141F" w:rsidP="005F7A37">
      <w:pPr>
        <w:pStyle w:val="BodyText"/>
        <w:rPr>
          <w:rFonts w:asciiTheme="minorHAnsi" w:hAnsiTheme="minorHAnsi"/>
        </w:rPr>
      </w:pPr>
    </w:p>
    <w:p w:rsidR="00DD305F" w:rsidRPr="0046141F" w:rsidRDefault="003A2CEB" w:rsidP="0046141F">
      <w:pPr>
        <w:pStyle w:val="Heading1"/>
        <w:pBdr>
          <w:top w:val="single" w:sz="4" w:space="1" w:color="auto"/>
          <w:left w:val="single" w:sz="4" w:space="4" w:color="auto"/>
          <w:bottom w:val="single" w:sz="4" w:space="12" w:color="auto"/>
          <w:right w:val="single" w:sz="4" w:space="4" w:color="auto"/>
        </w:pBdr>
        <w:shd w:val="clear" w:color="auto" w:fill="CCECFF"/>
        <w:tabs>
          <w:tab w:val="clear" w:pos="850"/>
          <w:tab w:val="left" w:pos="567"/>
        </w:tabs>
        <w:spacing w:before="120" w:after="240"/>
        <w:ind w:left="567" w:hanging="567"/>
        <w:rPr>
          <w:rFonts w:asciiTheme="minorHAnsi" w:hAnsiTheme="minorHAnsi"/>
          <w:caps w:val="0"/>
          <w:color w:val="1E63AE"/>
          <w:sz w:val="24"/>
          <w:szCs w:val="24"/>
        </w:rPr>
      </w:pPr>
      <w:r>
        <w:rPr>
          <w:rFonts w:asciiTheme="minorHAnsi" w:hAnsiTheme="minorHAnsi"/>
          <w:bCs w:val="0"/>
          <w:caps w:val="0"/>
          <w:color w:val="1E63AE"/>
          <w:kern w:val="0"/>
          <w:sz w:val="24"/>
          <w:szCs w:val="24"/>
        </w:rPr>
        <w:t>Best Practice 4</w:t>
      </w:r>
      <w:r w:rsidR="00770491">
        <w:rPr>
          <w:rFonts w:asciiTheme="minorHAnsi" w:hAnsiTheme="minorHAnsi"/>
          <w:bCs w:val="0"/>
          <w:caps w:val="0"/>
          <w:color w:val="1E63AE"/>
          <w:kern w:val="0"/>
          <w:sz w:val="24"/>
          <w:szCs w:val="24"/>
        </w:rPr>
        <w:br/>
      </w:r>
      <w:r w:rsidR="00DD305F" w:rsidRPr="0046141F">
        <w:rPr>
          <w:rFonts w:asciiTheme="minorHAnsi" w:hAnsiTheme="minorHAnsi"/>
          <w:caps w:val="0"/>
          <w:color w:val="1E63AE"/>
          <w:sz w:val="24"/>
          <w:szCs w:val="24"/>
        </w:rPr>
        <w:t>Managing Performance Information</w:t>
      </w:r>
    </w:p>
    <w:p w:rsidR="00DD305F" w:rsidRDefault="00DD305F" w:rsidP="0046141F">
      <w:pPr>
        <w:pBdr>
          <w:top w:val="single" w:sz="4" w:space="1" w:color="auto"/>
          <w:left w:val="single" w:sz="4" w:space="4" w:color="auto"/>
          <w:bottom w:val="single" w:sz="4" w:space="12" w:color="auto"/>
          <w:right w:val="single" w:sz="4" w:space="4" w:color="auto"/>
        </w:pBdr>
        <w:shd w:val="clear" w:color="auto" w:fill="CCECFF"/>
        <w:tabs>
          <w:tab w:val="clear" w:pos="850"/>
          <w:tab w:val="clear" w:pos="1191"/>
          <w:tab w:val="clear" w:pos="1531"/>
          <w:tab w:val="left" w:pos="567"/>
        </w:tabs>
        <w:spacing w:after="120"/>
        <w:ind w:left="567" w:hanging="567"/>
        <w:rPr>
          <w:rFonts w:asciiTheme="minorHAnsi" w:hAnsiTheme="minorHAnsi"/>
        </w:rPr>
      </w:pPr>
      <w:r>
        <w:rPr>
          <w:rFonts w:asciiTheme="minorHAnsi" w:hAnsiTheme="minorHAnsi"/>
        </w:rPr>
        <w:t>•</w:t>
      </w:r>
      <w:r>
        <w:rPr>
          <w:rFonts w:asciiTheme="minorHAnsi" w:hAnsiTheme="minorHAnsi"/>
        </w:rPr>
        <w:tab/>
        <w:t>The Central Budget Authority guides the production and use of performance information, promoting quality over quantity</w:t>
      </w:r>
      <w:r w:rsidR="0046141F">
        <w:rPr>
          <w:rFonts w:asciiTheme="minorHAnsi" w:hAnsiTheme="minorHAnsi"/>
        </w:rPr>
        <w:t>.</w:t>
      </w:r>
    </w:p>
    <w:p w:rsidR="00DD305F" w:rsidRPr="005A54C3" w:rsidRDefault="0046141F" w:rsidP="0046141F">
      <w:pPr>
        <w:pBdr>
          <w:top w:val="single" w:sz="4" w:space="1" w:color="auto"/>
          <w:left w:val="single" w:sz="4" w:space="4" w:color="auto"/>
          <w:bottom w:val="single" w:sz="4" w:space="12" w:color="auto"/>
          <w:right w:val="single" w:sz="4" w:space="4" w:color="auto"/>
        </w:pBdr>
        <w:shd w:val="clear" w:color="auto" w:fill="CCECFF"/>
        <w:tabs>
          <w:tab w:val="clear" w:pos="850"/>
          <w:tab w:val="clear" w:pos="1191"/>
          <w:tab w:val="clear" w:pos="1531"/>
          <w:tab w:val="left" w:pos="567"/>
        </w:tabs>
        <w:spacing w:after="120"/>
        <w:ind w:left="567" w:hanging="567"/>
        <w:rPr>
          <w:rFonts w:asciiTheme="minorHAnsi" w:hAnsiTheme="minorHAnsi"/>
        </w:rPr>
      </w:pPr>
      <w:r>
        <w:rPr>
          <w:rFonts w:asciiTheme="minorHAnsi" w:hAnsiTheme="minorHAnsi"/>
        </w:rPr>
        <w:t>•</w:t>
      </w:r>
      <w:r>
        <w:rPr>
          <w:rFonts w:asciiTheme="minorHAnsi" w:hAnsiTheme="minorHAnsi"/>
        </w:rPr>
        <w:tab/>
      </w:r>
      <w:r w:rsidR="00DD305F">
        <w:rPr>
          <w:rFonts w:asciiTheme="minorHAnsi" w:hAnsiTheme="minorHAnsi"/>
        </w:rPr>
        <w:t>P</w:t>
      </w:r>
      <w:r w:rsidR="00DD305F" w:rsidRPr="005A54C3">
        <w:rPr>
          <w:rFonts w:asciiTheme="minorHAnsi" w:hAnsiTheme="minorHAnsi"/>
        </w:rPr>
        <w:t>erformance indicators, milestones and targets are consistent with those identified in national policy and strategy documents.</w:t>
      </w:r>
    </w:p>
    <w:p w:rsidR="00DD305F" w:rsidRPr="005A54C3" w:rsidRDefault="00DD305F" w:rsidP="0046141F">
      <w:pPr>
        <w:pBdr>
          <w:top w:val="single" w:sz="4" w:space="1" w:color="auto"/>
          <w:left w:val="single" w:sz="4" w:space="4" w:color="auto"/>
          <w:bottom w:val="single" w:sz="4" w:space="12" w:color="auto"/>
          <w:right w:val="single" w:sz="4" w:space="4" w:color="auto"/>
        </w:pBdr>
        <w:shd w:val="clear" w:color="auto" w:fill="CCECFF"/>
        <w:tabs>
          <w:tab w:val="clear" w:pos="850"/>
          <w:tab w:val="clear" w:pos="1191"/>
          <w:tab w:val="clear" w:pos="1531"/>
          <w:tab w:val="left" w:pos="567"/>
        </w:tabs>
        <w:spacing w:after="120"/>
        <w:ind w:left="567" w:hanging="567"/>
        <w:rPr>
          <w:rFonts w:asciiTheme="minorHAnsi" w:hAnsiTheme="minorHAnsi"/>
        </w:rPr>
      </w:pPr>
      <w:r w:rsidRPr="005A54C3">
        <w:rPr>
          <w:rFonts w:asciiTheme="minorHAnsi" w:hAnsiTheme="minorHAnsi"/>
        </w:rPr>
        <w:t>•</w:t>
      </w:r>
      <w:r w:rsidRPr="005A54C3">
        <w:rPr>
          <w:rFonts w:asciiTheme="minorHAnsi" w:hAnsiTheme="minorHAnsi"/>
        </w:rPr>
        <w:tab/>
        <w:t>Ministries use outcome and output indicators, together with other indicators that are useful in measuring progress towards achieving policy objectives</w:t>
      </w:r>
      <w:r>
        <w:rPr>
          <w:rFonts w:asciiTheme="minorHAnsi" w:hAnsiTheme="minorHAnsi"/>
        </w:rPr>
        <w:t>.</w:t>
      </w:r>
    </w:p>
    <w:p w:rsidR="00DD305F" w:rsidRPr="005A54C3" w:rsidRDefault="00DD305F" w:rsidP="0046141F">
      <w:pPr>
        <w:pBdr>
          <w:top w:val="single" w:sz="4" w:space="1" w:color="auto"/>
          <w:left w:val="single" w:sz="4" w:space="4" w:color="auto"/>
          <w:bottom w:val="single" w:sz="4" w:space="12" w:color="auto"/>
          <w:right w:val="single" w:sz="4" w:space="4" w:color="auto"/>
        </w:pBdr>
        <w:shd w:val="clear" w:color="auto" w:fill="CCECFF"/>
        <w:tabs>
          <w:tab w:val="clear" w:pos="850"/>
          <w:tab w:val="clear" w:pos="1191"/>
          <w:tab w:val="clear" w:pos="1531"/>
          <w:tab w:val="left" w:pos="567"/>
        </w:tabs>
        <w:spacing w:after="120"/>
        <w:ind w:left="567" w:hanging="567"/>
        <w:rPr>
          <w:rFonts w:asciiTheme="minorHAnsi" w:hAnsiTheme="minorHAnsi"/>
        </w:rPr>
      </w:pPr>
      <w:r w:rsidRPr="005A54C3">
        <w:rPr>
          <w:rFonts w:asciiTheme="minorHAnsi" w:hAnsiTheme="minorHAnsi"/>
        </w:rPr>
        <w:t>•</w:t>
      </w:r>
      <w:r w:rsidRPr="005A54C3">
        <w:rPr>
          <w:rFonts w:asciiTheme="minorHAnsi" w:hAnsiTheme="minorHAnsi"/>
        </w:rPr>
        <w:tab/>
      </w:r>
      <w:r>
        <w:rPr>
          <w:rFonts w:asciiTheme="minorHAnsi" w:hAnsiTheme="minorHAnsi"/>
        </w:rPr>
        <w:t>Pe</w:t>
      </w:r>
      <w:r w:rsidRPr="005A54C3">
        <w:rPr>
          <w:rFonts w:asciiTheme="minorHAnsi" w:hAnsiTheme="minorHAnsi"/>
        </w:rPr>
        <w:t>rformance indicators facilitate comparison between similar entities, within the same country or internationally</w:t>
      </w:r>
      <w:r>
        <w:rPr>
          <w:rFonts w:asciiTheme="minorHAnsi" w:hAnsiTheme="minorHAnsi"/>
        </w:rPr>
        <w:t>, whenever</w:t>
      </w:r>
      <w:r w:rsidRPr="005A54C3">
        <w:rPr>
          <w:rFonts w:asciiTheme="minorHAnsi" w:hAnsiTheme="minorHAnsi"/>
        </w:rPr>
        <w:t xml:space="preserve"> practical and consistent with government policy objectives.</w:t>
      </w:r>
    </w:p>
    <w:p w:rsidR="00DD305F" w:rsidRPr="005A54C3" w:rsidRDefault="00DD305F" w:rsidP="0046141F">
      <w:pPr>
        <w:pStyle w:val="ListParagraph"/>
        <w:numPr>
          <w:ilvl w:val="0"/>
          <w:numId w:val="39"/>
        </w:numPr>
        <w:pBdr>
          <w:top w:val="single" w:sz="4" w:space="1" w:color="auto"/>
          <w:left w:val="single" w:sz="4" w:space="4" w:color="auto"/>
          <w:bottom w:val="single" w:sz="4" w:space="12" w:color="auto"/>
          <w:right w:val="single" w:sz="4" w:space="4" w:color="auto"/>
        </w:pBdr>
        <w:shd w:val="clear" w:color="auto" w:fill="CCECFF"/>
        <w:tabs>
          <w:tab w:val="clear" w:pos="850"/>
          <w:tab w:val="clear" w:pos="1191"/>
          <w:tab w:val="clear" w:pos="1531"/>
          <w:tab w:val="left" w:pos="567"/>
        </w:tabs>
        <w:spacing w:before="120" w:after="360"/>
        <w:ind w:left="567" w:hanging="567"/>
        <w:rPr>
          <w:rFonts w:asciiTheme="minorHAnsi" w:hAnsiTheme="minorHAnsi"/>
        </w:rPr>
      </w:pPr>
      <w:r w:rsidRPr="005A54C3">
        <w:rPr>
          <w:rFonts w:asciiTheme="minorHAnsi" w:hAnsiTheme="minorHAnsi"/>
        </w:rPr>
        <w:t xml:space="preserve">The SAI </w:t>
      </w:r>
      <w:r>
        <w:rPr>
          <w:rFonts w:asciiTheme="minorHAnsi" w:hAnsiTheme="minorHAnsi"/>
        </w:rPr>
        <w:t xml:space="preserve">has a role in </w:t>
      </w:r>
      <w:r w:rsidRPr="005A54C3">
        <w:rPr>
          <w:rFonts w:asciiTheme="minorHAnsi" w:hAnsiTheme="minorHAnsi"/>
        </w:rPr>
        <w:t>review</w:t>
      </w:r>
      <w:r>
        <w:rPr>
          <w:rFonts w:asciiTheme="minorHAnsi" w:hAnsiTheme="minorHAnsi"/>
        </w:rPr>
        <w:t>ing</w:t>
      </w:r>
      <w:r w:rsidRPr="005A54C3">
        <w:rPr>
          <w:rFonts w:asciiTheme="minorHAnsi" w:hAnsiTheme="minorHAnsi"/>
        </w:rPr>
        <w:t xml:space="preserve"> and validat</w:t>
      </w:r>
      <w:r>
        <w:rPr>
          <w:rFonts w:asciiTheme="minorHAnsi" w:hAnsiTheme="minorHAnsi"/>
        </w:rPr>
        <w:t>ing</w:t>
      </w:r>
      <w:r w:rsidRPr="005A54C3">
        <w:rPr>
          <w:rFonts w:asciiTheme="minorHAnsi" w:hAnsiTheme="minorHAnsi"/>
        </w:rPr>
        <w:t xml:space="preserve"> </w:t>
      </w:r>
      <w:r>
        <w:rPr>
          <w:rFonts w:asciiTheme="minorHAnsi" w:hAnsiTheme="minorHAnsi"/>
        </w:rPr>
        <w:t xml:space="preserve">the achievement of </w:t>
      </w:r>
      <w:r w:rsidRPr="005A54C3">
        <w:rPr>
          <w:rFonts w:asciiTheme="minorHAnsi" w:hAnsiTheme="minorHAnsi"/>
        </w:rPr>
        <w:t xml:space="preserve">performance </w:t>
      </w:r>
      <w:r>
        <w:rPr>
          <w:rFonts w:asciiTheme="minorHAnsi" w:hAnsiTheme="minorHAnsi"/>
        </w:rPr>
        <w:t>targets, and in assessing the quality of performance frameworks more broadly, including programme-logic models and indicators.</w:t>
      </w:r>
    </w:p>
    <w:p w:rsidR="00660117" w:rsidRPr="00A4255D" w:rsidRDefault="00660117" w:rsidP="006359B9">
      <w:pPr>
        <w:pStyle w:val="BodyText"/>
        <w:spacing w:after="360"/>
        <w:rPr>
          <w:rFonts w:asciiTheme="minorHAnsi" w:hAnsiTheme="minorHAnsi"/>
        </w:rPr>
      </w:pPr>
      <w:r w:rsidRPr="00A4255D">
        <w:rPr>
          <w:rFonts w:asciiTheme="minorHAnsi" w:hAnsiTheme="minorHAnsi"/>
        </w:rPr>
        <w:t>The choice of performance indicators and targets is a critical factor determining whether performance budgeting is effective and credible</w:t>
      </w:r>
      <w:r w:rsidR="009666F2">
        <w:rPr>
          <w:rFonts w:asciiTheme="minorHAnsi" w:hAnsiTheme="minorHAnsi"/>
        </w:rPr>
        <w:t xml:space="preserve">. However, </w:t>
      </w:r>
      <w:r w:rsidRPr="00A4255D">
        <w:rPr>
          <w:rFonts w:asciiTheme="minorHAnsi" w:hAnsiTheme="minorHAnsi"/>
        </w:rPr>
        <w:t>the selection of indicators is a difficult task involving a balance betwee</w:t>
      </w:r>
      <w:r w:rsidR="0046141F">
        <w:rPr>
          <w:rFonts w:asciiTheme="minorHAnsi" w:hAnsiTheme="minorHAnsi"/>
        </w:rPr>
        <w:t xml:space="preserve">n the ideal and the practical. </w:t>
      </w:r>
      <w:r w:rsidRPr="00A4255D">
        <w:rPr>
          <w:rFonts w:asciiTheme="minorHAnsi" w:hAnsiTheme="minorHAnsi"/>
        </w:rPr>
        <w:t xml:space="preserve">Most OECD countries still struggle to come up with consistently </w:t>
      </w:r>
      <w:r w:rsidR="00920B05">
        <w:rPr>
          <w:rFonts w:asciiTheme="minorHAnsi" w:hAnsiTheme="minorHAnsi"/>
        </w:rPr>
        <w:t xml:space="preserve">valid and reliable </w:t>
      </w:r>
      <w:r w:rsidRPr="00A4255D">
        <w:rPr>
          <w:rFonts w:asciiTheme="minorHAnsi" w:hAnsiTheme="minorHAnsi"/>
        </w:rPr>
        <w:t xml:space="preserve">indicators across all sectors and </w:t>
      </w:r>
      <w:r w:rsidR="0090328E">
        <w:rPr>
          <w:rFonts w:asciiTheme="minorHAnsi" w:hAnsiTheme="minorHAnsi"/>
        </w:rPr>
        <w:t>programmes</w:t>
      </w:r>
      <w:r w:rsidRPr="00A4255D">
        <w:rPr>
          <w:rFonts w:asciiTheme="minorHAnsi" w:hAnsiTheme="minorHAnsi"/>
        </w:rPr>
        <w:t>, and only 1</w:t>
      </w:r>
      <w:r w:rsidR="00920B05">
        <w:rPr>
          <w:rFonts w:asciiTheme="minorHAnsi" w:hAnsiTheme="minorHAnsi"/>
        </w:rPr>
        <w:t>7</w:t>
      </w:r>
      <w:r w:rsidRPr="00A4255D">
        <w:rPr>
          <w:rFonts w:asciiTheme="minorHAnsi" w:hAnsiTheme="minorHAnsi"/>
        </w:rPr>
        <w:t xml:space="preserve"> OECD </w:t>
      </w:r>
      <w:r w:rsidR="00920B05">
        <w:rPr>
          <w:rFonts w:asciiTheme="minorHAnsi" w:hAnsiTheme="minorHAnsi"/>
        </w:rPr>
        <w:t xml:space="preserve">countries </w:t>
      </w:r>
      <w:r w:rsidRPr="00A4255D">
        <w:rPr>
          <w:rFonts w:asciiTheme="minorHAnsi" w:hAnsiTheme="minorHAnsi"/>
        </w:rPr>
        <w:t xml:space="preserve">report setting targets for all </w:t>
      </w:r>
      <w:r w:rsidR="00920B05">
        <w:rPr>
          <w:rFonts w:asciiTheme="minorHAnsi" w:hAnsiTheme="minorHAnsi"/>
        </w:rPr>
        <w:t xml:space="preserve">or most </w:t>
      </w:r>
      <w:r w:rsidRPr="00A4255D">
        <w:rPr>
          <w:rFonts w:asciiTheme="minorHAnsi" w:hAnsiTheme="minorHAnsi"/>
        </w:rPr>
        <w:t>programmes (see Figure 6).</w:t>
      </w:r>
      <w:r w:rsidR="00EE1CA6">
        <w:rPr>
          <w:rFonts w:asciiTheme="minorHAnsi" w:hAnsiTheme="minorHAnsi"/>
        </w:rPr>
        <w:t xml:space="preserve">  The central budget authority has an important role to play in guiding the selection and use of performance indicators, encouraging selectivity and quality, rather than allowing for the proliferation of indicators. </w:t>
      </w:r>
    </w:p>
    <w:p w:rsidR="00660117" w:rsidRPr="00A4255D" w:rsidRDefault="00DE5FA9" w:rsidP="00C12136">
      <w:pPr>
        <w:keepNext/>
        <w:spacing w:before="240" w:after="240"/>
        <w:jc w:val="center"/>
        <w:rPr>
          <w:rFonts w:asciiTheme="minorHAnsi" w:hAnsiTheme="minorHAnsi"/>
          <w:b/>
        </w:rPr>
      </w:pPr>
      <w:r>
        <w:rPr>
          <w:rFonts w:asciiTheme="minorHAnsi" w:hAnsiTheme="minorHAnsi"/>
          <w:b/>
        </w:rPr>
        <w:t xml:space="preserve">Figure </w:t>
      </w:r>
      <w:r w:rsidR="00D53482">
        <w:rPr>
          <w:rFonts w:asciiTheme="minorHAnsi" w:hAnsiTheme="minorHAnsi"/>
          <w:b/>
        </w:rPr>
        <w:t>6</w:t>
      </w:r>
      <w:r w:rsidR="00C12136">
        <w:rPr>
          <w:rFonts w:asciiTheme="minorHAnsi" w:hAnsiTheme="minorHAnsi"/>
          <w:b/>
        </w:rPr>
        <w:t xml:space="preserve"> -- </w:t>
      </w:r>
      <w:r w:rsidR="00660117" w:rsidRPr="00A4255D">
        <w:rPr>
          <w:rFonts w:asciiTheme="minorHAnsi" w:hAnsiTheme="minorHAnsi"/>
          <w:b/>
        </w:rPr>
        <w:t>Does the Government Set Performance Targets</w:t>
      </w:r>
    </w:p>
    <w:p w:rsidR="00660117" w:rsidRPr="00A4255D" w:rsidRDefault="00660117" w:rsidP="00C12136">
      <w:pPr>
        <w:jc w:val="center"/>
        <w:rPr>
          <w:rFonts w:asciiTheme="minorHAnsi" w:hAnsiTheme="minorHAnsi"/>
        </w:rPr>
      </w:pPr>
      <w:r w:rsidRPr="00A4255D">
        <w:rPr>
          <w:rFonts w:asciiTheme="minorHAnsi" w:hAnsiTheme="minorHAnsi"/>
          <w:noProof/>
          <w:lang w:eastAsia="en-GB"/>
        </w:rPr>
        <w:drawing>
          <wp:inline distT="0" distB="0" distL="0" distR="0" wp14:anchorId="2BCE232E" wp14:editId="1E2871CE">
            <wp:extent cx="5731510" cy="3086198"/>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60117" w:rsidRPr="00A4255D" w:rsidRDefault="009666F2" w:rsidP="00C12136">
      <w:pPr>
        <w:pStyle w:val="BodyText"/>
        <w:spacing w:before="360"/>
        <w:rPr>
          <w:rFonts w:asciiTheme="minorHAnsi" w:hAnsiTheme="minorHAnsi"/>
        </w:rPr>
      </w:pPr>
      <w:r>
        <w:rPr>
          <w:rFonts w:asciiTheme="minorHAnsi" w:hAnsiTheme="minorHAnsi"/>
        </w:rPr>
        <w:lastRenderedPageBreak/>
        <w:t>M</w:t>
      </w:r>
      <w:r w:rsidR="00660117" w:rsidRPr="00A4255D">
        <w:rPr>
          <w:rFonts w:asciiTheme="minorHAnsi" w:hAnsiTheme="minorHAnsi"/>
        </w:rPr>
        <w:t xml:space="preserve">easures of public policy outcomes </w:t>
      </w:r>
      <w:r w:rsidR="00660117" w:rsidRPr="00A4255D">
        <w:rPr>
          <w:rFonts w:asciiTheme="minorHAnsi" w:hAnsiTheme="minorHAnsi"/>
          <w:lang w:val="en-US"/>
        </w:rPr>
        <w:t>are the ideal performance indicators</w:t>
      </w:r>
      <w:r>
        <w:rPr>
          <w:rFonts w:asciiTheme="minorHAnsi" w:hAnsiTheme="minorHAnsi"/>
          <w:lang w:val="en-US"/>
        </w:rPr>
        <w:t>.  However, because i</w:t>
      </w:r>
      <w:r w:rsidR="00660117" w:rsidRPr="00A4255D">
        <w:rPr>
          <w:rFonts w:asciiTheme="minorHAnsi" w:hAnsiTheme="minorHAnsi"/>
          <w:lang w:val="en-US"/>
        </w:rPr>
        <w:t>t can take years or even decades to achieve the outcomes</w:t>
      </w:r>
      <w:r>
        <w:rPr>
          <w:rFonts w:asciiTheme="minorHAnsi" w:hAnsiTheme="minorHAnsi"/>
          <w:lang w:val="en-US"/>
        </w:rPr>
        <w:t xml:space="preserve"> intermediate outcomes or outputs,</w:t>
      </w:r>
      <w:r w:rsidRPr="009666F2">
        <w:rPr>
          <w:rFonts w:asciiTheme="minorHAnsi" w:hAnsiTheme="minorHAnsi"/>
          <w:lang w:val="en-US"/>
        </w:rPr>
        <w:t xml:space="preserve"> </w:t>
      </w:r>
      <w:r w:rsidRPr="00A4255D">
        <w:rPr>
          <w:rFonts w:asciiTheme="minorHAnsi" w:hAnsiTheme="minorHAnsi"/>
          <w:lang w:val="en-US"/>
        </w:rPr>
        <w:t xml:space="preserve">which respond </w:t>
      </w:r>
      <w:r>
        <w:rPr>
          <w:rFonts w:asciiTheme="minorHAnsi" w:hAnsiTheme="minorHAnsi"/>
          <w:lang w:val="en-US"/>
        </w:rPr>
        <w:t xml:space="preserve">more </w:t>
      </w:r>
      <w:r w:rsidRPr="00A4255D">
        <w:rPr>
          <w:rFonts w:asciiTheme="minorHAnsi" w:hAnsiTheme="minorHAnsi"/>
          <w:lang w:val="en-US"/>
        </w:rPr>
        <w:t>rapidly and predictably</w:t>
      </w:r>
      <w:r>
        <w:rPr>
          <w:rFonts w:asciiTheme="minorHAnsi" w:hAnsiTheme="minorHAnsi"/>
          <w:lang w:val="en-US"/>
        </w:rPr>
        <w:t>, may be of more practical use.</w:t>
      </w:r>
      <w:r w:rsidR="0046141F">
        <w:rPr>
          <w:rFonts w:asciiTheme="minorHAnsi" w:hAnsiTheme="minorHAnsi"/>
          <w:lang w:val="en-US"/>
        </w:rPr>
        <w:t xml:space="preserve"> </w:t>
      </w:r>
      <w:r w:rsidR="00660117" w:rsidRPr="00A4255D">
        <w:rPr>
          <w:rFonts w:asciiTheme="minorHAnsi" w:hAnsiTheme="minorHAnsi"/>
          <w:lang w:val="en-US"/>
        </w:rPr>
        <w:t xml:space="preserve">There is </w:t>
      </w:r>
      <w:r>
        <w:rPr>
          <w:rFonts w:asciiTheme="minorHAnsi" w:hAnsiTheme="minorHAnsi"/>
          <w:lang w:val="en-US"/>
        </w:rPr>
        <w:t xml:space="preserve">also </w:t>
      </w:r>
      <w:r w:rsidR="00660117" w:rsidRPr="00A4255D">
        <w:rPr>
          <w:rFonts w:asciiTheme="minorHAnsi" w:hAnsiTheme="minorHAnsi"/>
          <w:lang w:val="en-US"/>
        </w:rPr>
        <w:t xml:space="preserve">a risk that a requirement to define outcome indicators for all </w:t>
      </w:r>
      <w:proofErr w:type="spellStart"/>
      <w:r w:rsidR="0090328E">
        <w:rPr>
          <w:rFonts w:asciiTheme="minorHAnsi" w:hAnsiTheme="minorHAnsi"/>
          <w:lang w:val="en-US"/>
        </w:rPr>
        <w:t>programmes</w:t>
      </w:r>
      <w:proofErr w:type="spellEnd"/>
      <w:r w:rsidR="00660117" w:rsidRPr="00A4255D">
        <w:rPr>
          <w:rFonts w:asciiTheme="minorHAnsi" w:hAnsiTheme="minorHAnsi"/>
          <w:lang w:val="en-US"/>
        </w:rPr>
        <w:t xml:space="preserve"> becomes an artificial exercise wi</w:t>
      </w:r>
      <w:r w:rsidR="0046141F">
        <w:rPr>
          <w:rFonts w:asciiTheme="minorHAnsi" w:hAnsiTheme="minorHAnsi"/>
          <w:lang w:val="en-US"/>
        </w:rPr>
        <w:t xml:space="preserve">th little practical relevance. </w:t>
      </w:r>
      <w:r w:rsidR="00660117" w:rsidRPr="00A4255D">
        <w:rPr>
          <w:rFonts w:asciiTheme="minorHAnsi" w:hAnsiTheme="minorHAnsi"/>
          <w:lang w:val="en-US"/>
        </w:rPr>
        <w:t>Intermediate outcomes offer a compromise between outcome</w:t>
      </w:r>
      <w:r w:rsidR="0046141F">
        <w:rPr>
          <w:rFonts w:asciiTheme="minorHAnsi" w:hAnsiTheme="minorHAnsi"/>
          <w:lang w:val="en-US"/>
        </w:rPr>
        <w:t xml:space="preserve"> measures and output measures.</w:t>
      </w:r>
      <w:r w:rsidR="00660117" w:rsidRPr="00A4255D">
        <w:rPr>
          <w:rFonts w:asciiTheme="minorHAnsi" w:hAnsiTheme="minorHAnsi"/>
          <w:lang w:val="en-US"/>
        </w:rPr>
        <w:t xml:space="preserve"> For </w:t>
      </w:r>
      <w:proofErr w:type="spellStart"/>
      <w:r w:rsidR="003B33CC">
        <w:rPr>
          <w:rFonts w:asciiTheme="minorHAnsi" w:hAnsiTheme="minorHAnsi"/>
          <w:lang w:val="en-US"/>
        </w:rPr>
        <w:t>programme</w:t>
      </w:r>
      <w:proofErr w:type="spellEnd"/>
      <w:r w:rsidR="00DA0272">
        <w:rPr>
          <w:rFonts w:asciiTheme="minorHAnsi" w:hAnsiTheme="minorHAnsi"/>
          <w:lang w:val="en-US"/>
        </w:rPr>
        <w:t xml:space="preserve"> </w:t>
      </w:r>
      <w:r w:rsidR="00660117" w:rsidRPr="00A4255D">
        <w:rPr>
          <w:rFonts w:asciiTheme="minorHAnsi" w:hAnsiTheme="minorHAnsi"/>
          <w:lang w:val="en-US"/>
        </w:rPr>
        <w:t xml:space="preserve">management purposes lower level </w:t>
      </w:r>
      <w:r w:rsidR="00660117" w:rsidRPr="00A4255D">
        <w:rPr>
          <w:rFonts w:asciiTheme="minorHAnsi" w:hAnsiTheme="minorHAnsi"/>
        </w:rPr>
        <w:t>indicators of outputs, activities and efficiency may also be useful, although these should be excluded from higher level reporting.</w:t>
      </w:r>
    </w:p>
    <w:p w:rsidR="00D7042C" w:rsidRPr="00A4255D" w:rsidRDefault="00D7042C" w:rsidP="00D7042C">
      <w:pPr>
        <w:pStyle w:val="BodyText"/>
        <w:spacing w:before="360"/>
        <w:rPr>
          <w:rFonts w:asciiTheme="minorHAnsi" w:hAnsiTheme="minorHAnsi"/>
        </w:rPr>
      </w:pPr>
      <w:r w:rsidRPr="00A4255D">
        <w:rPr>
          <w:rFonts w:asciiTheme="minorHAnsi" w:hAnsiTheme="minorHAnsi"/>
        </w:rPr>
        <w:t xml:space="preserve">A common tendency when countries introduce performance budgeting is to create a complex architecture of </w:t>
      </w:r>
      <w:r w:rsidR="0090328E">
        <w:rPr>
          <w:rFonts w:asciiTheme="minorHAnsi" w:hAnsiTheme="minorHAnsi"/>
        </w:rPr>
        <w:t>programmes</w:t>
      </w:r>
      <w:r w:rsidRPr="00A4255D">
        <w:rPr>
          <w:rFonts w:asciiTheme="minorHAnsi" w:hAnsiTheme="minorHAnsi"/>
        </w:rPr>
        <w:t>, sub</w:t>
      </w:r>
      <w:r w:rsidR="00EE1CA6">
        <w:rPr>
          <w:rFonts w:asciiTheme="minorHAnsi" w:hAnsiTheme="minorHAnsi"/>
        </w:rPr>
        <w:t>-</w:t>
      </w:r>
      <w:r w:rsidR="0090328E">
        <w:rPr>
          <w:rFonts w:asciiTheme="minorHAnsi" w:hAnsiTheme="minorHAnsi"/>
        </w:rPr>
        <w:t>programmes</w:t>
      </w:r>
      <w:r w:rsidRPr="00A4255D">
        <w:rPr>
          <w:rFonts w:asciiTheme="minorHAnsi" w:hAnsiTheme="minorHAnsi"/>
        </w:rPr>
        <w:t xml:space="preserve">, and activities, each with its own performance indicators. This </w:t>
      </w:r>
      <w:r w:rsidR="00EF66FE">
        <w:rPr>
          <w:rFonts w:asciiTheme="minorHAnsi" w:hAnsiTheme="minorHAnsi"/>
        </w:rPr>
        <w:t xml:space="preserve">commonly </w:t>
      </w:r>
      <w:r w:rsidRPr="00A4255D">
        <w:rPr>
          <w:rFonts w:asciiTheme="minorHAnsi" w:hAnsiTheme="minorHAnsi"/>
        </w:rPr>
        <w:t>leads to information overload</w:t>
      </w:r>
      <w:r w:rsidR="00EF66FE">
        <w:rPr>
          <w:rFonts w:asciiTheme="minorHAnsi" w:hAnsiTheme="minorHAnsi"/>
        </w:rPr>
        <w:t xml:space="preserve">, followed by </w:t>
      </w:r>
      <w:r w:rsidRPr="00A4255D">
        <w:rPr>
          <w:rFonts w:asciiTheme="minorHAnsi" w:hAnsiTheme="minorHAnsi"/>
        </w:rPr>
        <w:t>efforts to reduce the number of indicators, sometimes to a fraction of the earlier number. OECD countries seem to be overcoming these problems and making better use of performance data (</w:t>
      </w:r>
      <w:r w:rsidR="00383ED0">
        <w:rPr>
          <w:rFonts w:asciiTheme="minorHAnsi" w:hAnsiTheme="minorHAnsi"/>
        </w:rPr>
        <w:t xml:space="preserve">Figure </w:t>
      </w:r>
      <w:r w:rsidR="003F1E1C">
        <w:rPr>
          <w:rFonts w:asciiTheme="minorHAnsi" w:hAnsiTheme="minorHAnsi"/>
        </w:rPr>
        <w:t>7</w:t>
      </w:r>
      <w:r w:rsidRPr="00A4255D">
        <w:rPr>
          <w:rFonts w:asciiTheme="minorHAnsi" w:hAnsiTheme="minorHAnsi"/>
        </w:rPr>
        <w:t>). 36% of countries reported greater use of the available performance data over a four year period, while 0% reported less use.  Similarly, 44% countries reported that performance against targets was being tracked more regularly, with 0% report</w:t>
      </w:r>
      <w:r w:rsidR="0046141F">
        <w:rPr>
          <w:rFonts w:asciiTheme="minorHAnsi" w:hAnsiTheme="minorHAnsi"/>
        </w:rPr>
        <w:t>ing that tracking had reduced.</w:t>
      </w:r>
    </w:p>
    <w:p w:rsidR="00D7042C" w:rsidRPr="00A4255D" w:rsidRDefault="00383ED0" w:rsidP="00D7042C">
      <w:pPr>
        <w:spacing w:before="240" w:after="240"/>
        <w:jc w:val="center"/>
        <w:rPr>
          <w:rFonts w:asciiTheme="minorHAnsi" w:hAnsiTheme="minorHAnsi"/>
          <w:b/>
        </w:rPr>
      </w:pPr>
      <w:r>
        <w:rPr>
          <w:rFonts w:asciiTheme="minorHAnsi" w:hAnsiTheme="minorHAnsi"/>
          <w:b/>
        </w:rPr>
        <w:t xml:space="preserve">Figure </w:t>
      </w:r>
      <w:r w:rsidR="003F1E1C">
        <w:rPr>
          <w:rFonts w:asciiTheme="minorHAnsi" w:hAnsiTheme="minorHAnsi"/>
          <w:b/>
        </w:rPr>
        <w:t>7</w:t>
      </w:r>
      <w:r w:rsidR="00D7042C">
        <w:rPr>
          <w:rFonts w:asciiTheme="minorHAnsi" w:hAnsiTheme="minorHAnsi"/>
          <w:b/>
        </w:rPr>
        <w:t xml:space="preserve"> -- </w:t>
      </w:r>
      <w:r w:rsidR="00D7042C" w:rsidRPr="00A4255D">
        <w:rPr>
          <w:rFonts w:asciiTheme="minorHAnsi" w:hAnsiTheme="minorHAnsi"/>
          <w:b/>
        </w:rPr>
        <w:t>Trends Regarding Performance Targets</w:t>
      </w:r>
    </w:p>
    <w:p w:rsidR="00D7042C" w:rsidRPr="00A4255D" w:rsidRDefault="00D7042C" w:rsidP="00D7042C">
      <w:pPr>
        <w:jc w:val="center"/>
        <w:rPr>
          <w:rFonts w:asciiTheme="minorHAnsi" w:hAnsiTheme="minorHAnsi"/>
        </w:rPr>
      </w:pPr>
      <w:r w:rsidRPr="00A4255D">
        <w:rPr>
          <w:rFonts w:asciiTheme="minorHAnsi" w:hAnsiTheme="minorHAnsi"/>
          <w:noProof/>
          <w:lang w:eastAsia="en-GB"/>
        </w:rPr>
        <w:drawing>
          <wp:inline distT="0" distB="0" distL="0" distR="0" wp14:anchorId="10A2BA5D" wp14:editId="4DD4430C">
            <wp:extent cx="4841907" cy="137975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850904" cy="1382316"/>
                    </a:xfrm>
                    <a:prstGeom prst="rect">
                      <a:avLst/>
                    </a:prstGeom>
                  </pic:spPr>
                </pic:pic>
              </a:graphicData>
            </a:graphic>
          </wp:inline>
        </w:drawing>
      </w:r>
    </w:p>
    <w:p w:rsidR="00D7042C" w:rsidRDefault="00D7042C" w:rsidP="00D7042C">
      <w:pPr>
        <w:pStyle w:val="BodyText"/>
        <w:spacing w:before="360"/>
        <w:rPr>
          <w:rFonts w:asciiTheme="minorHAnsi" w:hAnsiTheme="minorHAnsi"/>
        </w:rPr>
      </w:pPr>
      <w:r w:rsidRPr="00A4255D">
        <w:rPr>
          <w:rFonts w:asciiTheme="minorHAnsi" w:hAnsiTheme="minorHAnsi"/>
        </w:rPr>
        <w:t xml:space="preserve">The CBA should </w:t>
      </w:r>
      <w:r w:rsidR="00EF66FE">
        <w:rPr>
          <w:rFonts w:asciiTheme="minorHAnsi" w:hAnsiTheme="minorHAnsi"/>
        </w:rPr>
        <w:t xml:space="preserve">provide </w:t>
      </w:r>
      <w:r w:rsidRPr="00A4255D">
        <w:rPr>
          <w:rFonts w:asciiTheme="minorHAnsi" w:hAnsiTheme="minorHAnsi"/>
        </w:rPr>
        <w:t xml:space="preserve">guidelines </w:t>
      </w:r>
      <w:r w:rsidR="00EF66FE">
        <w:rPr>
          <w:rFonts w:asciiTheme="minorHAnsi" w:hAnsiTheme="minorHAnsi"/>
        </w:rPr>
        <w:t xml:space="preserve">and training, backed up by periodic vetting, to help line ensure ministries select high quality indicators and avoid proliferation. </w:t>
      </w:r>
      <w:r w:rsidR="00EE1CA6">
        <w:rPr>
          <w:rFonts w:asciiTheme="minorHAnsi" w:hAnsiTheme="minorHAnsi"/>
        </w:rPr>
        <w:t>The Australian Department of Finance’s Guidance on Developing Good Performance Information (Box 8) offers a good practice example of practical support and guidance to government bodies on this topic.</w:t>
      </w:r>
    </w:p>
    <w:p w:rsidR="006D5829" w:rsidRPr="00A4255D" w:rsidRDefault="006D5829" w:rsidP="006D5829">
      <w:pPr>
        <w:pStyle w:val="BodyText"/>
        <w:rPr>
          <w:rFonts w:asciiTheme="minorHAnsi" w:hAnsiTheme="minorHAnsi"/>
        </w:rPr>
      </w:pPr>
      <w:r w:rsidRPr="00A4255D">
        <w:rPr>
          <w:rFonts w:asciiTheme="minorHAnsi" w:hAnsiTheme="minorHAnsi"/>
        </w:rPr>
        <w:t xml:space="preserve">Countries with the most experience with performance budgeting have steadily reduced the number of </w:t>
      </w:r>
      <w:r w:rsidR="0090328E">
        <w:rPr>
          <w:rFonts w:asciiTheme="minorHAnsi" w:hAnsiTheme="minorHAnsi"/>
        </w:rPr>
        <w:t>programmes</w:t>
      </w:r>
      <w:r w:rsidRPr="00A4255D">
        <w:rPr>
          <w:rFonts w:asciiTheme="minorHAnsi" w:hAnsiTheme="minorHAnsi"/>
        </w:rPr>
        <w:t xml:space="preserve"> and indicators over time. This has been a response to both the administrative burden of reporting and the limited time senior managers have ava</w:t>
      </w:r>
      <w:r w:rsidR="0046141F">
        <w:rPr>
          <w:rFonts w:asciiTheme="minorHAnsi" w:hAnsiTheme="minorHAnsi"/>
        </w:rPr>
        <w:t xml:space="preserve">ilable to monitor performance. </w:t>
      </w:r>
      <w:r w:rsidRPr="00A4255D">
        <w:rPr>
          <w:rFonts w:asciiTheme="minorHAnsi" w:hAnsiTheme="minorHAnsi"/>
        </w:rPr>
        <w:t>By way of example, between 2007 and 2015 France reduced the number of performance indicators in the budget from 1,173 to 677, giving priority to those that most closely reflect strategic objectives, represent major budget areas, and (to facilitate cross-country benchmarking) are used internationally</w:t>
      </w:r>
      <w:r w:rsidR="00002EE1">
        <w:rPr>
          <w:rFonts w:asciiTheme="minorHAnsi" w:hAnsiTheme="minorHAnsi"/>
        </w:rPr>
        <w:t xml:space="preserve"> (Figure 8).</w:t>
      </w:r>
    </w:p>
    <w:p w:rsidR="006D5829" w:rsidRDefault="00383ED0" w:rsidP="006D5829">
      <w:pPr>
        <w:keepNext/>
        <w:spacing w:before="240" w:after="240"/>
        <w:jc w:val="center"/>
        <w:rPr>
          <w:rFonts w:asciiTheme="minorHAnsi" w:hAnsiTheme="minorHAnsi"/>
          <w:b/>
        </w:rPr>
      </w:pPr>
      <w:r>
        <w:rPr>
          <w:rFonts w:asciiTheme="minorHAnsi" w:hAnsiTheme="minorHAnsi"/>
          <w:b/>
        </w:rPr>
        <w:lastRenderedPageBreak/>
        <w:t xml:space="preserve">Figure </w:t>
      </w:r>
      <w:r w:rsidR="003F1E1C">
        <w:rPr>
          <w:rFonts w:asciiTheme="minorHAnsi" w:hAnsiTheme="minorHAnsi"/>
          <w:b/>
        </w:rPr>
        <w:t>8</w:t>
      </w:r>
      <w:r w:rsidR="006D5829">
        <w:rPr>
          <w:rFonts w:asciiTheme="minorHAnsi" w:hAnsiTheme="minorHAnsi"/>
          <w:b/>
        </w:rPr>
        <w:t xml:space="preserve"> -- </w:t>
      </w:r>
      <w:r w:rsidR="006D5829" w:rsidRPr="00A4255D">
        <w:rPr>
          <w:rFonts w:asciiTheme="minorHAnsi" w:hAnsiTheme="minorHAnsi"/>
          <w:b/>
        </w:rPr>
        <w:t>France</w:t>
      </w:r>
      <w:r w:rsidR="006D5829">
        <w:rPr>
          <w:rFonts w:asciiTheme="minorHAnsi" w:hAnsiTheme="minorHAnsi"/>
          <w:b/>
        </w:rPr>
        <w:t>:</w:t>
      </w:r>
      <w:r w:rsidR="006D5829" w:rsidRPr="00A4255D">
        <w:rPr>
          <w:rFonts w:asciiTheme="minorHAnsi" w:hAnsiTheme="minorHAnsi"/>
          <w:b/>
        </w:rPr>
        <w:t xml:space="preserve"> Progressive Reduction in the Complexity of the Performance Budget</w:t>
      </w:r>
    </w:p>
    <w:p w:rsidR="006D5829" w:rsidRPr="00C12136" w:rsidRDefault="006D5829" w:rsidP="006D5829">
      <w:pPr>
        <w:keepNext/>
        <w:spacing w:before="240" w:after="240"/>
        <w:jc w:val="center"/>
        <w:rPr>
          <w:rFonts w:asciiTheme="minorHAnsi" w:hAnsiTheme="minorHAnsi"/>
        </w:rPr>
      </w:pPr>
      <w:r w:rsidRPr="00C12136">
        <w:rPr>
          <w:rFonts w:asciiTheme="minorHAnsi" w:hAnsiTheme="minorHAnsi"/>
          <w:noProof/>
          <w:lang w:eastAsia="en-GB"/>
        </w:rPr>
        <w:drawing>
          <wp:inline distT="0" distB="0" distL="0" distR="0" wp14:anchorId="631D0537" wp14:editId="6B5DF15C">
            <wp:extent cx="3680460" cy="21640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680460" cy="2164080"/>
                    </a:xfrm>
                    <a:prstGeom prst="rect">
                      <a:avLst/>
                    </a:prstGeom>
                  </pic:spPr>
                </pic:pic>
              </a:graphicData>
            </a:graphic>
          </wp:inline>
        </w:drawing>
      </w:r>
    </w:p>
    <w:p w:rsidR="006D5829" w:rsidRDefault="006D5829" w:rsidP="006D5829">
      <w:pPr>
        <w:pStyle w:val="BodyText"/>
        <w:spacing w:before="360"/>
        <w:rPr>
          <w:rFonts w:asciiTheme="minorHAnsi" w:hAnsiTheme="minorHAnsi"/>
        </w:rPr>
      </w:pPr>
      <w:r w:rsidRPr="00A4255D">
        <w:rPr>
          <w:rFonts w:asciiTheme="minorHAnsi" w:hAnsiTheme="minorHAnsi"/>
        </w:rPr>
        <w:t>In 2011–13 the Netherlands removed about 1,000 performance measures in the budget (about half of the total) but in doing so ran into resistance from line min</w:t>
      </w:r>
      <w:r w:rsidR="0046141F">
        <w:rPr>
          <w:rFonts w:asciiTheme="minorHAnsi" w:hAnsiTheme="minorHAnsi"/>
        </w:rPr>
        <w:t>istries and the Court of Audit.</w:t>
      </w:r>
    </w:p>
    <w:p w:rsidR="00EC2C18" w:rsidRDefault="00EC2C18" w:rsidP="006D5829">
      <w:pPr>
        <w:pStyle w:val="BodyText"/>
        <w:spacing w:before="360"/>
        <w:rPr>
          <w:rFonts w:asciiTheme="minorHAnsi" w:hAnsiTheme="minorHAnsi"/>
        </w:rPr>
      </w:pPr>
      <w:r>
        <w:rPr>
          <w:rFonts w:asciiTheme="minorHAnsi" w:hAnsiTheme="minorHAnsi"/>
        </w:rPr>
        <w:t xml:space="preserve">The quality of performance information depends on its relevance for policy and decision making purposes.  Therefore, an important quality dimension of performance </w:t>
      </w:r>
      <w:proofErr w:type="gramStart"/>
      <w:r>
        <w:rPr>
          <w:rFonts w:asciiTheme="minorHAnsi" w:hAnsiTheme="minorHAnsi"/>
        </w:rPr>
        <w:t>information,</w:t>
      </w:r>
      <w:proofErr w:type="gramEnd"/>
      <w:r>
        <w:rPr>
          <w:rFonts w:asciiTheme="minorHAnsi" w:hAnsiTheme="minorHAnsi"/>
        </w:rPr>
        <w:t xml:space="preserve"> is the ability to track the priorities of government, as set out in legislation, policies or strategic plans. France’s performance budgeting system incorporates</w:t>
      </w:r>
      <w:r w:rsidR="000929B8">
        <w:rPr>
          <w:rFonts w:asciiTheme="minorHAnsi" w:hAnsiTheme="minorHAnsi"/>
        </w:rPr>
        <w:t xml:space="preserve"> key national indicators of wealth and well-being into the structure of the budget using internationally comparable indicators (Box 9).  Canada adopted a policy on results that put in place institutional frameworks that are intended to improve the quality of indicators, linking these to high level objectives and ensuring their relevan</w:t>
      </w:r>
      <w:r w:rsidR="0028610F">
        <w:rPr>
          <w:rFonts w:asciiTheme="minorHAnsi" w:hAnsiTheme="minorHAnsi"/>
        </w:rPr>
        <w:t>ce and reliability (Box 10).</w:t>
      </w:r>
    </w:p>
    <w:p w:rsidR="00660117" w:rsidRPr="00A4255D" w:rsidRDefault="00920B05" w:rsidP="00A4255D">
      <w:pPr>
        <w:pStyle w:val="BodyText"/>
        <w:rPr>
          <w:rFonts w:asciiTheme="minorHAnsi" w:hAnsiTheme="minorHAnsi"/>
        </w:rPr>
      </w:pPr>
      <w:r>
        <w:rPr>
          <w:rFonts w:asciiTheme="minorHAnsi" w:hAnsiTheme="minorHAnsi"/>
        </w:rPr>
        <w:t>Public disclosure of p</w:t>
      </w:r>
      <w:r w:rsidR="00660117" w:rsidRPr="00A4255D">
        <w:rPr>
          <w:rFonts w:asciiTheme="minorHAnsi" w:hAnsiTheme="minorHAnsi"/>
        </w:rPr>
        <w:t xml:space="preserve">erformance information </w:t>
      </w:r>
      <w:r>
        <w:rPr>
          <w:rFonts w:asciiTheme="minorHAnsi" w:hAnsiTheme="minorHAnsi"/>
        </w:rPr>
        <w:t xml:space="preserve">can have </w:t>
      </w:r>
      <w:r w:rsidR="00660117" w:rsidRPr="00A4255D">
        <w:rPr>
          <w:rFonts w:asciiTheme="minorHAnsi" w:hAnsiTheme="minorHAnsi"/>
        </w:rPr>
        <w:t>a powerful motivati</w:t>
      </w:r>
      <w:r>
        <w:rPr>
          <w:rFonts w:asciiTheme="minorHAnsi" w:hAnsiTheme="minorHAnsi"/>
        </w:rPr>
        <w:t>ng</w:t>
      </w:r>
      <w:r w:rsidR="00660117" w:rsidRPr="00A4255D">
        <w:rPr>
          <w:rFonts w:asciiTheme="minorHAnsi" w:hAnsiTheme="minorHAnsi"/>
        </w:rPr>
        <w:t xml:space="preserve"> effect</w:t>
      </w:r>
      <w:r w:rsidR="00002EE1">
        <w:rPr>
          <w:rFonts w:asciiTheme="minorHAnsi" w:hAnsiTheme="minorHAnsi"/>
        </w:rPr>
        <w:t xml:space="preserve">. </w:t>
      </w:r>
      <w:r>
        <w:rPr>
          <w:rFonts w:asciiTheme="minorHAnsi" w:hAnsiTheme="minorHAnsi"/>
        </w:rPr>
        <w:t>W</w:t>
      </w:r>
      <w:r w:rsidR="00660117" w:rsidRPr="00A4255D">
        <w:rPr>
          <w:rFonts w:asciiTheme="minorHAnsi" w:hAnsiTheme="minorHAnsi"/>
        </w:rPr>
        <w:t xml:space="preserve">hen it </w:t>
      </w:r>
      <w:r>
        <w:rPr>
          <w:rFonts w:asciiTheme="minorHAnsi" w:hAnsiTheme="minorHAnsi"/>
        </w:rPr>
        <w:t xml:space="preserve">enables </w:t>
      </w:r>
      <w:r w:rsidR="00660117" w:rsidRPr="00A4255D">
        <w:rPr>
          <w:rFonts w:asciiTheme="minorHAnsi" w:hAnsiTheme="minorHAnsi"/>
        </w:rPr>
        <w:t xml:space="preserve">comparisons </w:t>
      </w:r>
      <w:r>
        <w:rPr>
          <w:rFonts w:asciiTheme="minorHAnsi" w:hAnsiTheme="minorHAnsi"/>
        </w:rPr>
        <w:t xml:space="preserve">to </w:t>
      </w:r>
      <w:r w:rsidR="00660117" w:rsidRPr="00A4255D">
        <w:rPr>
          <w:rFonts w:asciiTheme="minorHAnsi" w:hAnsiTheme="minorHAnsi"/>
        </w:rPr>
        <w:t xml:space="preserve">be made between regions, countries, ministries etc. </w:t>
      </w:r>
      <w:r w:rsidR="00002EE1">
        <w:rPr>
          <w:rFonts w:asciiTheme="minorHAnsi" w:hAnsiTheme="minorHAnsi"/>
        </w:rPr>
        <w:t>this creates peer pressure</w:t>
      </w:r>
      <w:r w:rsidR="00660117" w:rsidRPr="00A4255D">
        <w:rPr>
          <w:rFonts w:asciiTheme="minorHAnsi" w:hAnsiTheme="minorHAnsi"/>
        </w:rPr>
        <w:t xml:space="preserve">, </w:t>
      </w:r>
      <w:r w:rsidR="000E6C80">
        <w:rPr>
          <w:rFonts w:asciiTheme="minorHAnsi" w:hAnsiTheme="minorHAnsi"/>
        </w:rPr>
        <w:t xml:space="preserve">and competition </w:t>
      </w:r>
      <w:r w:rsidR="00660117" w:rsidRPr="00A4255D">
        <w:rPr>
          <w:rFonts w:asciiTheme="minorHAnsi" w:hAnsiTheme="minorHAnsi"/>
        </w:rPr>
        <w:t xml:space="preserve">to improve performance. Established global indicators such as the World Bank’s “Doing Business” indicators, OECD performance measurement standards education (PISA) and tax administration, </w:t>
      </w:r>
      <w:r w:rsidR="00DB3D91">
        <w:rPr>
          <w:rFonts w:asciiTheme="minorHAnsi" w:hAnsiTheme="minorHAnsi"/>
        </w:rPr>
        <w:t xml:space="preserve">Europe 2020, </w:t>
      </w:r>
      <w:r w:rsidR="00660117" w:rsidRPr="00A4255D">
        <w:rPr>
          <w:rFonts w:asciiTheme="minorHAnsi" w:hAnsiTheme="minorHAnsi"/>
        </w:rPr>
        <w:t>and the UN Sustainable Development Goals (SDGs), are all widely recognized benchmarks</w:t>
      </w:r>
      <w:r w:rsidR="00DB3D91">
        <w:rPr>
          <w:rFonts w:asciiTheme="minorHAnsi" w:hAnsiTheme="minorHAnsi"/>
        </w:rPr>
        <w:t>.</w:t>
      </w:r>
      <w:r w:rsidR="002A2D2A">
        <w:rPr>
          <w:rFonts w:asciiTheme="minorHAnsi" w:hAnsiTheme="minorHAnsi"/>
        </w:rPr>
        <w:t xml:space="preserve"> </w:t>
      </w:r>
      <w:r w:rsidR="000929B8">
        <w:rPr>
          <w:rFonts w:asciiTheme="minorHAnsi" w:hAnsiTheme="minorHAnsi"/>
        </w:rPr>
        <w:t xml:space="preserve">Mexico’s performance evaluation system </w:t>
      </w:r>
      <w:r w:rsidR="003B6CBD">
        <w:rPr>
          <w:rFonts w:asciiTheme="minorHAnsi" w:hAnsiTheme="minorHAnsi"/>
        </w:rPr>
        <w:t xml:space="preserve">gives preference to indicators that can be tracked independently and aid </w:t>
      </w:r>
      <w:r w:rsidR="0028610F">
        <w:rPr>
          <w:rFonts w:asciiTheme="minorHAnsi" w:hAnsiTheme="minorHAnsi"/>
        </w:rPr>
        <w:t>international benchmarking (Box </w:t>
      </w:r>
      <w:r w:rsidR="003B6CBD">
        <w:rPr>
          <w:rFonts w:asciiTheme="minorHAnsi" w:hAnsiTheme="minorHAnsi"/>
        </w:rPr>
        <w:t xml:space="preserve">11). </w:t>
      </w:r>
      <w:r w:rsidR="00660117" w:rsidRPr="00A4255D">
        <w:rPr>
          <w:rFonts w:asciiTheme="minorHAnsi" w:hAnsiTheme="minorHAnsi"/>
        </w:rPr>
        <w:t>The characteristics of good or SMART</w:t>
      </w:r>
      <w:r w:rsidR="00660117" w:rsidRPr="00A4255D">
        <w:rPr>
          <w:rStyle w:val="FootnoteReference"/>
          <w:rFonts w:asciiTheme="minorHAnsi" w:hAnsiTheme="minorHAnsi"/>
        </w:rPr>
        <w:footnoteReference w:id="1"/>
      </w:r>
      <w:r w:rsidR="00660117" w:rsidRPr="00A4255D">
        <w:rPr>
          <w:rFonts w:asciiTheme="minorHAnsi" w:hAnsiTheme="minorHAnsi"/>
        </w:rPr>
        <w:t xml:space="preserve"> performance indicators are generally well known and need </w:t>
      </w:r>
      <w:r w:rsidR="00002EE1">
        <w:rPr>
          <w:rFonts w:asciiTheme="minorHAnsi" w:hAnsiTheme="minorHAnsi"/>
        </w:rPr>
        <w:t xml:space="preserve">not be repeated in this paper. </w:t>
      </w:r>
      <w:r w:rsidR="00660117" w:rsidRPr="00A4255D">
        <w:rPr>
          <w:rFonts w:asciiTheme="minorHAnsi" w:hAnsiTheme="minorHAnsi"/>
        </w:rPr>
        <w:t>However, it is worth emphasizing that targets should be “relevant” in the sense that they will resonate with political leaders and the public, “achievable” in the sense that government spending should l</w:t>
      </w:r>
      <w:r w:rsidR="00002EE1">
        <w:rPr>
          <w:rFonts w:asciiTheme="minorHAnsi" w:hAnsiTheme="minorHAnsi"/>
        </w:rPr>
        <w:t>ead to perceptible change, and "measurable"</w:t>
      </w:r>
      <w:r w:rsidR="00660117" w:rsidRPr="00A4255D">
        <w:rPr>
          <w:rFonts w:asciiTheme="minorHAnsi" w:hAnsiTheme="minorHAnsi"/>
        </w:rPr>
        <w:t xml:space="preserve"> in the sense that the systems exist to collect and report the data. Many OECD countries </w:t>
      </w:r>
      <w:r w:rsidR="002A2D2A">
        <w:rPr>
          <w:rFonts w:asciiTheme="minorHAnsi" w:hAnsiTheme="minorHAnsi"/>
        </w:rPr>
        <w:t>fall short of these standards. OECD s</w:t>
      </w:r>
      <w:r w:rsidR="00660117" w:rsidRPr="00A4255D">
        <w:rPr>
          <w:rFonts w:asciiTheme="minorHAnsi" w:hAnsiTheme="minorHAnsi"/>
        </w:rPr>
        <w:t>urvey results indicate that the poor quality of performance indicators and their lack of relevance in relation to national and sectoral policy objectives</w:t>
      </w:r>
      <w:r w:rsidR="0046141F">
        <w:rPr>
          <w:rFonts w:asciiTheme="minorHAnsi" w:hAnsiTheme="minorHAnsi"/>
        </w:rPr>
        <w:t xml:space="preserve"> remain significant obstacles</w:t>
      </w:r>
      <w:r w:rsidR="002A2D2A">
        <w:rPr>
          <w:rFonts w:asciiTheme="minorHAnsi" w:hAnsiTheme="minorHAnsi"/>
        </w:rPr>
        <w:t xml:space="preserve"> (see next section, Figure 9)</w:t>
      </w:r>
      <w:r w:rsidR="0046141F">
        <w:rPr>
          <w:rFonts w:asciiTheme="minorHAnsi" w:hAnsiTheme="minorHAnsi"/>
        </w:rPr>
        <w:t>.</w:t>
      </w:r>
    </w:p>
    <w:p w:rsidR="00660117" w:rsidRDefault="00660117" w:rsidP="00A4255D">
      <w:pPr>
        <w:pStyle w:val="BodyText"/>
        <w:rPr>
          <w:rFonts w:asciiTheme="minorHAnsi" w:hAnsiTheme="minorHAnsi"/>
        </w:rPr>
      </w:pPr>
      <w:r w:rsidRPr="00A4255D">
        <w:rPr>
          <w:rFonts w:asciiTheme="minorHAnsi" w:hAnsiTheme="minorHAnsi"/>
        </w:rPr>
        <w:t>External review and validation of performance indicators, including by third parties, will help to ensur</w:t>
      </w:r>
      <w:r w:rsidR="0046141F">
        <w:rPr>
          <w:rFonts w:asciiTheme="minorHAnsi" w:hAnsiTheme="minorHAnsi"/>
        </w:rPr>
        <w:t xml:space="preserve">e their quality and relevance. </w:t>
      </w:r>
      <w:r w:rsidRPr="00A4255D">
        <w:rPr>
          <w:rFonts w:asciiTheme="minorHAnsi" w:hAnsiTheme="minorHAnsi"/>
        </w:rPr>
        <w:t>A number of institutions</w:t>
      </w:r>
      <w:r w:rsidR="00002EE1">
        <w:rPr>
          <w:rFonts w:asciiTheme="minorHAnsi" w:hAnsiTheme="minorHAnsi"/>
        </w:rPr>
        <w:t xml:space="preserve"> may be involved in this task. </w:t>
      </w:r>
      <w:r w:rsidRPr="00A4255D">
        <w:rPr>
          <w:rFonts w:asciiTheme="minorHAnsi" w:hAnsiTheme="minorHAnsi"/>
        </w:rPr>
        <w:t>The Central Budget Authority should establish clear guidelines on the selection and use of performance indicators as part of the methodological gui</w:t>
      </w:r>
      <w:r w:rsidR="00225992">
        <w:rPr>
          <w:rFonts w:asciiTheme="minorHAnsi" w:hAnsiTheme="minorHAnsi"/>
        </w:rPr>
        <w:t>dance on performance budgeting.</w:t>
      </w:r>
      <w:r w:rsidRPr="00A4255D">
        <w:rPr>
          <w:rFonts w:asciiTheme="minorHAnsi" w:hAnsiTheme="minorHAnsi"/>
        </w:rPr>
        <w:t xml:space="preserve"> If there is a Performance Unit at the </w:t>
      </w:r>
      <w:r w:rsidRPr="00A4255D">
        <w:rPr>
          <w:rFonts w:asciiTheme="minorHAnsi" w:hAnsiTheme="minorHAnsi"/>
        </w:rPr>
        <w:lastRenderedPageBreak/>
        <w:t xml:space="preserve">centre of government they should play a role in ensuring that the choice of performance indicators reflects government’s key strategic priorities. </w:t>
      </w:r>
      <w:r w:rsidR="000E6C80">
        <w:rPr>
          <w:rFonts w:asciiTheme="minorHAnsi" w:hAnsiTheme="minorHAnsi"/>
        </w:rPr>
        <w:t xml:space="preserve">Experts should also be consulted as part of the process of establishing the performance framework for a program. </w:t>
      </w:r>
      <w:r w:rsidRPr="00A4255D">
        <w:rPr>
          <w:rFonts w:asciiTheme="minorHAnsi" w:hAnsiTheme="minorHAnsi"/>
        </w:rPr>
        <w:t xml:space="preserve">As part of ex-post evaluation of </w:t>
      </w:r>
      <w:r w:rsidR="0090328E">
        <w:rPr>
          <w:rFonts w:asciiTheme="minorHAnsi" w:hAnsiTheme="minorHAnsi"/>
        </w:rPr>
        <w:t>programmes</w:t>
      </w:r>
      <w:r w:rsidRPr="00A4255D">
        <w:rPr>
          <w:rFonts w:asciiTheme="minorHAnsi" w:hAnsiTheme="minorHAnsi"/>
        </w:rPr>
        <w:t>, evaluators should consider whether or not the performance indicators are the right ones to measure performance</w:t>
      </w:r>
      <w:r w:rsidR="00295BAD">
        <w:rPr>
          <w:rFonts w:asciiTheme="minorHAnsi" w:hAnsiTheme="minorHAnsi"/>
        </w:rPr>
        <w:t xml:space="preserve"> E</w:t>
      </w:r>
      <w:r w:rsidRPr="00A4255D">
        <w:rPr>
          <w:rFonts w:asciiTheme="minorHAnsi" w:hAnsiTheme="minorHAnsi"/>
        </w:rPr>
        <w:t>xternal audit should validate the reported results as measured by performance indicators and test the underlying information gathering systems to ensure the data is accurate and reliable.</w:t>
      </w:r>
      <w:r w:rsidR="002A2D2A">
        <w:rPr>
          <w:rFonts w:asciiTheme="minorHAnsi" w:hAnsiTheme="minorHAnsi"/>
        </w:rPr>
        <w:t xml:space="preserve"> </w:t>
      </w:r>
      <w:r w:rsidR="00295BAD">
        <w:rPr>
          <w:rFonts w:asciiTheme="minorHAnsi" w:hAnsiTheme="minorHAnsi"/>
        </w:rPr>
        <w:t>Finally other parties, including academia and civil society organizations should be given access to the data and encouraged to analyse and comment on it.</w:t>
      </w:r>
    </w:p>
    <w:p w:rsidR="0028610F" w:rsidRDefault="0028610F" w:rsidP="0028610F">
      <w:pPr>
        <w:pStyle w:val="Heading1"/>
        <w:spacing w:before="0" w:after="0"/>
        <w:rPr>
          <w:rFonts w:asciiTheme="minorHAnsi" w:hAnsiTheme="minorHAnsi"/>
        </w:rPr>
      </w:pPr>
    </w:p>
    <w:p w:rsidR="0028610F" w:rsidRPr="005E64A1" w:rsidRDefault="0028610F" w:rsidP="0028610F">
      <w:pPr>
        <w:pBdr>
          <w:top w:val="single" w:sz="4" w:space="11" w:color="auto"/>
          <w:left w:val="single" w:sz="4" w:space="4" w:color="auto"/>
          <w:bottom w:val="single" w:sz="4" w:space="7" w:color="auto"/>
          <w:right w:val="single" w:sz="4" w:space="4" w:color="auto"/>
        </w:pBdr>
        <w:spacing w:after="240"/>
        <w:jc w:val="center"/>
        <w:rPr>
          <w:rFonts w:asciiTheme="minorHAnsi" w:hAnsiTheme="minorHAnsi"/>
          <w:b/>
        </w:rPr>
      </w:pPr>
      <w:r>
        <w:rPr>
          <w:rFonts w:asciiTheme="minorHAnsi" w:hAnsiTheme="minorHAnsi"/>
        </w:rPr>
        <w:fldChar w:fldCharType="begin"/>
      </w:r>
      <w:r>
        <w:rPr>
          <w:rFonts w:asciiTheme="minorHAnsi" w:hAnsiTheme="minorHAnsi"/>
        </w:rPr>
        <w:instrText xml:space="preserve"> MACROBUTTON NUMBERING </w:instrText>
      </w:r>
      <w:r>
        <w:rPr>
          <w:rFonts w:asciiTheme="minorHAnsi" w:hAnsiTheme="minorHAnsi"/>
        </w:rPr>
        <w:fldChar w:fldCharType="end"/>
      </w:r>
      <w:r>
        <w:rPr>
          <w:rFonts w:asciiTheme="minorHAnsi" w:hAnsiTheme="minorHAnsi"/>
          <w:b/>
        </w:rPr>
        <w:t>Box 8</w:t>
      </w:r>
      <w:r w:rsidRPr="007E549C">
        <w:rPr>
          <w:rFonts w:asciiTheme="minorHAnsi" w:hAnsiTheme="minorHAnsi"/>
          <w:b/>
        </w:rPr>
        <w:t>:</w:t>
      </w:r>
      <w:r>
        <w:rPr>
          <w:rFonts w:asciiTheme="minorHAnsi" w:hAnsiTheme="minorHAnsi"/>
        </w:rPr>
        <w:t xml:space="preserve"> </w:t>
      </w:r>
      <w:r w:rsidRPr="005E64A1">
        <w:rPr>
          <w:rFonts w:asciiTheme="minorHAnsi" w:hAnsiTheme="minorHAnsi"/>
          <w:b/>
        </w:rPr>
        <w:t>Australia</w:t>
      </w:r>
      <w:r>
        <w:rPr>
          <w:rFonts w:asciiTheme="minorHAnsi" w:hAnsiTheme="minorHAnsi"/>
          <w:b/>
        </w:rPr>
        <w:t xml:space="preserve"> -</w:t>
      </w:r>
      <w:r w:rsidRPr="005E64A1">
        <w:rPr>
          <w:rFonts w:asciiTheme="minorHAnsi" w:hAnsiTheme="minorHAnsi"/>
          <w:b/>
        </w:rPr>
        <w:t xml:space="preserve"> Department of Finance Guidance on Developing Good Performance Information (RMG 131)</w:t>
      </w:r>
    </w:p>
    <w:p w:rsidR="0028610F" w:rsidRPr="005E64A1" w:rsidRDefault="0028610F" w:rsidP="0028610F">
      <w:pPr>
        <w:pBdr>
          <w:top w:val="single" w:sz="4" w:space="11" w:color="auto"/>
          <w:left w:val="single" w:sz="4" w:space="4" w:color="auto"/>
          <w:bottom w:val="single" w:sz="4" w:space="7" w:color="auto"/>
          <w:right w:val="single" w:sz="4" w:space="4" w:color="auto"/>
        </w:pBdr>
        <w:spacing w:after="120"/>
        <w:rPr>
          <w:rFonts w:asciiTheme="minorHAnsi" w:hAnsiTheme="minorHAnsi"/>
        </w:rPr>
      </w:pPr>
      <w:r w:rsidRPr="005E64A1">
        <w:rPr>
          <w:rFonts w:asciiTheme="minorHAnsi" w:hAnsiTheme="minorHAnsi"/>
        </w:rPr>
        <w:t xml:space="preserve">In April 2015, the Department of Finance (Finance) issued guidance to government entities emphasising that good performance information tells a cohesive performance story that demonstrates the extent to which an entity is meeting its purposes through the activities it undertakes. The key focus of the guidance, and subsequent Quick Reference Guide (July 2016) is to support development </w:t>
      </w:r>
      <w:proofErr w:type="gramStart"/>
      <w:r w:rsidRPr="005E64A1">
        <w:rPr>
          <w:rFonts w:asciiTheme="minorHAnsi" w:hAnsiTheme="minorHAnsi"/>
        </w:rPr>
        <w:t>of  good</w:t>
      </w:r>
      <w:proofErr w:type="gramEnd"/>
      <w:r w:rsidRPr="005E64A1">
        <w:rPr>
          <w:rFonts w:asciiTheme="minorHAnsi" w:hAnsiTheme="minorHAnsi"/>
        </w:rPr>
        <w:t xml:space="preserve"> performance reporting, including: </w:t>
      </w:r>
    </w:p>
    <w:p w:rsidR="0028610F" w:rsidRPr="005E64A1" w:rsidRDefault="0028610F" w:rsidP="0028610F">
      <w:pPr>
        <w:pStyle w:val="ListParagraph"/>
        <w:numPr>
          <w:ilvl w:val="0"/>
          <w:numId w:val="30"/>
        </w:numPr>
        <w:pBdr>
          <w:top w:val="single" w:sz="4" w:space="11" w:color="auto"/>
          <w:left w:val="single" w:sz="4" w:space="4" w:color="auto"/>
          <w:bottom w:val="single" w:sz="4" w:space="7" w:color="auto"/>
          <w:right w:val="single" w:sz="4" w:space="4" w:color="auto"/>
        </w:pBdr>
        <w:spacing w:after="240" w:line="276" w:lineRule="auto"/>
        <w:ind w:left="426" w:hanging="426"/>
        <w:rPr>
          <w:rFonts w:asciiTheme="minorHAnsi" w:hAnsiTheme="minorHAnsi"/>
        </w:rPr>
      </w:pPr>
      <w:r w:rsidRPr="005E64A1">
        <w:rPr>
          <w:rFonts w:asciiTheme="minorHAnsi" w:hAnsiTheme="minorHAnsi"/>
        </w:rPr>
        <w:t xml:space="preserve">creating a common understanding of an entity’s purposes and the activities through which those purposes are achieved, </w:t>
      </w:r>
    </w:p>
    <w:p w:rsidR="0028610F" w:rsidRPr="005E64A1" w:rsidRDefault="0028610F" w:rsidP="0028610F">
      <w:pPr>
        <w:pStyle w:val="ListParagraph"/>
        <w:numPr>
          <w:ilvl w:val="0"/>
          <w:numId w:val="30"/>
        </w:numPr>
        <w:pBdr>
          <w:top w:val="single" w:sz="4" w:space="11" w:color="auto"/>
          <w:left w:val="single" w:sz="4" w:space="4" w:color="auto"/>
          <w:bottom w:val="single" w:sz="4" w:space="7" w:color="auto"/>
          <w:right w:val="single" w:sz="4" w:space="4" w:color="auto"/>
        </w:pBdr>
        <w:spacing w:after="240" w:line="276" w:lineRule="auto"/>
        <w:ind w:left="426" w:hanging="426"/>
        <w:rPr>
          <w:rFonts w:asciiTheme="minorHAnsi" w:hAnsiTheme="minorHAnsi"/>
        </w:rPr>
      </w:pPr>
      <w:r w:rsidRPr="005E64A1">
        <w:rPr>
          <w:rFonts w:asciiTheme="minorHAnsi" w:hAnsiTheme="minorHAnsi"/>
        </w:rPr>
        <w:t>identifying a mix of quantitative and qualitative measures that demonstrates the effectiveness with which purposes are achieved,</w:t>
      </w:r>
    </w:p>
    <w:p w:rsidR="0028610F" w:rsidRPr="005E64A1" w:rsidRDefault="0028610F" w:rsidP="0028610F">
      <w:pPr>
        <w:pStyle w:val="ListParagraph"/>
        <w:numPr>
          <w:ilvl w:val="0"/>
          <w:numId w:val="30"/>
        </w:numPr>
        <w:pBdr>
          <w:top w:val="single" w:sz="4" w:space="11" w:color="auto"/>
          <w:left w:val="single" w:sz="4" w:space="4" w:color="auto"/>
          <w:bottom w:val="single" w:sz="4" w:space="7" w:color="auto"/>
          <w:right w:val="single" w:sz="4" w:space="4" w:color="auto"/>
        </w:pBdr>
        <w:spacing w:after="240" w:line="276" w:lineRule="auto"/>
        <w:ind w:left="426" w:hanging="426"/>
        <w:rPr>
          <w:rFonts w:asciiTheme="minorHAnsi" w:hAnsiTheme="minorHAnsi"/>
        </w:rPr>
      </w:pPr>
      <w:r w:rsidRPr="005E64A1">
        <w:rPr>
          <w:rFonts w:asciiTheme="minorHAnsi" w:hAnsiTheme="minorHAnsi"/>
        </w:rPr>
        <w:t>selecting appropriate methods to collect and analyse performance information, and</w:t>
      </w:r>
    </w:p>
    <w:p w:rsidR="0028610F" w:rsidRPr="005E64A1" w:rsidRDefault="0028610F" w:rsidP="0028610F">
      <w:pPr>
        <w:pStyle w:val="ListParagraph"/>
        <w:numPr>
          <w:ilvl w:val="0"/>
          <w:numId w:val="30"/>
        </w:numPr>
        <w:pBdr>
          <w:top w:val="single" w:sz="4" w:space="11" w:color="auto"/>
          <w:left w:val="single" w:sz="4" w:space="4" w:color="auto"/>
          <w:bottom w:val="single" w:sz="4" w:space="7" w:color="auto"/>
          <w:right w:val="single" w:sz="4" w:space="4" w:color="auto"/>
        </w:pBdr>
        <w:spacing w:after="120"/>
        <w:ind w:left="425" w:hanging="425"/>
        <w:rPr>
          <w:rFonts w:asciiTheme="minorHAnsi" w:hAnsiTheme="minorHAnsi"/>
        </w:rPr>
      </w:pPr>
      <w:proofErr w:type="gramStart"/>
      <w:r w:rsidRPr="005E64A1">
        <w:rPr>
          <w:rFonts w:asciiTheme="minorHAnsi" w:hAnsiTheme="minorHAnsi"/>
        </w:rPr>
        <w:t>presenting</w:t>
      </w:r>
      <w:proofErr w:type="gramEnd"/>
      <w:r w:rsidRPr="005E64A1">
        <w:rPr>
          <w:rFonts w:asciiTheme="minorHAnsi" w:hAnsiTheme="minorHAnsi"/>
        </w:rPr>
        <w:t xml:space="preserve"> performance information to tell a clear and accurate performance story.</w:t>
      </w:r>
    </w:p>
    <w:p w:rsidR="0028610F" w:rsidRPr="005E64A1" w:rsidRDefault="0028610F" w:rsidP="0028610F">
      <w:pPr>
        <w:pBdr>
          <w:top w:val="single" w:sz="4" w:space="11" w:color="auto"/>
          <w:left w:val="single" w:sz="4" w:space="4" w:color="auto"/>
          <w:bottom w:val="single" w:sz="4" w:space="7" w:color="auto"/>
          <w:right w:val="single" w:sz="4" w:space="4" w:color="auto"/>
        </w:pBdr>
        <w:spacing w:after="240"/>
        <w:rPr>
          <w:rFonts w:asciiTheme="minorHAnsi" w:hAnsiTheme="minorHAnsi"/>
        </w:rPr>
      </w:pPr>
      <w:r w:rsidRPr="005E64A1">
        <w:rPr>
          <w:rFonts w:asciiTheme="minorHAnsi" w:hAnsiTheme="minorHAnsi"/>
        </w:rPr>
        <w:t>A system of advice and assurance also supports entities in setting their performance information. For example, Finance supports entities in drafting performance documentation, each entity’s audit committee reviews the appropriateness of its performance measures, and the ANAO conducts periodic audits of the system.</w:t>
      </w:r>
    </w:p>
    <w:p w:rsidR="0028610F" w:rsidRDefault="0028610F" w:rsidP="00A4255D">
      <w:pPr>
        <w:pStyle w:val="BodyText"/>
        <w:rPr>
          <w:rFonts w:asciiTheme="minorHAnsi" w:hAnsiTheme="minorHAnsi"/>
        </w:rPr>
      </w:pPr>
    </w:p>
    <w:p w:rsidR="0028610F" w:rsidRDefault="0028610F" w:rsidP="00A4255D">
      <w:pPr>
        <w:pStyle w:val="BodyText"/>
        <w:rPr>
          <w:rFonts w:asciiTheme="minorHAnsi" w:hAnsiTheme="minorHAnsi"/>
        </w:rPr>
      </w:pPr>
      <w:r>
        <w:rPr>
          <w:rFonts w:asciiTheme="minorHAnsi" w:hAnsiTheme="minorHAnsi"/>
        </w:rPr>
        <w:br w:type="page"/>
      </w:r>
    </w:p>
    <w:p w:rsidR="00660117" w:rsidRPr="00A4255D" w:rsidRDefault="0028610F" w:rsidP="006359B9">
      <w:pPr>
        <w:pBdr>
          <w:top w:val="single" w:sz="4" w:space="1" w:color="auto"/>
          <w:left w:val="single" w:sz="4" w:space="4" w:color="auto"/>
          <w:bottom w:val="single" w:sz="4" w:space="6" w:color="auto"/>
          <w:right w:val="single" w:sz="4" w:space="4" w:color="auto"/>
        </w:pBdr>
        <w:spacing w:before="240" w:after="240"/>
        <w:jc w:val="center"/>
        <w:rPr>
          <w:rFonts w:asciiTheme="minorHAnsi" w:hAnsiTheme="minorHAnsi"/>
          <w:b/>
        </w:rPr>
      </w:pPr>
      <w:r>
        <w:rPr>
          <w:rFonts w:asciiTheme="minorHAnsi" w:hAnsiTheme="minorHAnsi"/>
          <w:b/>
        </w:rPr>
        <w:lastRenderedPageBreak/>
        <w:t>Box 9</w:t>
      </w:r>
      <w:r w:rsidR="007E549C">
        <w:rPr>
          <w:rFonts w:asciiTheme="minorHAnsi" w:hAnsiTheme="minorHAnsi"/>
          <w:b/>
        </w:rPr>
        <w:t xml:space="preserve">: France - </w:t>
      </w:r>
      <w:r w:rsidR="00660117" w:rsidRPr="00A4255D">
        <w:rPr>
          <w:rFonts w:asciiTheme="minorHAnsi" w:hAnsiTheme="minorHAnsi"/>
          <w:b/>
        </w:rPr>
        <w:t xml:space="preserve">Key National Performance Indicators and the Budget </w:t>
      </w:r>
    </w:p>
    <w:p w:rsidR="00660117" w:rsidRPr="00A4255D" w:rsidRDefault="00660117" w:rsidP="005E64A1">
      <w:pPr>
        <w:pBdr>
          <w:top w:val="single" w:sz="4" w:space="1" w:color="auto"/>
          <w:left w:val="single" w:sz="4" w:space="4" w:color="auto"/>
          <w:bottom w:val="single" w:sz="4" w:space="6" w:color="auto"/>
          <w:right w:val="single" w:sz="4" w:space="4" w:color="auto"/>
        </w:pBdr>
        <w:spacing w:after="120"/>
        <w:rPr>
          <w:rFonts w:asciiTheme="minorHAnsi" w:hAnsiTheme="minorHAnsi"/>
        </w:rPr>
      </w:pPr>
      <w:r w:rsidRPr="00A4255D">
        <w:rPr>
          <w:rFonts w:asciiTheme="minorHAnsi" w:hAnsiTheme="minorHAnsi"/>
        </w:rPr>
        <w:t xml:space="preserve">France offers an example of strong links between key performance indicators established at national level and budgets.   France’s organic budget law </w:t>
      </w:r>
      <w:r w:rsidRPr="00511281">
        <w:rPr>
          <w:rFonts w:asciiTheme="minorHAnsi" w:hAnsiTheme="minorHAnsi"/>
          <w:i/>
        </w:rPr>
        <w:t>(</w:t>
      </w:r>
      <w:proofErr w:type="spellStart"/>
      <w:r w:rsidRPr="00511281">
        <w:rPr>
          <w:rFonts w:asciiTheme="minorHAnsi" w:hAnsiTheme="minorHAnsi"/>
          <w:i/>
        </w:rPr>
        <w:t>Loi</w:t>
      </w:r>
      <w:proofErr w:type="spellEnd"/>
      <w:r w:rsidR="00511281" w:rsidRPr="00511281">
        <w:rPr>
          <w:rFonts w:asciiTheme="minorHAnsi" w:hAnsiTheme="minorHAnsi"/>
          <w:i/>
        </w:rPr>
        <w:t xml:space="preserve"> </w:t>
      </w:r>
      <w:proofErr w:type="spellStart"/>
      <w:r w:rsidR="00511281" w:rsidRPr="00511281">
        <w:rPr>
          <w:rFonts w:asciiTheme="minorHAnsi" w:hAnsiTheme="minorHAnsi"/>
          <w:i/>
        </w:rPr>
        <w:t>organique</w:t>
      </w:r>
      <w:proofErr w:type="spellEnd"/>
      <w:r w:rsidR="00511281" w:rsidRPr="00511281">
        <w:rPr>
          <w:rFonts w:asciiTheme="minorHAnsi" w:hAnsiTheme="minorHAnsi"/>
          <w:i/>
        </w:rPr>
        <w:t xml:space="preserve"> relative aux </w:t>
      </w:r>
      <w:proofErr w:type="spellStart"/>
      <w:proofErr w:type="gramStart"/>
      <w:r w:rsidR="00511281" w:rsidRPr="00511281">
        <w:rPr>
          <w:rFonts w:asciiTheme="minorHAnsi" w:hAnsiTheme="minorHAnsi"/>
          <w:i/>
        </w:rPr>
        <w:t>lois</w:t>
      </w:r>
      <w:proofErr w:type="spellEnd"/>
      <w:proofErr w:type="gramEnd"/>
      <w:r w:rsidR="00511281" w:rsidRPr="00511281">
        <w:rPr>
          <w:rFonts w:asciiTheme="minorHAnsi" w:hAnsiTheme="minorHAnsi"/>
          <w:i/>
        </w:rPr>
        <w:t xml:space="preserve"> de</w:t>
      </w:r>
      <w:r w:rsidRPr="00511281">
        <w:rPr>
          <w:rFonts w:asciiTheme="minorHAnsi" w:hAnsiTheme="minorHAnsi"/>
          <w:i/>
        </w:rPr>
        <w:t xml:space="preserve"> finances</w:t>
      </w:r>
      <w:r w:rsidRPr="00A4255D">
        <w:rPr>
          <w:rFonts w:asciiTheme="minorHAnsi" w:hAnsiTheme="minorHAnsi"/>
        </w:rPr>
        <w:t xml:space="preserve"> (LOLF)) groups expenditures by ‘’missions’’ that bring together related </w:t>
      </w:r>
      <w:r w:rsidR="0090328E">
        <w:rPr>
          <w:rFonts w:asciiTheme="minorHAnsi" w:hAnsiTheme="minorHAnsi"/>
        </w:rPr>
        <w:t>programmes</w:t>
      </w:r>
      <w:r w:rsidRPr="00A4255D">
        <w:rPr>
          <w:rFonts w:asciiTheme="minorHAnsi" w:hAnsiTheme="minorHAnsi"/>
        </w:rPr>
        <w:t xml:space="preserve"> that are associated with high level policy objectives and performance indicators.  Recent reforms have additionally focused on streamlining the indicators to make them clearer to parliamentarians and the public and France enacted a law in 2015 requiring the Government to present wealth and well-being indicators other than GDP to promote debate on policy impacts.  Based on the LOLF system the French government is developing a strategic dashboard using a limited set of internationally comparable indicators, including:</w:t>
      </w:r>
    </w:p>
    <w:p w:rsidR="00660117" w:rsidRPr="006359B9" w:rsidRDefault="00511281" w:rsidP="005E64A1">
      <w:pPr>
        <w:pStyle w:val="BodyText"/>
        <w:pBdr>
          <w:top w:val="single" w:sz="4" w:space="1" w:color="auto"/>
          <w:left w:val="single" w:sz="4" w:space="4" w:color="auto"/>
          <w:bottom w:val="single" w:sz="4" w:space="6" w:color="auto"/>
          <w:right w:val="single" w:sz="4" w:space="4" w:color="auto"/>
        </w:pBdr>
        <w:spacing w:after="120"/>
        <w:ind w:left="567" w:hanging="567"/>
        <w:rPr>
          <w:rFonts w:asciiTheme="minorHAnsi" w:hAnsiTheme="minorHAnsi"/>
        </w:rPr>
      </w:pPr>
      <w:r>
        <w:t>•</w:t>
      </w:r>
      <w:r>
        <w:tab/>
      </w:r>
      <w:r w:rsidR="00660117" w:rsidRPr="006359B9">
        <w:rPr>
          <w:rFonts w:asciiTheme="minorHAnsi" w:hAnsiTheme="minorHAnsi"/>
        </w:rPr>
        <w:t>Economic development indicators such as FDI (OECD) and Doing Business (World Bank)</w:t>
      </w:r>
      <w:r w:rsidRPr="006359B9">
        <w:rPr>
          <w:rFonts w:asciiTheme="minorHAnsi" w:hAnsiTheme="minorHAnsi"/>
        </w:rPr>
        <w:t>.</w:t>
      </w:r>
    </w:p>
    <w:p w:rsidR="00660117" w:rsidRPr="006359B9" w:rsidRDefault="00511281" w:rsidP="005E64A1">
      <w:pPr>
        <w:pStyle w:val="BodyText"/>
        <w:pBdr>
          <w:top w:val="single" w:sz="4" w:space="1" w:color="auto"/>
          <w:left w:val="single" w:sz="4" w:space="4" w:color="auto"/>
          <w:bottom w:val="single" w:sz="4" w:space="6" w:color="auto"/>
          <w:right w:val="single" w:sz="4" w:space="4" w:color="auto"/>
        </w:pBdr>
        <w:spacing w:after="120"/>
        <w:ind w:left="567" w:hanging="567"/>
        <w:rPr>
          <w:rFonts w:asciiTheme="minorHAnsi" w:hAnsiTheme="minorHAnsi"/>
        </w:rPr>
      </w:pPr>
      <w:r w:rsidRPr="006359B9">
        <w:rPr>
          <w:rFonts w:asciiTheme="minorHAnsi" w:hAnsiTheme="minorHAnsi"/>
        </w:rPr>
        <w:t>•</w:t>
      </w:r>
      <w:r w:rsidRPr="006359B9">
        <w:rPr>
          <w:rFonts w:asciiTheme="minorHAnsi" w:hAnsiTheme="minorHAnsi"/>
        </w:rPr>
        <w:tab/>
      </w:r>
      <w:r w:rsidR="00660117" w:rsidRPr="006359B9">
        <w:rPr>
          <w:rFonts w:asciiTheme="minorHAnsi" w:hAnsiTheme="minorHAnsi"/>
        </w:rPr>
        <w:t>Social progress indicators, such as healthy life expectancy at 65 by gender (OECD), percentage of 18-24 year olds with no qualification who ar</w:t>
      </w:r>
      <w:r w:rsidR="006359B9">
        <w:rPr>
          <w:rFonts w:asciiTheme="minorHAnsi" w:hAnsiTheme="minorHAnsi"/>
        </w:rPr>
        <w:t xml:space="preserve">e not in training (France </w:t>
      </w:r>
      <w:proofErr w:type="spellStart"/>
      <w:r w:rsidR="006359B9">
        <w:rPr>
          <w:rFonts w:asciiTheme="minorHAnsi" w:hAnsiTheme="minorHAnsi"/>
        </w:rPr>
        <w:t>Straté</w:t>
      </w:r>
      <w:r w:rsidR="00660117" w:rsidRPr="006359B9">
        <w:rPr>
          <w:rFonts w:asciiTheme="minorHAnsi" w:hAnsiTheme="minorHAnsi"/>
        </w:rPr>
        <w:t>gie</w:t>
      </w:r>
      <w:proofErr w:type="spellEnd"/>
      <w:r w:rsidR="00660117" w:rsidRPr="006359B9">
        <w:rPr>
          <w:rFonts w:asciiTheme="minorHAnsi" w:hAnsiTheme="minorHAnsi"/>
        </w:rPr>
        <w:t>/Eurostat) and poverty gaps (World Bank)</w:t>
      </w:r>
      <w:r w:rsidRPr="006359B9">
        <w:rPr>
          <w:rFonts w:asciiTheme="minorHAnsi" w:hAnsiTheme="minorHAnsi"/>
        </w:rPr>
        <w:t>.</w:t>
      </w:r>
    </w:p>
    <w:p w:rsidR="005E64A1" w:rsidRDefault="00511281" w:rsidP="006359B9">
      <w:pPr>
        <w:pStyle w:val="BodyText"/>
        <w:pBdr>
          <w:top w:val="single" w:sz="4" w:space="1" w:color="auto"/>
          <w:left w:val="single" w:sz="4" w:space="4" w:color="auto"/>
          <w:bottom w:val="single" w:sz="4" w:space="6" w:color="auto"/>
          <w:right w:val="single" w:sz="4" w:space="4" w:color="auto"/>
        </w:pBdr>
        <w:ind w:left="567" w:hanging="567"/>
        <w:rPr>
          <w:rFonts w:asciiTheme="minorHAnsi" w:hAnsiTheme="minorHAnsi"/>
        </w:rPr>
      </w:pPr>
      <w:r w:rsidRPr="006359B9">
        <w:rPr>
          <w:rFonts w:asciiTheme="minorHAnsi" w:hAnsiTheme="minorHAnsi"/>
        </w:rPr>
        <w:t>•</w:t>
      </w:r>
      <w:r w:rsidRPr="006359B9">
        <w:rPr>
          <w:rFonts w:asciiTheme="minorHAnsi" w:hAnsiTheme="minorHAnsi"/>
        </w:rPr>
        <w:tab/>
      </w:r>
      <w:r w:rsidR="00660117" w:rsidRPr="006359B9">
        <w:rPr>
          <w:rFonts w:asciiTheme="minorHAnsi" w:hAnsiTheme="minorHAnsi"/>
        </w:rPr>
        <w:t>Sustainable development indicators such as greenhouse gas emissions per unit of GDP (European Energy Agency/Eurostat)</w:t>
      </w:r>
      <w:r w:rsidRPr="006359B9">
        <w:rPr>
          <w:rFonts w:asciiTheme="minorHAnsi" w:hAnsiTheme="minorHAnsi"/>
        </w:rPr>
        <w:t>.</w:t>
      </w:r>
    </w:p>
    <w:p w:rsidR="00514A38" w:rsidRPr="005E64A1" w:rsidRDefault="00511281" w:rsidP="0028610F">
      <w:pPr>
        <w:pStyle w:val="Heading1"/>
        <w:spacing w:before="0" w:after="0"/>
        <w:rPr>
          <w:rFonts w:asciiTheme="minorHAnsi" w:hAnsiTheme="minorHAnsi"/>
        </w:rPr>
      </w:pPr>
      <w:r>
        <w:rPr>
          <w:rFonts w:asciiTheme="minorHAnsi" w:hAnsiTheme="minorHAnsi"/>
        </w:rPr>
        <w:fldChar w:fldCharType="begin"/>
      </w:r>
      <w:r>
        <w:rPr>
          <w:rFonts w:asciiTheme="minorHAnsi" w:hAnsiTheme="minorHAnsi"/>
        </w:rPr>
        <w:instrText xml:space="preserve"> MACROBUTTON NUMBERING </w:instrText>
      </w:r>
      <w:r>
        <w:rPr>
          <w:rFonts w:asciiTheme="minorHAnsi" w:hAnsiTheme="minorHAnsi"/>
        </w:rPr>
        <w:fldChar w:fldCharType="end"/>
      </w:r>
    </w:p>
    <w:p w:rsidR="005E64A1" w:rsidRPr="005E64A1" w:rsidRDefault="007E549C" w:rsidP="005E64A1">
      <w:pPr>
        <w:pBdr>
          <w:top w:val="single" w:sz="4" w:space="1" w:color="auto"/>
          <w:left w:val="single" w:sz="4" w:space="4" w:color="auto"/>
          <w:bottom w:val="single" w:sz="4" w:space="9" w:color="auto"/>
          <w:right w:val="single" w:sz="4" w:space="4" w:color="auto"/>
        </w:pBdr>
        <w:autoSpaceDE w:val="0"/>
        <w:autoSpaceDN w:val="0"/>
        <w:adjustRightInd w:val="0"/>
        <w:spacing w:before="120" w:after="240"/>
        <w:jc w:val="center"/>
        <w:rPr>
          <w:rFonts w:asciiTheme="minorHAnsi" w:hAnsiTheme="minorHAnsi"/>
        </w:rPr>
      </w:pPr>
      <w:r>
        <w:rPr>
          <w:rFonts w:asciiTheme="minorHAnsi" w:hAnsiTheme="minorHAnsi"/>
          <w:b/>
        </w:rPr>
        <w:t>Box 10</w:t>
      </w:r>
      <w:r w:rsidR="005E64A1" w:rsidRPr="005E64A1">
        <w:rPr>
          <w:rFonts w:asciiTheme="minorHAnsi" w:hAnsiTheme="minorHAnsi"/>
          <w:b/>
        </w:rPr>
        <w:t xml:space="preserve">: </w:t>
      </w:r>
      <w:r>
        <w:rPr>
          <w:rFonts w:asciiTheme="minorHAnsi" w:hAnsiTheme="minorHAnsi"/>
          <w:b/>
        </w:rPr>
        <w:t xml:space="preserve">Canada - </w:t>
      </w:r>
      <w:r w:rsidR="005E64A1" w:rsidRPr="005E64A1">
        <w:rPr>
          <w:rFonts w:asciiTheme="minorHAnsi" w:hAnsiTheme="minorHAnsi"/>
          <w:b/>
        </w:rPr>
        <w:t>Linking Performance Measurement and Evaluation</w:t>
      </w:r>
    </w:p>
    <w:p w:rsidR="005E64A1" w:rsidRPr="005E64A1" w:rsidRDefault="005E64A1" w:rsidP="005E64A1">
      <w:pPr>
        <w:pBdr>
          <w:top w:val="single" w:sz="4" w:space="1" w:color="auto"/>
          <w:left w:val="single" w:sz="4" w:space="4" w:color="auto"/>
          <w:bottom w:val="single" w:sz="4" w:space="9" w:color="auto"/>
          <w:right w:val="single" w:sz="4" w:space="4" w:color="auto"/>
        </w:pBdr>
        <w:autoSpaceDE w:val="0"/>
        <w:autoSpaceDN w:val="0"/>
        <w:adjustRightInd w:val="0"/>
        <w:spacing w:before="240" w:after="240"/>
        <w:rPr>
          <w:rFonts w:asciiTheme="minorHAnsi" w:hAnsiTheme="minorHAnsi"/>
        </w:rPr>
      </w:pPr>
      <w:r w:rsidRPr="005E64A1">
        <w:rPr>
          <w:rFonts w:asciiTheme="minorHAnsi" w:hAnsiTheme="minorHAnsi"/>
        </w:rPr>
        <w:t>In 2016, Canada released a new Policy on Results intended to improve how departments and agencies (i.e. ministries) plan for, measure, evaluate and report on results. This policy created a distinction bet</w:t>
      </w:r>
      <w:r w:rsidR="00225992">
        <w:rPr>
          <w:rFonts w:asciiTheme="minorHAnsi" w:hAnsiTheme="minorHAnsi"/>
        </w:rPr>
        <w:t>ween departmental-level results </w:t>
      </w:r>
      <w:r w:rsidRPr="005E64A1">
        <w:rPr>
          <w:rFonts w:asciiTheme="minorHAnsi" w:hAnsiTheme="minorHAnsi"/>
        </w:rPr>
        <w:t>– as summarized in a</w:t>
      </w:r>
      <w:r w:rsidR="00225992">
        <w:rPr>
          <w:rFonts w:asciiTheme="minorHAnsi" w:hAnsiTheme="minorHAnsi"/>
        </w:rPr>
        <w:t xml:space="preserve"> Departmental Results Framework </w:t>
      </w:r>
      <w:r w:rsidRPr="005E64A1">
        <w:rPr>
          <w:rFonts w:asciiTheme="minorHAnsi" w:hAnsiTheme="minorHAnsi"/>
        </w:rPr>
        <w:t xml:space="preserve">– and the results of </w:t>
      </w:r>
      <w:r w:rsidR="0090328E">
        <w:rPr>
          <w:rFonts w:asciiTheme="minorHAnsi" w:hAnsiTheme="minorHAnsi"/>
        </w:rPr>
        <w:t>programmes</w:t>
      </w:r>
      <w:r w:rsidRPr="005E64A1">
        <w:rPr>
          <w:rFonts w:asciiTheme="minorHAnsi" w:hAnsiTheme="minorHAnsi"/>
        </w:rPr>
        <w:t xml:space="preserve"> in identified in a separate </w:t>
      </w:r>
      <w:r w:rsidR="00DA0272">
        <w:rPr>
          <w:rFonts w:asciiTheme="minorHAnsi" w:hAnsiTheme="minorHAnsi"/>
        </w:rPr>
        <w:t xml:space="preserve">Programme </w:t>
      </w:r>
      <w:r w:rsidR="00225992">
        <w:rPr>
          <w:rFonts w:asciiTheme="minorHAnsi" w:hAnsiTheme="minorHAnsi"/>
        </w:rPr>
        <w:t xml:space="preserve">Inventory. </w:t>
      </w:r>
      <w:r w:rsidRPr="005E64A1">
        <w:rPr>
          <w:rFonts w:asciiTheme="minorHAnsi" w:hAnsiTheme="minorHAnsi"/>
        </w:rPr>
        <w:t>The Policy on Results a</w:t>
      </w:r>
      <w:r w:rsidR="00DA2B00">
        <w:rPr>
          <w:rFonts w:asciiTheme="minorHAnsi" w:hAnsiTheme="minorHAnsi"/>
        </w:rPr>
        <w:t>lso introduced a new role, the "head of performance measurement"</w:t>
      </w:r>
      <w:r w:rsidRPr="005E64A1">
        <w:rPr>
          <w:rFonts w:asciiTheme="minorHAnsi" w:hAnsiTheme="minorHAnsi"/>
        </w:rPr>
        <w:t xml:space="preserve">, as a counterpart to the </w:t>
      </w:r>
      <w:r>
        <w:rPr>
          <w:rFonts w:asciiTheme="minorHAnsi" w:hAnsiTheme="minorHAnsi"/>
        </w:rPr>
        <w:t>existing ‘heads of evaluation’.</w:t>
      </w:r>
      <w:r w:rsidRPr="005E64A1">
        <w:rPr>
          <w:rFonts w:asciiTheme="minorHAnsi" w:hAnsiTheme="minorHAnsi"/>
        </w:rPr>
        <w:t xml:space="preserve"> Both the heads of performance measurement and heads of evaluation are tasked with providing advice on the selection of valid reliable indicators at the departmental and/or </w:t>
      </w:r>
      <w:r w:rsidR="00DA0272">
        <w:rPr>
          <w:rFonts w:asciiTheme="minorHAnsi" w:hAnsiTheme="minorHAnsi"/>
        </w:rPr>
        <w:t xml:space="preserve">programme </w:t>
      </w:r>
      <w:r w:rsidRPr="005E64A1">
        <w:rPr>
          <w:rFonts w:asciiTheme="minorHAnsi" w:hAnsiTheme="minorHAnsi"/>
        </w:rPr>
        <w:t>levels. Further, the Policy puts into place Performance Measurement and Evaluation Committees, chaired by the deputy head of each department, to oversee the performance measure</w:t>
      </w:r>
      <w:r w:rsidR="00DA2B00">
        <w:rPr>
          <w:rFonts w:asciiTheme="minorHAnsi" w:hAnsiTheme="minorHAnsi"/>
        </w:rPr>
        <w:t xml:space="preserve">ment and evaluation functions. </w:t>
      </w:r>
      <w:r w:rsidRPr="005E64A1">
        <w:rPr>
          <w:rFonts w:asciiTheme="minorHAnsi" w:hAnsiTheme="minorHAnsi"/>
        </w:rPr>
        <w:t>This focusing of expertise and effort at the indicator selection stage may help to ensure that the data being collected is, ultimately, useful for assessing performance and informing decision making.</w:t>
      </w:r>
    </w:p>
    <w:p w:rsidR="005E64A1" w:rsidRDefault="005E64A1" w:rsidP="005E64A1">
      <w:pPr>
        <w:pStyle w:val="BodyText"/>
        <w:ind w:firstLine="0"/>
        <w:jc w:val="center"/>
        <w:rPr>
          <w:rFonts w:asciiTheme="minorHAnsi" w:hAnsiTheme="minorHAnsi"/>
          <w:b/>
          <w:sz w:val="20"/>
          <w:szCs w:val="20"/>
          <w:highlight w:val="green"/>
        </w:rPr>
      </w:pPr>
    </w:p>
    <w:p w:rsidR="0028610F" w:rsidRDefault="0028610F" w:rsidP="005E64A1">
      <w:pPr>
        <w:pStyle w:val="BodyText"/>
        <w:ind w:firstLine="0"/>
        <w:jc w:val="center"/>
        <w:rPr>
          <w:rFonts w:asciiTheme="minorHAnsi" w:hAnsiTheme="minorHAnsi"/>
          <w:b/>
          <w:sz w:val="20"/>
          <w:szCs w:val="20"/>
          <w:highlight w:val="green"/>
        </w:rPr>
      </w:pPr>
      <w:r>
        <w:rPr>
          <w:rFonts w:asciiTheme="minorHAnsi" w:hAnsiTheme="minorHAnsi"/>
          <w:b/>
          <w:sz w:val="20"/>
          <w:szCs w:val="20"/>
          <w:highlight w:val="green"/>
        </w:rPr>
        <w:br w:type="page"/>
      </w:r>
    </w:p>
    <w:p w:rsidR="0028610F" w:rsidRPr="005E64A1" w:rsidRDefault="0028610F" w:rsidP="005E64A1">
      <w:pPr>
        <w:pStyle w:val="BodyText"/>
        <w:ind w:firstLine="0"/>
        <w:jc w:val="center"/>
        <w:rPr>
          <w:rFonts w:asciiTheme="minorHAnsi" w:hAnsiTheme="minorHAnsi"/>
          <w:b/>
          <w:sz w:val="20"/>
          <w:szCs w:val="20"/>
          <w:highlight w:val="green"/>
        </w:rPr>
      </w:pPr>
    </w:p>
    <w:p w:rsidR="006C75FE" w:rsidRPr="005E64A1" w:rsidRDefault="007E549C" w:rsidP="005E64A1">
      <w:pPr>
        <w:pStyle w:val="BodyText"/>
        <w:pBdr>
          <w:top w:val="single" w:sz="4" w:space="1" w:color="auto"/>
          <w:left w:val="single" w:sz="4" w:space="4" w:color="auto"/>
          <w:bottom w:val="single" w:sz="4" w:space="6" w:color="auto"/>
          <w:right w:val="single" w:sz="4" w:space="4" w:color="auto"/>
        </w:pBdr>
        <w:ind w:firstLine="0"/>
        <w:jc w:val="center"/>
        <w:rPr>
          <w:rFonts w:asciiTheme="minorHAnsi" w:hAnsiTheme="minorHAnsi"/>
          <w:lang w:val="es-MX"/>
        </w:rPr>
      </w:pPr>
      <w:r>
        <w:rPr>
          <w:rFonts w:asciiTheme="minorHAnsi" w:hAnsiTheme="minorHAnsi"/>
          <w:b/>
          <w:lang w:val="en-US"/>
        </w:rPr>
        <w:t xml:space="preserve">Box 11: Mexico - </w:t>
      </w:r>
      <w:r w:rsidR="006C75FE" w:rsidRPr="005E64A1">
        <w:rPr>
          <w:rFonts w:asciiTheme="minorHAnsi" w:hAnsiTheme="minorHAnsi"/>
          <w:b/>
          <w:lang w:val="en-US"/>
        </w:rPr>
        <w:t xml:space="preserve">Performance Evaluation System (Sistema de </w:t>
      </w:r>
      <w:proofErr w:type="spellStart"/>
      <w:r w:rsidR="006C75FE" w:rsidRPr="005E64A1">
        <w:rPr>
          <w:rFonts w:asciiTheme="minorHAnsi" w:hAnsiTheme="minorHAnsi"/>
          <w:b/>
          <w:lang w:val="en-US"/>
        </w:rPr>
        <w:t>Evaluación</w:t>
      </w:r>
      <w:proofErr w:type="spellEnd"/>
      <w:r w:rsidR="006C75FE" w:rsidRPr="005E64A1">
        <w:rPr>
          <w:rFonts w:asciiTheme="minorHAnsi" w:hAnsiTheme="minorHAnsi"/>
          <w:b/>
          <w:lang w:val="en-US"/>
        </w:rPr>
        <w:t xml:space="preserve"> </w:t>
      </w:r>
      <w:proofErr w:type="gramStart"/>
      <w:r w:rsidR="006C75FE" w:rsidRPr="005E64A1">
        <w:rPr>
          <w:rFonts w:asciiTheme="minorHAnsi" w:hAnsiTheme="minorHAnsi"/>
          <w:b/>
          <w:lang w:val="en-US"/>
        </w:rPr>
        <w:t>del</w:t>
      </w:r>
      <w:proofErr w:type="gramEnd"/>
      <w:r w:rsidR="006C75FE" w:rsidRPr="005E64A1">
        <w:rPr>
          <w:rFonts w:asciiTheme="minorHAnsi" w:hAnsiTheme="minorHAnsi"/>
          <w:b/>
          <w:lang w:val="en-US"/>
        </w:rPr>
        <w:t xml:space="preserve"> </w:t>
      </w:r>
      <w:proofErr w:type="spellStart"/>
      <w:r w:rsidR="006C75FE" w:rsidRPr="005E64A1">
        <w:rPr>
          <w:rFonts w:asciiTheme="minorHAnsi" w:hAnsiTheme="minorHAnsi"/>
          <w:b/>
          <w:lang w:val="en-US"/>
        </w:rPr>
        <w:t>Desempeño</w:t>
      </w:r>
      <w:proofErr w:type="spellEnd"/>
      <w:r w:rsidR="006C75FE" w:rsidRPr="005E64A1">
        <w:rPr>
          <w:rFonts w:asciiTheme="minorHAnsi" w:hAnsiTheme="minorHAnsi"/>
          <w:b/>
          <w:lang w:val="en-US"/>
        </w:rPr>
        <w:t xml:space="preserve"> </w:t>
      </w:r>
      <w:r>
        <w:rPr>
          <w:rFonts w:asciiTheme="minorHAnsi" w:hAnsiTheme="minorHAnsi"/>
          <w:b/>
          <w:lang w:val="en-US"/>
        </w:rPr>
        <w:t>(</w:t>
      </w:r>
      <w:r w:rsidR="006C75FE" w:rsidRPr="005E64A1">
        <w:rPr>
          <w:rFonts w:asciiTheme="minorHAnsi" w:hAnsiTheme="minorHAnsi"/>
          <w:b/>
          <w:lang w:val="en-US"/>
        </w:rPr>
        <w:t>SED</w:t>
      </w:r>
      <w:r>
        <w:rPr>
          <w:rFonts w:asciiTheme="minorHAnsi" w:hAnsiTheme="minorHAnsi"/>
          <w:b/>
          <w:lang w:val="en-US"/>
        </w:rPr>
        <w:t>)</w:t>
      </w:r>
      <w:r w:rsidR="006C75FE" w:rsidRPr="005E64A1">
        <w:rPr>
          <w:rFonts w:asciiTheme="minorHAnsi" w:hAnsiTheme="minorHAnsi"/>
          <w:b/>
          <w:lang w:val="en-US"/>
        </w:rPr>
        <w:t xml:space="preserve">) </w:t>
      </w:r>
    </w:p>
    <w:p w:rsidR="006C75FE" w:rsidRPr="005E64A1" w:rsidRDefault="006C75FE" w:rsidP="00225992">
      <w:pPr>
        <w:pStyle w:val="BodyText"/>
        <w:pBdr>
          <w:top w:val="single" w:sz="4" w:space="1" w:color="auto"/>
          <w:left w:val="single" w:sz="4" w:space="4" w:color="auto"/>
          <w:bottom w:val="single" w:sz="4" w:space="6" w:color="auto"/>
          <w:right w:val="single" w:sz="4" w:space="4" w:color="auto"/>
        </w:pBdr>
        <w:spacing w:after="120"/>
        <w:ind w:firstLine="0"/>
        <w:rPr>
          <w:rFonts w:asciiTheme="minorHAnsi" w:hAnsiTheme="minorHAnsi"/>
          <w:lang w:val="en-US"/>
        </w:rPr>
      </w:pPr>
      <w:r w:rsidRPr="005E64A1">
        <w:rPr>
          <w:rFonts w:asciiTheme="minorHAnsi" w:hAnsiTheme="minorHAnsi"/>
          <w:lang w:val="en-US"/>
        </w:rPr>
        <w:t xml:space="preserve">The Performance Evaluation System in Mexico is based on the Federal Law on Budget and Fiscal Responsibility (Ley Federal de </w:t>
      </w:r>
      <w:proofErr w:type="spellStart"/>
      <w:r w:rsidRPr="005E64A1">
        <w:rPr>
          <w:rFonts w:asciiTheme="minorHAnsi" w:hAnsiTheme="minorHAnsi"/>
          <w:lang w:val="en-US"/>
        </w:rPr>
        <w:t>Presupuesto</w:t>
      </w:r>
      <w:proofErr w:type="spellEnd"/>
      <w:r w:rsidRPr="005E64A1">
        <w:rPr>
          <w:rFonts w:asciiTheme="minorHAnsi" w:hAnsiTheme="minorHAnsi"/>
          <w:lang w:val="en-US"/>
        </w:rPr>
        <w:t xml:space="preserve"> y </w:t>
      </w:r>
      <w:proofErr w:type="spellStart"/>
      <w:r w:rsidRPr="005E64A1">
        <w:rPr>
          <w:rFonts w:asciiTheme="minorHAnsi" w:hAnsiTheme="minorHAnsi"/>
          <w:lang w:val="en-US"/>
        </w:rPr>
        <w:t>Responsabilidad</w:t>
      </w:r>
      <w:proofErr w:type="spellEnd"/>
      <w:r w:rsidRPr="005E64A1">
        <w:rPr>
          <w:rFonts w:asciiTheme="minorHAnsi" w:hAnsiTheme="minorHAnsi"/>
          <w:lang w:val="en-US"/>
        </w:rPr>
        <w:t xml:space="preserve"> </w:t>
      </w:r>
      <w:proofErr w:type="spellStart"/>
      <w:r w:rsidRPr="005E64A1">
        <w:rPr>
          <w:rFonts w:asciiTheme="minorHAnsi" w:hAnsiTheme="minorHAnsi"/>
          <w:lang w:val="en-US"/>
        </w:rPr>
        <w:t>Hacendaria</w:t>
      </w:r>
      <w:proofErr w:type="spellEnd"/>
      <w:r w:rsidRPr="005E64A1">
        <w:rPr>
          <w:rFonts w:asciiTheme="minorHAnsi" w:hAnsiTheme="minorHAnsi"/>
          <w:lang w:val="en-US"/>
        </w:rPr>
        <w:t xml:space="preserve"> 2006); SED requires a results indicator matrix for all budgetary </w:t>
      </w:r>
      <w:proofErr w:type="spellStart"/>
      <w:r w:rsidR="0090328E">
        <w:rPr>
          <w:rFonts w:asciiTheme="minorHAnsi" w:hAnsiTheme="minorHAnsi"/>
          <w:lang w:val="en-US"/>
        </w:rPr>
        <w:t>programmes</w:t>
      </w:r>
      <w:proofErr w:type="spellEnd"/>
      <w:r w:rsidRPr="005E64A1">
        <w:rPr>
          <w:rFonts w:asciiTheme="minorHAnsi" w:hAnsiTheme="minorHAnsi"/>
          <w:lang w:val="en-US"/>
        </w:rPr>
        <w:t xml:space="preserve"> (</w:t>
      </w:r>
      <w:r w:rsidRPr="005E64A1">
        <w:rPr>
          <w:rFonts w:asciiTheme="minorHAnsi" w:hAnsiTheme="minorHAnsi"/>
          <w:lang w:val="es-MX"/>
        </w:rPr>
        <w:t>Matriz de Indicadores para Resultados</w:t>
      </w:r>
      <w:r w:rsidRPr="005E64A1">
        <w:rPr>
          <w:rFonts w:asciiTheme="minorHAnsi" w:hAnsiTheme="minorHAnsi"/>
          <w:lang w:val="en-US"/>
        </w:rPr>
        <w:t xml:space="preserve"> -MIR-), which defines the objectives and indicators based on the logical framework.  This is a fundamental pillar of monitoring and evaluation. The MIR of a budgetary </w:t>
      </w:r>
      <w:proofErr w:type="spellStart"/>
      <w:r w:rsidR="003B33CC">
        <w:rPr>
          <w:rFonts w:asciiTheme="minorHAnsi" w:hAnsiTheme="minorHAnsi"/>
          <w:lang w:val="en-US"/>
        </w:rPr>
        <w:t>programme</w:t>
      </w:r>
      <w:proofErr w:type="spellEnd"/>
      <w:r w:rsidR="00DA0272">
        <w:rPr>
          <w:rFonts w:asciiTheme="minorHAnsi" w:hAnsiTheme="minorHAnsi"/>
          <w:lang w:val="en-US"/>
        </w:rPr>
        <w:t xml:space="preserve"> </w:t>
      </w:r>
      <w:r w:rsidRPr="005E64A1">
        <w:rPr>
          <w:rFonts w:asciiTheme="minorHAnsi" w:hAnsiTheme="minorHAnsi"/>
          <w:lang w:val="en-US"/>
        </w:rPr>
        <w:t xml:space="preserve">describes the </w:t>
      </w:r>
      <w:proofErr w:type="spellStart"/>
      <w:r w:rsidR="003B33CC">
        <w:rPr>
          <w:rFonts w:asciiTheme="minorHAnsi" w:hAnsiTheme="minorHAnsi"/>
          <w:lang w:val="en-US"/>
        </w:rPr>
        <w:t>programme</w:t>
      </w:r>
      <w:proofErr w:type="spellEnd"/>
      <w:r w:rsidR="00DA0272">
        <w:rPr>
          <w:rFonts w:asciiTheme="minorHAnsi" w:hAnsiTheme="minorHAnsi"/>
          <w:lang w:val="en-US"/>
        </w:rPr>
        <w:t xml:space="preserve"> </w:t>
      </w:r>
      <w:r w:rsidRPr="005E64A1">
        <w:rPr>
          <w:rFonts w:asciiTheme="minorHAnsi" w:hAnsiTheme="minorHAnsi"/>
          <w:lang w:val="en-US"/>
        </w:rPr>
        <w:t xml:space="preserve">goal according to the objectives and indicators of the sectoral </w:t>
      </w:r>
      <w:proofErr w:type="spellStart"/>
      <w:r w:rsidR="003B33CC">
        <w:rPr>
          <w:rFonts w:asciiTheme="minorHAnsi" w:hAnsiTheme="minorHAnsi"/>
          <w:lang w:val="en-US"/>
        </w:rPr>
        <w:t>programme</w:t>
      </w:r>
      <w:proofErr w:type="spellEnd"/>
      <w:r w:rsidR="00DA0272">
        <w:rPr>
          <w:rFonts w:asciiTheme="minorHAnsi" w:hAnsiTheme="minorHAnsi"/>
          <w:lang w:val="en-US"/>
        </w:rPr>
        <w:t xml:space="preserve"> </w:t>
      </w:r>
      <w:r w:rsidRPr="005E64A1">
        <w:rPr>
          <w:rFonts w:asciiTheme="minorHAnsi" w:hAnsiTheme="minorHAnsi"/>
          <w:lang w:val="en-US"/>
        </w:rPr>
        <w:t>to which it contributes, and deploys objectives and both strategic and management indicators.</w:t>
      </w:r>
    </w:p>
    <w:p w:rsidR="006C75FE" w:rsidRPr="005E64A1" w:rsidRDefault="006C75FE" w:rsidP="00225992">
      <w:pPr>
        <w:pStyle w:val="BodyText"/>
        <w:pBdr>
          <w:top w:val="single" w:sz="4" w:space="1" w:color="auto"/>
          <w:left w:val="single" w:sz="4" w:space="4" w:color="auto"/>
          <w:bottom w:val="single" w:sz="4" w:space="6" w:color="auto"/>
          <w:right w:val="single" w:sz="4" w:space="4" w:color="auto"/>
        </w:pBdr>
        <w:spacing w:after="120"/>
        <w:ind w:firstLine="0"/>
        <w:rPr>
          <w:rFonts w:asciiTheme="minorHAnsi" w:hAnsiTheme="minorHAnsi"/>
          <w:lang w:val="en-US"/>
        </w:rPr>
      </w:pPr>
      <w:r w:rsidRPr="005E64A1">
        <w:rPr>
          <w:rFonts w:asciiTheme="minorHAnsi" w:hAnsiTheme="minorHAnsi"/>
          <w:lang w:val="en-US"/>
        </w:rPr>
        <w:t>In the selection of indicators, preference is given to indicators whose measurement can be carried out independently of the agency that operates the program. If available, internationally accepted indicators are also preferred. The composition of the MIR is analyzed and evaluated periodically, both in internal review processes and through external evaluations and citizen consultations, to ensure the relevance of its design, and of the goals associated with its indicators.</w:t>
      </w:r>
    </w:p>
    <w:p w:rsidR="006C75FE" w:rsidRPr="005E64A1" w:rsidRDefault="006C75FE" w:rsidP="005E64A1">
      <w:pPr>
        <w:pStyle w:val="BodyText"/>
        <w:pBdr>
          <w:top w:val="single" w:sz="4" w:space="1" w:color="auto"/>
          <w:left w:val="single" w:sz="4" w:space="4" w:color="auto"/>
          <w:bottom w:val="single" w:sz="4" w:space="6" w:color="auto"/>
          <w:right w:val="single" w:sz="4" w:space="4" w:color="auto"/>
        </w:pBdr>
        <w:ind w:firstLine="0"/>
        <w:rPr>
          <w:rFonts w:asciiTheme="minorHAnsi" w:hAnsiTheme="minorHAnsi"/>
          <w:lang w:val="en-US"/>
        </w:rPr>
      </w:pPr>
      <w:r w:rsidRPr="005E64A1">
        <w:rPr>
          <w:rFonts w:asciiTheme="minorHAnsi" w:hAnsiTheme="minorHAnsi"/>
          <w:lang w:val="en-US"/>
        </w:rPr>
        <w:t xml:space="preserve">The number of budgetary </w:t>
      </w:r>
      <w:proofErr w:type="spellStart"/>
      <w:r w:rsidR="0090328E">
        <w:rPr>
          <w:rFonts w:asciiTheme="minorHAnsi" w:hAnsiTheme="minorHAnsi"/>
          <w:lang w:val="en-US"/>
        </w:rPr>
        <w:t>programmes</w:t>
      </w:r>
      <w:proofErr w:type="spellEnd"/>
      <w:r w:rsidRPr="005E64A1">
        <w:rPr>
          <w:rFonts w:asciiTheme="minorHAnsi" w:hAnsiTheme="minorHAnsi"/>
          <w:lang w:val="en-US"/>
        </w:rPr>
        <w:t xml:space="preserve"> that are evaluated through performance indicators increased gradually over time to cover all programmable expenditure in 2016. </w:t>
      </w:r>
    </w:p>
    <w:p w:rsidR="00511281" w:rsidRPr="00511281" w:rsidRDefault="00514A38" w:rsidP="00514A38">
      <w:pPr>
        <w:pStyle w:val="Heading1"/>
        <w:keepNext w:val="0"/>
        <w:spacing w:before="0" w:after="0"/>
        <w:rPr>
          <w:rFonts w:asciiTheme="minorHAnsi" w:hAnsiTheme="minorHAnsi"/>
        </w:rPr>
      </w:pPr>
      <w:r>
        <w:rPr>
          <w:rStyle w:val="CommentReference"/>
          <w:b w:val="0"/>
          <w:bCs w:val="0"/>
          <w:caps w:val="0"/>
          <w:kern w:val="0"/>
        </w:rPr>
        <w:t xml:space="preserve"> </w:t>
      </w:r>
      <w:r w:rsidR="00511281" w:rsidRPr="00511281">
        <w:rPr>
          <w:rFonts w:asciiTheme="minorHAnsi" w:hAnsiTheme="minorHAnsi"/>
        </w:rPr>
        <w:br w:type="page"/>
      </w:r>
    </w:p>
    <w:p w:rsidR="00225992" w:rsidRDefault="00511281" w:rsidP="00225992">
      <w:pPr>
        <w:pStyle w:val="Heading1"/>
        <w:pBdr>
          <w:top w:val="single" w:sz="4" w:space="1" w:color="auto"/>
          <w:left w:val="single" w:sz="4" w:space="4" w:color="auto"/>
          <w:bottom w:val="single" w:sz="4" w:space="9" w:color="auto"/>
          <w:right w:val="single" w:sz="4" w:space="4" w:color="auto"/>
        </w:pBdr>
        <w:shd w:val="clear" w:color="auto" w:fill="CCECFF"/>
        <w:tabs>
          <w:tab w:val="clear" w:pos="850"/>
          <w:tab w:val="left" w:pos="567"/>
        </w:tabs>
        <w:spacing w:before="240" w:after="0"/>
        <w:ind w:left="567" w:hanging="567"/>
        <w:rPr>
          <w:rFonts w:asciiTheme="minorHAnsi" w:hAnsiTheme="minorHAnsi"/>
          <w:bCs w:val="0"/>
          <w:caps w:val="0"/>
          <w:color w:val="1E63AE"/>
          <w:kern w:val="0"/>
          <w:sz w:val="24"/>
          <w:szCs w:val="24"/>
        </w:rPr>
      </w:pPr>
      <w:r>
        <w:rPr>
          <w:rFonts w:asciiTheme="minorHAnsi" w:hAnsiTheme="minorHAnsi"/>
          <w:bCs w:val="0"/>
          <w:caps w:val="0"/>
          <w:color w:val="1E63AE"/>
          <w:kern w:val="0"/>
          <w:sz w:val="24"/>
          <w:szCs w:val="24"/>
        </w:rPr>
        <w:lastRenderedPageBreak/>
        <w:fldChar w:fldCharType="begin"/>
      </w:r>
      <w:r>
        <w:rPr>
          <w:rFonts w:asciiTheme="minorHAnsi" w:hAnsiTheme="minorHAnsi"/>
          <w:bCs w:val="0"/>
          <w:caps w:val="0"/>
          <w:color w:val="1E63AE"/>
          <w:kern w:val="0"/>
          <w:sz w:val="24"/>
          <w:szCs w:val="24"/>
        </w:rPr>
        <w:instrText xml:space="preserve"> MACROBUTTON NUMBERING </w:instrText>
      </w:r>
      <w:r>
        <w:rPr>
          <w:rFonts w:asciiTheme="minorHAnsi" w:hAnsiTheme="minorHAnsi"/>
          <w:bCs w:val="0"/>
          <w:caps w:val="0"/>
          <w:color w:val="1E63AE"/>
          <w:kern w:val="0"/>
          <w:sz w:val="24"/>
          <w:szCs w:val="24"/>
        </w:rPr>
        <w:fldChar w:fldCharType="end"/>
      </w:r>
      <w:r w:rsidR="00225992">
        <w:rPr>
          <w:rFonts w:asciiTheme="minorHAnsi" w:hAnsiTheme="minorHAnsi"/>
          <w:bCs w:val="0"/>
          <w:caps w:val="0"/>
          <w:color w:val="1E63AE"/>
          <w:kern w:val="0"/>
          <w:sz w:val="24"/>
          <w:szCs w:val="24"/>
        </w:rPr>
        <w:t>Best Practice 5</w:t>
      </w:r>
    </w:p>
    <w:p w:rsidR="00A05994" w:rsidRPr="00225992" w:rsidRDefault="000A41DB" w:rsidP="00225992">
      <w:pPr>
        <w:pStyle w:val="Heading1"/>
        <w:pBdr>
          <w:top w:val="single" w:sz="4" w:space="1" w:color="auto"/>
          <w:left w:val="single" w:sz="4" w:space="4" w:color="auto"/>
          <w:bottom w:val="single" w:sz="4" w:space="9" w:color="auto"/>
          <w:right w:val="single" w:sz="4" w:space="4" w:color="auto"/>
        </w:pBdr>
        <w:shd w:val="clear" w:color="auto" w:fill="CCECFF"/>
        <w:tabs>
          <w:tab w:val="clear" w:pos="850"/>
          <w:tab w:val="left" w:pos="567"/>
        </w:tabs>
        <w:spacing w:before="120" w:after="240"/>
        <w:ind w:left="567" w:hanging="567"/>
        <w:rPr>
          <w:rFonts w:asciiTheme="minorHAnsi" w:hAnsiTheme="minorHAnsi"/>
          <w:bCs w:val="0"/>
          <w:caps w:val="0"/>
          <w:color w:val="1E63AE"/>
          <w:kern w:val="0"/>
          <w:sz w:val="24"/>
          <w:szCs w:val="24"/>
        </w:rPr>
      </w:pPr>
      <w:r>
        <w:rPr>
          <w:rFonts w:asciiTheme="minorHAnsi" w:hAnsiTheme="minorHAnsi"/>
          <w:bCs w:val="0"/>
          <w:caps w:val="0"/>
          <w:color w:val="1E63AE"/>
          <w:kern w:val="0"/>
          <w:sz w:val="24"/>
          <w:szCs w:val="24"/>
        </w:rPr>
        <w:t>C</w:t>
      </w:r>
      <w:r w:rsidR="00A05994">
        <w:rPr>
          <w:rFonts w:asciiTheme="minorHAnsi" w:hAnsiTheme="minorHAnsi"/>
          <w:bCs w:val="0"/>
          <w:caps w:val="0"/>
          <w:color w:val="1E63AE"/>
          <w:kern w:val="0"/>
          <w:sz w:val="24"/>
          <w:szCs w:val="24"/>
        </w:rPr>
        <w:t xml:space="preserve">reating the </w:t>
      </w:r>
      <w:r w:rsidR="00A05994" w:rsidRPr="00511281">
        <w:rPr>
          <w:rFonts w:asciiTheme="minorHAnsi" w:hAnsiTheme="minorHAnsi"/>
          <w:bCs w:val="0"/>
          <w:caps w:val="0"/>
          <w:color w:val="1E63AE"/>
          <w:kern w:val="0"/>
          <w:sz w:val="24"/>
          <w:szCs w:val="24"/>
        </w:rPr>
        <w:t xml:space="preserve">Infrastructure </w:t>
      </w:r>
      <w:r w:rsidR="00A05994">
        <w:rPr>
          <w:rFonts w:asciiTheme="minorHAnsi" w:hAnsiTheme="minorHAnsi"/>
          <w:bCs w:val="0"/>
          <w:caps w:val="0"/>
          <w:color w:val="1E63AE"/>
          <w:kern w:val="0"/>
          <w:sz w:val="24"/>
          <w:szCs w:val="24"/>
        </w:rPr>
        <w:t>to</w:t>
      </w:r>
      <w:r w:rsidR="00A05994" w:rsidRPr="00511281">
        <w:rPr>
          <w:rFonts w:asciiTheme="minorHAnsi" w:hAnsiTheme="minorHAnsi"/>
          <w:bCs w:val="0"/>
          <w:caps w:val="0"/>
          <w:color w:val="1E63AE"/>
          <w:kern w:val="0"/>
          <w:sz w:val="24"/>
          <w:szCs w:val="24"/>
        </w:rPr>
        <w:t xml:space="preserve"> Support Performance Budgeting</w:t>
      </w:r>
    </w:p>
    <w:p w:rsidR="00DD305F" w:rsidRDefault="00DD305F" w:rsidP="00225992">
      <w:pPr>
        <w:pBdr>
          <w:top w:val="single" w:sz="4" w:space="1" w:color="auto"/>
          <w:left w:val="single" w:sz="4" w:space="4" w:color="auto"/>
          <w:bottom w:val="single" w:sz="4" w:space="9" w:color="auto"/>
          <w:right w:val="single" w:sz="4" w:space="4" w:color="auto"/>
        </w:pBdr>
        <w:shd w:val="clear" w:color="auto" w:fill="CCECFF"/>
        <w:tabs>
          <w:tab w:val="clear" w:pos="850"/>
          <w:tab w:val="clear" w:pos="1191"/>
          <w:tab w:val="clear" w:pos="1531"/>
          <w:tab w:val="left" w:pos="567"/>
        </w:tabs>
        <w:spacing w:after="120"/>
        <w:ind w:left="567" w:hanging="567"/>
        <w:rPr>
          <w:rFonts w:asciiTheme="minorHAnsi" w:hAnsiTheme="minorHAnsi"/>
        </w:rPr>
      </w:pPr>
      <w:r w:rsidRPr="005A54C3">
        <w:rPr>
          <w:rFonts w:asciiTheme="minorHAnsi" w:hAnsiTheme="minorHAnsi"/>
        </w:rPr>
        <w:t>•</w:t>
      </w:r>
      <w:r w:rsidRPr="005A54C3">
        <w:rPr>
          <w:rFonts w:asciiTheme="minorHAnsi" w:hAnsiTheme="minorHAnsi"/>
        </w:rPr>
        <w:tab/>
      </w:r>
      <w:r>
        <w:rPr>
          <w:rFonts w:asciiTheme="minorHAnsi" w:hAnsiTheme="minorHAnsi"/>
        </w:rPr>
        <w:t>The performance budgeting methodology is supported by detailed guidelines and training of budget analysts.</w:t>
      </w:r>
    </w:p>
    <w:p w:rsidR="00DD305F" w:rsidRPr="00DD305F" w:rsidRDefault="00DD305F" w:rsidP="00225992">
      <w:pPr>
        <w:pStyle w:val="ListParagraph"/>
        <w:numPr>
          <w:ilvl w:val="0"/>
          <w:numId w:val="42"/>
        </w:numPr>
        <w:pBdr>
          <w:top w:val="single" w:sz="4" w:space="1" w:color="auto"/>
          <w:left w:val="single" w:sz="4" w:space="4" w:color="auto"/>
          <w:bottom w:val="single" w:sz="4" w:space="9" w:color="auto"/>
          <w:right w:val="single" w:sz="4" w:space="4" w:color="auto"/>
        </w:pBdr>
        <w:shd w:val="clear" w:color="auto" w:fill="CCECFF"/>
        <w:tabs>
          <w:tab w:val="clear" w:pos="850"/>
          <w:tab w:val="clear" w:pos="1191"/>
          <w:tab w:val="clear" w:pos="1531"/>
          <w:tab w:val="left" w:pos="567"/>
        </w:tabs>
        <w:spacing w:after="120"/>
        <w:ind w:left="567" w:hanging="567"/>
        <w:rPr>
          <w:rFonts w:asciiTheme="minorHAnsi" w:hAnsiTheme="minorHAnsi"/>
        </w:rPr>
      </w:pPr>
      <w:r w:rsidRPr="00DD305F">
        <w:rPr>
          <w:rFonts w:asciiTheme="minorHAnsi" w:hAnsiTheme="minorHAnsi"/>
        </w:rPr>
        <w:t>Performance budgeting is supported by a core team of specialists, within each ministry and in the central budget authority.</w:t>
      </w:r>
    </w:p>
    <w:p w:rsidR="00DD305F" w:rsidRPr="00A4255D" w:rsidRDefault="00DD305F" w:rsidP="00225992">
      <w:pPr>
        <w:pBdr>
          <w:top w:val="single" w:sz="4" w:space="1" w:color="auto"/>
          <w:left w:val="single" w:sz="4" w:space="4" w:color="auto"/>
          <w:bottom w:val="single" w:sz="4" w:space="9" w:color="auto"/>
          <w:right w:val="single" w:sz="4" w:space="4" w:color="auto"/>
        </w:pBdr>
        <w:shd w:val="clear" w:color="auto" w:fill="CCECFF"/>
        <w:tabs>
          <w:tab w:val="clear" w:pos="850"/>
          <w:tab w:val="clear" w:pos="1191"/>
          <w:tab w:val="clear" w:pos="1531"/>
          <w:tab w:val="left" w:pos="567"/>
        </w:tabs>
        <w:spacing w:after="120"/>
        <w:ind w:left="567" w:hanging="567"/>
        <w:rPr>
          <w:rFonts w:asciiTheme="minorHAnsi" w:hAnsiTheme="minorHAnsi"/>
        </w:rPr>
      </w:pPr>
      <w:r>
        <w:rPr>
          <w:rFonts w:asciiTheme="minorHAnsi" w:hAnsiTheme="minorHAnsi"/>
        </w:rPr>
        <w:t>•</w:t>
      </w:r>
      <w:r>
        <w:rPr>
          <w:rFonts w:asciiTheme="minorHAnsi" w:hAnsiTheme="minorHAnsi"/>
        </w:rPr>
        <w:tab/>
        <w:t>F</w:t>
      </w:r>
      <w:r w:rsidRPr="00A4255D">
        <w:rPr>
          <w:rFonts w:asciiTheme="minorHAnsi" w:hAnsiTheme="minorHAnsi"/>
        </w:rPr>
        <w:t xml:space="preserve">inancial management information systems integrate non-financial performance data </w:t>
      </w:r>
      <w:r>
        <w:rPr>
          <w:rFonts w:asciiTheme="minorHAnsi" w:hAnsiTheme="minorHAnsi"/>
        </w:rPr>
        <w:t>to</w:t>
      </w:r>
      <w:r w:rsidRPr="00A4255D">
        <w:rPr>
          <w:rFonts w:asciiTheme="minorHAnsi" w:hAnsiTheme="minorHAnsi"/>
        </w:rPr>
        <w:t xml:space="preserve"> generate reports</w:t>
      </w:r>
      <w:r w:rsidR="00E33572">
        <w:rPr>
          <w:rFonts w:asciiTheme="minorHAnsi" w:hAnsiTheme="minorHAnsi"/>
        </w:rPr>
        <w:t xml:space="preserve"> that</w:t>
      </w:r>
      <w:r w:rsidRPr="00A4255D">
        <w:rPr>
          <w:rFonts w:asciiTheme="minorHAnsi" w:hAnsiTheme="minorHAnsi"/>
        </w:rPr>
        <w:t xml:space="preserve"> meet</w:t>
      </w:r>
      <w:r>
        <w:rPr>
          <w:rFonts w:asciiTheme="minorHAnsi" w:hAnsiTheme="minorHAnsi"/>
        </w:rPr>
        <w:t xml:space="preserve"> </w:t>
      </w:r>
      <w:r w:rsidRPr="00A4255D">
        <w:rPr>
          <w:rFonts w:asciiTheme="minorHAnsi" w:hAnsiTheme="minorHAnsi"/>
        </w:rPr>
        <w:t xml:space="preserve">the </w:t>
      </w:r>
      <w:r w:rsidR="00E33572">
        <w:rPr>
          <w:rFonts w:asciiTheme="minorHAnsi" w:hAnsiTheme="minorHAnsi"/>
        </w:rPr>
        <w:t xml:space="preserve">varied </w:t>
      </w:r>
      <w:r w:rsidRPr="00A4255D">
        <w:rPr>
          <w:rFonts w:asciiTheme="minorHAnsi" w:hAnsiTheme="minorHAnsi"/>
        </w:rPr>
        <w:t>needs of different users.</w:t>
      </w:r>
    </w:p>
    <w:p w:rsidR="00DD305F" w:rsidRDefault="00DD305F" w:rsidP="00225992">
      <w:pPr>
        <w:pBdr>
          <w:top w:val="single" w:sz="4" w:space="1" w:color="auto"/>
          <w:left w:val="single" w:sz="4" w:space="4" w:color="auto"/>
          <w:bottom w:val="single" w:sz="4" w:space="9" w:color="auto"/>
          <w:right w:val="single" w:sz="4" w:space="4" w:color="auto"/>
        </w:pBdr>
        <w:shd w:val="clear" w:color="auto" w:fill="CCECFF"/>
        <w:tabs>
          <w:tab w:val="clear" w:pos="850"/>
          <w:tab w:val="clear" w:pos="1191"/>
          <w:tab w:val="clear" w:pos="1531"/>
          <w:tab w:val="left" w:pos="567"/>
        </w:tabs>
        <w:spacing w:after="360"/>
        <w:ind w:left="567" w:hanging="567"/>
        <w:rPr>
          <w:rFonts w:asciiTheme="minorHAnsi" w:hAnsiTheme="minorHAnsi"/>
        </w:rPr>
      </w:pPr>
      <w:r>
        <w:rPr>
          <w:rFonts w:asciiTheme="minorHAnsi" w:hAnsiTheme="minorHAnsi"/>
        </w:rPr>
        <w:t>•</w:t>
      </w:r>
      <w:r>
        <w:rPr>
          <w:rFonts w:asciiTheme="minorHAnsi" w:hAnsiTheme="minorHAnsi"/>
        </w:rPr>
        <w:tab/>
        <w:t xml:space="preserve">The oversight role and capabilities of the legislature </w:t>
      </w:r>
      <w:r w:rsidRPr="00A4255D">
        <w:rPr>
          <w:rFonts w:asciiTheme="minorHAnsi" w:hAnsiTheme="minorHAnsi"/>
        </w:rPr>
        <w:t xml:space="preserve">and the supreme </w:t>
      </w:r>
      <w:r>
        <w:rPr>
          <w:rFonts w:asciiTheme="minorHAnsi" w:hAnsiTheme="minorHAnsi"/>
        </w:rPr>
        <w:t xml:space="preserve">audit institution are sufficiently developed </w:t>
      </w:r>
      <w:r w:rsidRPr="00A4255D">
        <w:rPr>
          <w:rFonts w:asciiTheme="minorHAnsi" w:hAnsiTheme="minorHAnsi"/>
        </w:rPr>
        <w:t>in respect of performance budgeting</w:t>
      </w:r>
      <w:r>
        <w:rPr>
          <w:rFonts w:asciiTheme="minorHAnsi" w:hAnsiTheme="minorHAnsi"/>
        </w:rPr>
        <w:t>.</w:t>
      </w:r>
    </w:p>
    <w:p w:rsidR="00A56B8E" w:rsidRDefault="00EE64FE" w:rsidP="00DA2B00">
      <w:pPr>
        <w:pStyle w:val="BodyText"/>
        <w:rPr>
          <w:rFonts w:asciiTheme="minorHAnsi" w:hAnsiTheme="minorHAnsi"/>
        </w:rPr>
      </w:pPr>
      <w:r>
        <w:rPr>
          <w:rFonts w:asciiTheme="minorHAnsi" w:hAnsiTheme="minorHAnsi"/>
        </w:rPr>
        <w:t>The basic budget law or</w:t>
      </w:r>
      <w:r w:rsidR="00A56B8E">
        <w:rPr>
          <w:rFonts w:asciiTheme="minorHAnsi" w:hAnsiTheme="minorHAnsi"/>
        </w:rPr>
        <w:t>,</w:t>
      </w:r>
      <w:r>
        <w:rPr>
          <w:rFonts w:asciiTheme="minorHAnsi" w:hAnsiTheme="minorHAnsi"/>
        </w:rPr>
        <w:t xml:space="preserve"> in countries that do not have </w:t>
      </w:r>
      <w:r w:rsidR="00A56B8E">
        <w:rPr>
          <w:rFonts w:asciiTheme="minorHAnsi" w:hAnsiTheme="minorHAnsi"/>
        </w:rPr>
        <w:t xml:space="preserve">a basic budget law, budget </w:t>
      </w:r>
      <w:r>
        <w:rPr>
          <w:rFonts w:asciiTheme="minorHAnsi" w:hAnsiTheme="minorHAnsi"/>
        </w:rPr>
        <w:t>regulations or standing instructions</w:t>
      </w:r>
      <w:r w:rsidR="00A56B8E">
        <w:rPr>
          <w:rFonts w:asciiTheme="minorHAnsi" w:hAnsiTheme="minorHAnsi"/>
        </w:rPr>
        <w:t xml:space="preserve"> define the basis for budget appropriations and also the form in which the budget is presented f</w:t>
      </w:r>
      <w:r w:rsidR="00225992">
        <w:rPr>
          <w:rFonts w:asciiTheme="minorHAnsi" w:hAnsiTheme="minorHAnsi"/>
        </w:rPr>
        <w:t>or adoption by the legislature.</w:t>
      </w:r>
      <w:r w:rsidR="00A56B8E">
        <w:rPr>
          <w:rFonts w:asciiTheme="minorHAnsi" w:hAnsiTheme="minorHAnsi"/>
        </w:rPr>
        <w:t xml:space="preserve"> Changes to such laws and regulations, requiring that the budget is appropriated on the basis of </w:t>
      </w:r>
      <w:r w:rsidR="0090328E">
        <w:rPr>
          <w:rFonts w:asciiTheme="minorHAnsi" w:hAnsiTheme="minorHAnsi"/>
        </w:rPr>
        <w:t>programmes</w:t>
      </w:r>
      <w:r w:rsidR="00A56B8E">
        <w:rPr>
          <w:rFonts w:asciiTheme="minorHAnsi" w:hAnsiTheme="minorHAnsi"/>
        </w:rPr>
        <w:t xml:space="preserve"> rather than budget line items, provide a strong foundation fo</w:t>
      </w:r>
      <w:r w:rsidR="00225992">
        <w:rPr>
          <w:rFonts w:asciiTheme="minorHAnsi" w:hAnsiTheme="minorHAnsi"/>
        </w:rPr>
        <w:t xml:space="preserve">r performance based budgeting. </w:t>
      </w:r>
      <w:r w:rsidR="00A56B8E">
        <w:rPr>
          <w:rFonts w:asciiTheme="minorHAnsi" w:hAnsiTheme="minorHAnsi"/>
        </w:rPr>
        <w:t>T</w:t>
      </w:r>
      <w:r w:rsidR="00AE5CD8">
        <w:rPr>
          <w:rFonts w:asciiTheme="minorHAnsi" w:hAnsiTheme="minorHAnsi"/>
        </w:rPr>
        <w:t>he Central Budget A</w:t>
      </w:r>
      <w:r w:rsidR="00A56B8E">
        <w:rPr>
          <w:rFonts w:asciiTheme="minorHAnsi" w:hAnsiTheme="minorHAnsi"/>
        </w:rPr>
        <w:t>uthority</w:t>
      </w:r>
      <w:r w:rsidR="00AE5CD8">
        <w:rPr>
          <w:rFonts w:asciiTheme="minorHAnsi" w:hAnsiTheme="minorHAnsi"/>
        </w:rPr>
        <w:t xml:space="preserve"> needs to supplement this with detailed methodological guidance on how to develop budget </w:t>
      </w:r>
      <w:r w:rsidR="0090328E">
        <w:rPr>
          <w:rFonts w:asciiTheme="minorHAnsi" w:hAnsiTheme="minorHAnsi"/>
        </w:rPr>
        <w:t>programmes</w:t>
      </w:r>
      <w:r w:rsidR="00AE5CD8">
        <w:rPr>
          <w:rFonts w:asciiTheme="minorHAnsi" w:hAnsiTheme="minorHAnsi"/>
        </w:rPr>
        <w:t>, sub-</w:t>
      </w:r>
      <w:r w:rsidR="0090328E">
        <w:rPr>
          <w:rFonts w:asciiTheme="minorHAnsi" w:hAnsiTheme="minorHAnsi"/>
        </w:rPr>
        <w:t>programmes</w:t>
      </w:r>
      <w:r w:rsidR="00AE5CD8">
        <w:rPr>
          <w:rFonts w:asciiTheme="minorHAnsi" w:hAnsiTheme="minorHAnsi"/>
        </w:rPr>
        <w:t xml:space="preserve"> and activities, define results, sele</w:t>
      </w:r>
      <w:r w:rsidR="00225992">
        <w:rPr>
          <w:rFonts w:asciiTheme="minorHAnsi" w:hAnsiTheme="minorHAnsi"/>
        </w:rPr>
        <w:t>ct indicators and set targets.</w:t>
      </w:r>
    </w:p>
    <w:p w:rsidR="00660117" w:rsidRPr="00A4255D" w:rsidRDefault="00542E58" w:rsidP="00DA2B00">
      <w:pPr>
        <w:pStyle w:val="BodyText"/>
        <w:rPr>
          <w:rFonts w:asciiTheme="minorHAnsi" w:hAnsiTheme="minorHAnsi"/>
        </w:rPr>
      </w:pPr>
      <w:r>
        <w:rPr>
          <w:rFonts w:asciiTheme="minorHAnsi" w:hAnsiTheme="minorHAnsi"/>
        </w:rPr>
        <w:t xml:space="preserve">The </w:t>
      </w:r>
      <w:r w:rsidR="007C4D24">
        <w:rPr>
          <w:rFonts w:asciiTheme="minorHAnsi" w:hAnsiTheme="minorHAnsi"/>
        </w:rPr>
        <w:t>2016 OECD Survey of Performa</w:t>
      </w:r>
      <w:r>
        <w:rPr>
          <w:rFonts w:asciiTheme="minorHAnsi" w:hAnsiTheme="minorHAnsi"/>
        </w:rPr>
        <w:t>nc</w:t>
      </w:r>
      <w:r w:rsidR="007C4D24">
        <w:rPr>
          <w:rFonts w:asciiTheme="minorHAnsi" w:hAnsiTheme="minorHAnsi"/>
        </w:rPr>
        <w:t xml:space="preserve">e Budgeting Practices, </w:t>
      </w:r>
      <w:r>
        <w:rPr>
          <w:rFonts w:asciiTheme="minorHAnsi" w:hAnsiTheme="minorHAnsi"/>
        </w:rPr>
        <w:t xml:space="preserve">identified </w:t>
      </w:r>
      <w:r w:rsidR="007C4D24">
        <w:rPr>
          <w:rFonts w:asciiTheme="minorHAnsi" w:hAnsiTheme="minorHAnsi"/>
        </w:rPr>
        <w:t>g</w:t>
      </w:r>
      <w:r w:rsidR="00660117" w:rsidRPr="00A4255D">
        <w:rPr>
          <w:rFonts w:asciiTheme="minorHAnsi" w:hAnsiTheme="minorHAnsi"/>
        </w:rPr>
        <w:t xml:space="preserve">eneral resource constraints, capacity/training constraints and data availability </w:t>
      </w:r>
      <w:r w:rsidR="007C4D24">
        <w:rPr>
          <w:rFonts w:asciiTheme="minorHAnsi" w:hAnsiTheme="minorHAnsi"/>
        </w:rPr>
        <w:t xml:space="preserve">as </w:t>
      </w:r>
      <w:r w:rsidR="00660117" w:rsidRPr="00A4255D">
        <w:rPr>
          <w:rFonts w:asciiTheme="minorHAnsi" w:hAnsiTheme="minorHAnsi"/>
        </w:rPr>
        <w:t xml:space="preserve">three </w:t>
      </w:r>
      <w:r w:rsidR="007C4D24">
        <w:rPr>
          <w:rFonts w:asciiTheme="minorHAnsi" w:hAnsiTheme="minorHAnsi"/>
        </w:rPr>
        <w:t>of the top</w:t>
      </w:r>
      <w:r w:rsidR="00660117" w:rsidRPr="00A4255D">
        <w:rPr>
          <w:rFonts w:asciiTheme="minorHAnsi" w:hAnsiTheme="minorHAnsi"/>
        </w:rPr>
        <w:t xml:space="preserve"> challenges (after lack of a performance culture) facing governments that want to implement performance budgeting (see Figure</w:t>
      </w:r>
      <w:r w:rsidR="00E741D9">
        <w:rPr>
          <w:rFonts w:asciiTheme="minorHAnsi" w:hAnsiTheme="minorHAnsi"/>
        </w:rPr>
        <w:t> </w:t>
      </w:r>
      <w:r w:rsidR="003F1E1C">
        <w:rPr>
          <w:rFonts w:asciiTheme="minorHAnsi" w:hAnsiTheme="minorHAnsi"/>
        </w:rPr>
        <w:t>9</w:t>
      </w:r>
      <w:r w:rsidR="00660117" w:rsidRPr="00A4255D">
        <w:rPr>
          <w:rFonts w:asciiTheme="minorHAnsi" w:hAnsiTheme="minorHAnsi"/>
        </w:rPr>
        <w:t>).</w:t>
      </w:r>
    </w:p>
    <w:p w:rsidR="00660117" w:rsidRPr="00A4255D" w:rsidRDefault="00DE5FA9" w:rsidP="00C12136">
      <w:pPr>
        <w:keepNext/>
        <w:spacing w:before="240" w:after="240"/>
        <w:jc w:val="center"/>
        <w:rPr>
          <w:rFonts w:asciiTheme="minorHAnsi" w:hAnsiTheme="minorHAnsi"/>
          <w:b/>
        </w:rPr>
      </w:pPr>
      <w:r>
        <w:rPr>
          <w:rFonts w:asciiTheme="minorHAnsi" w:hAnsiTheme="minorHAnsi"/>
          <w:b/>
        </w:rPr>
        <w:t>Figure</w:t>
      </w:r>
      <w:r w:rsidR="003F1E1C">
        <w:rPr>
          <w:rFonts w:asciiTheme="minorHAnsi" w:hAnsiTheme="minorHAnsi"/>
          <w:b/>
        </w:rPr>
        <w:t xml:space="preserve"> 9</w:t>
      </w:r>
      <w:r w:rsidR="007C0B10">
        <w:rPr>
          <w:rFonts w:asciiTheme="minorHAnsi" w:hAnsiTheme="minorHAnsi"/>
          <w:b/>
        </w:rPr>
        <w:t xml:space="preserve"> -- </w:t>
      </w:r>
      <w:r w:rsidR="00660117" w:rsidRPr="00A4255D">
        <w:rPr>
          <w:rFonts w:asciiTheme="minorHAnsi" w:hAnsiTheme="minorHAnsi"/>
          <w:b/>
        </w:rPr>
        <w:t>Challenges to Effectively Implementing Performance Budgeting</w:t>
      </w:r>
    </w:p>
    <w:p w:rsidR="00660117" w:rsidRPr="00A4255D" w:rsidRDefault="00660117" w:rsidP="00C12136">
      <w:pPr>
        <w:jc w:val="center"/>
        <w:rPr>
          <w:rFonts w:asciiTheme="minorHAnsi" w:hAnsiTheme="minorHAnsi"/>
        </w:rPr>
      </w:pPr>
      <w:r w:rsidRPr="00A4255D">
        <w:rPr>
          <w:rFonts w:asciiTheme="minorHAnsi" w:hAnsiTheme="minorHAnsi"/>
          <w:noProof/>
          <w:lang w:eastAsia="en-GB"/>
        </w:rPr>
        <w:drawing>
          <wp:inline distT="0" distB="0" distL="0" distR="0" wp14:anchorId="0CCEA506" wp14:editId="6E9D8A5A">
            <wp:extent cx="5731510" cy="3256428"/>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30301" w:rsidRDefault="00E30301" w:rsidP="00DA2B00">
      <w:pPr>
        <w:pStyle w:val="BodyText"/>
        <w:rPr>
          <w:rFonts w:asciiTheme="minorHAnsi" w:hAnsiTheme="minorHAnsi"/>
        </w:rPr>
      </w:pPr>
      <w:r w:rsidRPr="00A4255D">
        <w:rPr>
          <w:rFonts w:asciiTheme="minorHAnsi" w:hAnsiTheme="minorHAnsi"/>
        </w:rPr>
        <w:lastRenderedPageBreak/>
        <w:t>It is a challenging task to</w:t>
      </w:r>
      <w:r w:rsidR="00357880">
        <w:rPr>
          <w:rFonts w:asciiTheme="minorHAnsi" w:hAnsiTheme="minorHAnsi"/>
        </w:rPr>
        <w:t xml:space="preserve"> introduce</w:t>
      </w:r>
      <w:r w:rsidR="00FC7CCB">
        <w:rPr>
          <w:rFonts w:asciiTheme="minorHAnsi" w:hAnsiTheme="minorHAnsi"/>
        </w:rPr>
        <w:t xml:space="preserve"> and maintain</w:t>
      </w:r>
      <w:r w:rsidR="00357880">
        <w:rPr>
          <w:rFonts w:asciiTheme="minorHAnsi" w:hAnsiTheme="minorHAnsi"/>
        </w:rPr>
        <w:t xml:space="preserve"> </w:t>
      </w:r>
      <w:r w:rsidR="00FC7CCB">
        <w:rPr>
          <w:rFonts w:asciiTheme="minorHAnsi" w:hAnsiTheme="minorHAnsi"/>
        </w:rPr>
        <w:t xml:space="preserve">a </w:t>
      </w:r>
      <w:r w:rsidRPr="00A4255D">
        <w:rPr>
          <w:rFonts w:asciiTheme="minorHAnsi" w:hAnsiTheme="minorHAnsi"/>
        </w:rPr>
        <w:t xml:space="preserve">performance budgeting </w:t>
      </w:r>
      <w:r w:rsidR="00FC7CCB">
        <w:rPr>
          <w:rFonts w:asciiTheme="minorHAnsi" w:hAnsiTheme="minorHAnsi"/>
        </w:rPr>
        <w:t xml:space="preserve">system </w:t>
      </w:r>
      <w:r w:rsidRPr="00A4255D">
        <w:rPr>
          <w:rFonts w:asciiTheme="minorHAnsi" w:hAnsiTheme="minorHAnsi"/>
        </w:rPr>
        <w:t>and so, rather than including it in the regular business of the CBA</w:t>
      </w:r>
      <w:r w:rsidR="00FC7CCB">
        <w:rPr>
          <w:rFonts w:asciiTheme="minorHAnsi" w:hAnsiTheme="minorHAnsi"/>
        </w:rPr>
        <w:t>,</w:t>
      </w:r>
      <w:r w:rsidRPr="00A4255D">
        <w:rPr>
          <w:rFonts w:asciiTheme="minorHAnsi" w:hAnsiTheme="minorHAnsi"/>
        </w:rPr>
        <w:t xml:space="preserve"> it </w:t>
      </w:r>
      <w:r w:rsidR="00DD305F">
        <w:rPr>
          <w:rFonts w:asciiTheme="minorHAnsi" w:hAnsiTheme="minorHAnsi"/>
        </w:rPr>
        <w:t>is</w:t>
      </w:r>
      <w:r w:rsidRPr="00A4255D">
        <w:rPr>
          <w:rFonts w:asciiTheme="minorHAnsi" w:hAnsiTheme="minorHAnsi"/>
        </w:rPr>
        <w:t xml:space="preserve"> helpful to set up a central support unit, to serve as a centre of advice and expertise on performance budgeting, developing the methodology</w:t>
      </w:r>
      <w:r w:rsidR="00A228E0">
        <w:rPr>
          <w:rFonts w:asciiTheme="minorHAnsi" w:hAnsiTheme="minorHAnsi"/>
        </w:rPr>
        <w:t xml:space="preserve"> and </w:t>
      </w:r>
      <w:r w:rsidRPr="00A4255D">
        <w:rPr>
          <w:rFonts w:asciiTheme="minorHAnsi" w:hAnsiTheme="minorHAnsi"/>
        </w:rPr>
        <w:t xml:space="preserve">providing training. Typically this unit would be set up within the </w:t>
      </w:r>
      <w:r w:rsidR="00FC7CCB">
        <w:rPr>
          <w:rFonts w:asciiTheme="minorHAnsi" w:hAnsiTheme="minorHAnsi"/>
        </w:rPr>
        <w:t xml:space="preserve">main coordinating body responsible for </w:t>
      </w:r>
      <w:r w:rsidR="003B33CC">
        <w:rPr>
          <w:rFonts w:asciiTheme="minorHAnsi" w:hAnsiTheme="minorHAnsi"/>
        </w:rPr>
        <w:t>programme</w:t>
      </w:r>
      <w:r w:rsidR="00DA0272">
        <w:rPr>
          <w:rFonts w:asciiTheme="minorHAnsi" w:hAnsiTheme="minorHAnsi"/>
        </w:rPr>
        <w:t xml:space="preserve"> </w:t>
      </w:r>
      <w:r w:rsidR="00FC7CCB">
        <w:rPr>
          <w:rFonts w:asciiTheme="minorHAnsi" w:hAnsiTheme="minorHAnsi"/>
        </w:rPr>
        <w:t xml:space="preserve">budgeting, typically the </w:t>
      </w:r>
      <w:r w:rsidRPr="00A4255D">
        <w:rPr>
          <w:rFonts w:asciiTheme="minorHAnsi" w:hAnsiTheme="minorHAnsi"/>
        </w:rPr>
        <w:t xml:space="preserve">Central Budget Authority, but </w:t>
      </w:r>
      <w:r w:rsidR="00FC7CCB">
        <w:rPr>
          <w:rFonts w:asciiTheme="minorHAnsi" w:hAnsiTheme="minorHAnsi"/>
        </w:rPr>
        <w:t xml:space="preserve">sometimes </w:t>
      </w:r>
      <w:r w:rsidRPr="00A4255D">
        <w:rPr>
          <w:rFonts w:asciiTheme="minorHAnsi" w:hAnsiTheme="minorHAnsi"/>
        </w:rPr>
        <w:t>within the president or prime minister’s office</w:t>
      </w:r>
      <w:r w:rsidR="00FC7CCB">
        <w:rPr>
          <w:rFonts w:asciiTheme="minorHAnsi" w:hAnsiTheme="minorHAnsi"/>
        </w:rPr>
        <w:t xml:space="preserve">. To avoid </w:t>
      </w:r>
      <w:r w:rsidR="005E64A1">
        <w:rPr>
          <w:rFonts w:asciiTheme="minorHAnsi" w:hAnsiTheme="minorHAnsi"/>
        </w:rPr>
        <w:t>the risk of</w:t>
      </w:r>
      <w:r w:rsidR="00FC7CCB">
        <w:rPr>
          <w:rFonts w:asciiTheme="minorHAnsi" w:hAnsiTheme="minorHAnsi"/>
        </w:rPr>
        <w:t xml:space="preserve"> isolating the </w:t>
      </w:r>
      <w:r w:rsidR="00E42E62">
        <w:rPr>
          <w:rFonts w:asciiTheme="minorHAnsi" w:hAnsiTheme="minorHAnsi"/>
        </w:rPr>
        <w:t>r</w:t>
      </w:r>
      <w:r w:rsidR="00FC7CCB">
        <w:rPr>
          <w:rFonts w:asciiTheme="minorHAnsi" w:hAnsiTheme="minorHAnsi"/>
        </w:rPr>
        <w:t xml:space="preserve">eform effort it is important that the team maintains strong </w:t>
      </w:r>
      <w:r w:rsidR="00E42E62">
        <w:rPr>
          <w:rFonts w:asciiTheme="minorHAnsi" w:hAnsiTheme="minorHAnsi"/>
        </w:rPr>
        <w:t xml:space="preserve">engagement </w:t>
      </w:r>
      <w:r w:rsidR="00FC7CCB">
        <w:rPr>
          <w:rFonts w:asciiTheme="minorHAnsi" w:hAnsiTheme="minorHAnsi"/>
        </w:rPr>
        <w:t>with the other main stakeholders</w:t>
      </w:r>
      <w:r w:rsidR="00A228E0">
        <w:rPr>
          <w:rFonts w:asciiTheme="minorHAnsi" w:hAnsiTheme="minorHAnsi"/>
        </w:rPr>
        <w:t>, and the unit should avoid carrying routine tasks such as scrutiny of budget submissions or performance reports that are the responsibility of the line ministry and the CBA</w:t>
      </w:r>
      <w:r w:rsidR="00FC7CCB">
        <w:rPr>
          <w:rFonts w:asciiTheme="minorHAnsi" w:hAnsiTheme="minorHAnsi"/>
        </w:rPr>
        <w:t xml:space="preserve">. </w:t>
      </w:r>
    </w:p>
    <w:p w:rsidR="00542E58" w:rsidRDefault="00906C07" w:rsidP="00DA2B00">
      <w:pPr>
        <w:pStyle w:val="BodyText"/>
        <w:rPr>
          <w:rFonts w:asciiTheme="minorHAnsi" w:hAnsiTheme="minorHAnsi"/>
        </w:rPr>
      </w:pPr>
      <w:r w:rsidRPr="00A4255D">
        <w:rPr>
          <w:rFonts w:asciiTheme="minorHAnsi" w:hAnsiTheme="minorHAnsi"/>
        </w:rPr>
        <w:t xml:space="preserve">Governments </w:t>
      </w:r>
      <w:r>
        <w:rPr>
          <w:rFonts w:asciiTheme="minorHAnsi" w:hAnsiTheme="minorHAnsi"/>
        </w:rPr>
        <w:t xml:space="preserve">frequently </w:t>
      </w:r>
      <w:r w:rsidRPr="00A4255D">
        <w:rPr>
          <w:rFonts w:asciiTheme="minorHAnsi" w:hAnsiTheme="minorHAnsi"/>
        </w:rPr>
        <w:t>underestimate the level of investment required to bring about the change</w:t>
      </w:r>
      <w:r w:rsidR="00555B2B">
        <w:rPr>
          <w:rFonts w:asciiTheme="minorHAnsi" w:hAnsiTheme="minorHAnsi"/>
        </w:rPr>
        <w:t>.</w:t>
      </w:r>
      <w:r w:rsidRPr="00A4255D" w:rsidDel="007C4D24">
        <w:rPr>
          <w:rFonts w:asciiTheme="minorHAnsi" w:hAnsiTheme="minorHAnsi"/>
        </w:rPr>
        <w:t xml:space="preserve"> </w:t>
      </w:r>
      <w:r w:rsidR="007C4D24" w:rsidRPr="00A4255D">
        <w:rPr>
          <w:rFonts w:asciiTheme="minorHAnsi" w:hAnsiTheme="minorHAnsi"/>
        </w:rPr>
        <w:t>All the institutions involved in performance budgeting</w:t>
      </w:r>
      <w:r w:rsidR="00E42E62">
        <w:rPr>
          <w:rFonts w:asciiTheme="minorHAnsi" w:hAnsiTheme="minorHAnsi"/>
        </w:rPr>
        <w:t xml:space="preserve"> need training</w:t>
      </w:r>
      <w:r w:rsidR="007C4D24" w:rsidRPr="00A4255D">
        <w:rPr>
          <w:rFonts w:asciiTheme="minorHAnsi" w:hAnsiTheme="minorHAnsi"/>
        </w:rPr>
        <w:t xml:space="preserve">, including </w:t>
      </w:r>
      <w:r w:rsidR="00E42E62">
        <w:rPr>
          <w:rFonts w:asciiTheme="minorHAnsi" w:hAnsiTheme="minorHAnsi"/>
        </w:rPr>
        <w:t xml:space="preserve">staff in </w:t>
      </w:r>
      <w:r w:rsidR="007C4D24" w:rsidRPr="00A4255D">
        <w:rPr>
          <w:rFonts w:asciiTheme="minorHAnsi" w:hAnsiTheme="minorHAnsi"/>
        </w:rPr>
        <w:t xml:space="preserve">the </w:t>
      </w:r>
      <w:r w:rsidR="00E42E62">
        <w:rPr>
          <w:rFonts w:asciiTheme="minorHAnsi" w:hAnsiTheme="minorHAnsi"/>
        </w:rPr>
        <w:t>CBA, line ministries, officers in the parliament and auditors nee</w:t>
      </w:r>
      <w:r w:rsidR="007C4D24" w:rsidRPr="00A4255D">
        <w:rPr>
          <w:rFonts w:asciiTheme="minorHAnsi" w:hAnsiTheme="minorHAnsi"/>
        </w:rPr>
        <w:t>d training</w:t>
      </w:r>
      <w:r w:rsidR="00E42E62">
        <w:rPr>
          <w:rFonts w:asciiTheme="minorHAnsi" w:hAnsiTheme="minorHAnsi"/>
        </w:rPr>
        <w:t xml:space="preserve">. A narrow focus on </w:t>
      </w:r>
      <w:r w:rsidR="00E30301" w:rsidRPr="00A4255D">
        <w:rPr>
          <w:rFonts w:asciiTheme="minorHAnsi" w:hAnsiTheme="minorHAnsi"/>
        </w:rPr>
        <w:t>new procedures and format</w:t>
      </w:r>
      <w:r w:rsidR="00E42E62">
        <w:rPr>
          <w:rFonts w:asciiTheme="minorHAnsi" w:hAnsiTheme="minorHAnsi"/>
        </w:rPr>
        <w:t>s</w:t>
      </w:r>
      <w:r w:rsidR="00E30301" w:rsidRPr="00A4255D">
        <w:rPr>
          <w:rFonts w:asciiTheme="minorHAnsi" w:hAnsiTheme="minorHAnsi"/>
        </w:rPr>
        <w:t xml:space="preserve"> to prepare budgets </w:t>
      </w:r>
      <w:r w:rsidR="00E42E62">
        <w:rPr>
          <w:rFonts w:asciiTheme="minorHAnsi" w:hAnsiTheme="minorHAnsi"/>
        </w:rPr>
        <w:t>is insufficient, as developing</w:t>
      </w:r>
      <w:r w:rsidR="00E42E62" w:rsidRPr="00E42E62">
        <w:rPr>
          <w:rFonts w:asciiTheme="minorHAnsi" w:hAnsiTheme="minorHAnsi"/>
        </w:rPr>
        <w:t xml:space="preserve"> </w:t>
      </w:r>
      <w:r w:rsidR="00E42E62">
        <w:rPr>
          <w:rFonts w:asciiTheme="minorHAnsi" w:hAnsiTheme="minorHAnsi"/>
        </w:rPr>
        <w:t xml:space="preserve">good quality </w:t>
      </w:r>
      <w:r w:rsidR="0090328E">
        <w:rPr>
          <w:rFonts w:asciiTheme="minorHAnsi" w:hAnsiTheme="minorHAnsi"/>
        </w:rPr>
        <w:t>programmes</w:t>
      </w:r>
      <w:r w:rsidR="00E42E62">
        <w:rPr>
          <w:rFonts w:asciiTheme="minorHAnsi" w:hAnsiTheme="minorHAnsi"/>
        </w:rPr>
        <w:t xml:space="preserve"> and performance indicators and targets requires inputs from policy experts, </w:t>
      </w:r>
      <w:r w:rsidR="003B33CC">
        <w:rPr>
          <w:rFonts w:asciiTheme="minorHAnsi" w:hAnsiTheme="minorHAnsi"/>
        </w:rPr>
        <w:t>programme</w:t>
      </w:r>
      <w:r w:rsidR="00DA0272">
        <w:rPr>
          <w:rFonts w:asciiTheme="minorHAnsi" w:hAnsiTheme="minorHAnsi"/>
        </w:rPr>
        <w:t xml:space="preserve"> </w:t>
      </w:r>
      <w:r w:rsidR="00E42E62">
        <w:rPr>
          <w:rFonts w:asciiTheme="minorHAnsi" w:hAnsiTheme="minorHAnsi"/>
        </w:rPr>
        <w:t>managers and ministry leadership</w:t>
      </w:r>
      <w:r w:rsidR="00E30301" w:rsidRPr="00A4255D">
        <w:rPr>
          <w:rFonts w:asciiTheme="minorHAnsi" w:hAnsiTheme="minorHAnsi"/>
        </w:rPr>
        <w:t xml:space="preserve">. </w:t>
      </w:r>
      <w:r w:rsidR="00542E58">
        <w:rPr>
          <w:rFonts w:asciiTheme="minorHAnsi" w:hAnsiTheme="minorHAnsi"/>
        </w:rPr>
        <w:t xml:space="preserve"> </w:t>
      </w:r>
      <w:r w:rsidR="00E42E62">
        <w:rPr>
          <w:rFonts w:asciiTheme="minorHAnsi" w:hAnsiTheme="minorHAnsi"/>
        </w:rPr>
        <w:t xml:space="preserve">A long term effort may be required </w:t>
      </w:r>
      <w:r w:rsidR="00542E58" w:rsidRPr="00A4255D">
        <w:rPr>
          <w:rFonts w:asciiTheme="minorHAnsi" w:hAnsiTheme="minorHAnsi"/>
        </w:rPr>
        <w:t>to bring about a change in mind-set from a focus on compliance and spending, to a focus on performance.</w:t>
      </w:r>
      <w:r w:rsidR="007D3F1C">
        <w:rPr>
          <w:rFonts w:asciiTheme="minorHAnsi" w:hAnsiTheme="minorHAnsi"/>
        </w:rPr>
        <w:t xml:space="preserve">  France’s performance budgeting reforms, centred around the </w:t>
      </w:r>
      <w:proofErr w:type="spellStart"/>
      <w:r w:rsidR="007D3F1C">
        <w:rPr>
          <w:rFonts w:asciiTheme="minorHAnsi" w:hAnsiTheme="minorHAnsi"/>
        </w:rPr>
        <w:t>Loi</w:t>
      </w:r>
      <w:proofErr w:type="spellEnd"/>
      <w:r w:rsidR="007D3F1C">
        <w:rPr>
          <w:rFonts w:asciiTheme="minorHAnsi" w:hAnsiTheme="minorHAnsi"/>
        </w:rPr>
        <w:t xml:space="preserve"> </w:t>
      </w:r>
      <w:proofErr w:type="spellStart"/>
      <w:r w:rsidR="007D3F1C">
        <w:rPr>
          <w:rFonts w:asciiTheme="minorHAnsi" w:hAnsiTheme="minorHAnsi"/>
        </w:rPr>
        <w:t>Organique</w:t>
      </w:r>
      <w:proofErr w:type="spellEnd"/>
      <w:r w:rsidR="007D3F1C">
        <w:rPr>
          <w:rFonts w:asciiTheme="minorHAnsi" w:hAnsiTheme="minorHAnsi"/>
        </w:rPr>
        <w:t xml:space="preserve"> Relative aux Lois des Finances, provides an example of a well-planned and resourced implementation process</w:t>
      </w:r>
      <w:r w:rsidR="00F54FCC">
        <w:rPr>
          <w:rFonts w:asciiTheme="minorHAnsi" w:hAnsiTheme="minorHAnsi"/>
        </w:rPr>
        <w:t xml:space="preserve"> (Box</w:t>
      </w:r>
      <w:r w:rsidR="00DA2B00">
        <w:rPr>
          <w:rFonts w:asciiTheme="minorHAnsi" w:hAnsiTheme="minorHAnsi"/>
        </w:rPr>
        <w:t> 12</w:t>
      </w:r>
      <w:r w:rsidR="00F54FCC">
        <w:rPr>
          <w:rFonts w:asciiTheme="minorHAnsi" w:hAnsiTheme="minorHAnsi"/>
        </w:rPr>
        <w:t>)</w:t>
      </w:r>
      <w:r w:rsidR="007D3F1C">
        <w:rPr>
          <w:rFonts w:asciiTheme="minorHAnsi" w:hAnsiTheme="minorHAnsi"/>
        </w:rPr>
        <w:t>.</w:t>
      </w:r>
      <w:r w:rsidR="00F54FCC">
        <w:rPr>
          <w:rFonts w:asciiTheme="minorHAnsi" w:hAnsiTheme="minorHAnsi"/>
        </w:rPr>
        <w:t xml:space="preserve"> Australia’s PGPA Act of 2013 resulted in substantial effort to improve the government’s capabilities in respect of performance reporting through guidance and </w:t>
      </w:r>
      <w:r w:rsidR="00DA2B00">
        <w:rPr>
          <w:rFonts w:asciiTheme="minorHAnsi" w:hAnsiTheme="minorHAnsi"/>
        </w:rPr>
        <w:t>systematic lesson learning (</w:t>
      </w:r>
      <w:r w:rsidR="00F54FCC">
        <w:rPr>
          <w:rFonts w:asciiTheme="minorHAnsi" w:hAnsiTheme="minorHAnsi"/>
        </w:rPr>
        <w:t>Box</w:t>
      </w:r>
      <w:r w:rsidR="00DA2B00">
        <w:rPr>
          <w:rFonts w:asciiTheme="minorHAnsi" w:hAnsiTheme="minorHAnsi"/>
        </w:rPr>
        <w:t xml:space="preserve"> 13</w:t>
      </w:r>
      <w:r w:rsidR="00F54FCC">
        <w:rPr>
          <w:rFonts w:asciiTheme="minorHAnsi" w:hAnsiTheme="minorHAnsi"/>
        </w:rPr>
        <w:t>).</w:t>
      </w:r>
    </w:p>
    <w:p w:rsidR="00E33572" w:rsidRDefault="00E33572" w:rsidP="00DA2B00">
      <w:pPr>
        <w:pStyle w:val="BodyText"/>
        <w:rPr>
          <w:rFonts w:asciiTheme="minorHAnsi" w:hAnsiTheme="minorHAnsi"/>
        </w:rPr>
      </w:pPr>
      <w:r>
        <w:rPr>
          <w:rFonts w:asciiTheme="minorHAnsi" w:hAnsiTheme="minorHAnsi"/>
        </w:rPr>
        <w:t>Regular reporting and monitoring of performance is an essential part of the performance budgeting system, supporting accountability and enabling decision making.  However, producing performance data and relating it clearly to budget expenditure is a challenging task. Government financial management information systems typically do not capture or report non-financial performance information, and the systems that do capture performance data are typically fragmented, slow to report and not linked to the budget classification system.  Hence financial and performance data can only be related at a high leve</w:t>
      </w:r>
      <w:r w:rsidR="00DA2B00">
        <w:rPr>
          <w:rFonts w:asciiTheme="minorHAnsi" w:hAnsiTheme="minorHAnsi"/>
        </w:rPr>
        <w:t xml:space="preserve">l Canada’s </w:t>
      </w:r>
      <w:proofErr w:type="spellStart"/>
      <w:r w:rsidR="00DA2B00">
        <w:rPr>
          <w:rFonts w:asciiTheme="minorHAnsi" w:hAnsiTheme="minorHAnsi"/>
        </w:rPr>
        <w:t>Infobase</w:t>
      </w:r>
      <w:proofErr w:type="spellEnd"/>
      <w:r w:rsidR="00DA2B00">
        <w:rPr>
          <w:rFonts w:asciiTheme="minorHAnsi" w:hAnsiTheme="minorHAnsi"/>
        </w:rPr>
        <w:t xml:space="preserve"> System (</w:t>
      </w:r>
      <w:r>
        <w:rPr>
          <w:rFonts w:asciiTheme="minorHAnsi" w:hAnsiTheme="minorHAnsi"/>
        </w:rPr>
        <w:t>Box</w:t>
      </w:r>
      <w:r w:rsidR="00DA2B00">
        <w:rPr>
          <w:rFonts w:asciiTheme="minorHAnsi" w:hAnsiTheme="minorHAnsi"/>
        </w:rPr>
        <w:t xml:space="preserve"> 14</w:t>
      </w:r>
      <w:r>
        <w:rPr>
          <w:rFonts w:asciiTheme="minorHAnsi" w:hAnsiTheme="minorHAnsi"/>
        </w:rPr>
        <w:t>)</w:t>
      </w:r>
      <w:r w:rsidR="00F520AD">
        <w:rPr>
          <w:rFonts w:asciiTheme="minorHAnsi" w:hAnsiTheme="minorHAnsi"/>
        </w:rPr>
        <w:t xml:space="preserve">, </w:t>
      </w:r>
      <w:r>
        <w:rPr>
          <w:rFonts w:asciiTheme="minorHAnsi" w:hAnsiTheme="minorHAnsi"/>
        </w:rPr>
        <w:t xml:space="preserve">illustrates how expenditure and performance data can be linked systematically to improve the quality of reporting. </w:t>
      </w:r>
      <w:r w:rsidR="00F520AD">
        <w:rPr>
          <w:rFonts w:asciiTheme="minorHAnsi" w:hAnsiTheme="minorHAnsi"/>
        </w:rPr>
        <w:t xml:space="preserve">Mexico’s </w:t>
      </w:r>
      <w:r w:rsidR="00F520AD" w:rsidRPr="005E64A1">
        <w:rPr>
          <w:rFonts w:asciiTheme="minorHAnsi" w:hAnsiTheme="minorHAnsi"/>
          <w:lang w:val="en-US"/>
        </w:rPr>
        <w:t>Budget Transparency Portal</w:t>
      </w:r>
      <w:r w:rsidR="00DA2B00">
        <w:rPr>
          <w:rFonts w:asciiTheme="minorHAnsi" w:hAnsiTheme="minorHAnsi"/>
          <w:lang w:val="en-US"/>
        </w:rPr>
        <w:t xml:space="preserve"> (Box 15</w:t>
      </w:r>
      <w:r w:rsidR="00F520AD">
        <w:rPr>
          <w:rFonts w:asciiTheme="minorHAnsi" w:hAnsiTheme="minorHAnsi"/>
          <w:lang w:val="en-US"/>
        </w:rPr>
        <w:t>)</w:t>
      </w:r>
      <w:r w:rsidR="007020D5">
        <w:rPr>
          <w:rFonts w:asciiTheme="minorHAnsi" w:hAnsiTheme="minorHAnsi"/>
          <w:lang w:val="en-US"/>
        </w:rPr>
        <w:t xml:space="preserve"> </w:t>
      </w:r>
      <w:r w:rsidR="00F520AD">
        <w:rPr>
          <w:rFonts w:asciiTheme="minorHAnsi" w:hAnsiTheme="minorHAnsi"/>
        </w:rPr>
        <w:t xml:space="preserve">and Ireland’s Portal for Public Performance </w:t>
      </w:r>
      <w:r w:rsidR="007020D5">
        <w:rPr>
          <w:rFonts w:asciiTheme="minorHAnsi" w:hAnsiTheme="minorHAnsi"/>
        </w:rPr>
        <w:t>(Box</w:t>
      </w:r>
      <w:r w:rsidR="00DA2B00">
        <w:rPr>
          <w:rFonts w:asciiTheme="minorHAnsi" w:hAnsiTheme="minorHAnsi"/>
        </w:rPr>
        <w:t> 16</w:t>
      </w:r>
      <w:r w:rsidR="007020D5">
        <w:rPr>
          <w:rFonts w:asciiTheme="minorHAnsi" w:hAnsiTheme="minorHAnsi"/>
        </w:rPr>
        <w:t>) also provide examples of systematic performance reporting.</w:t>
      </w:r>
      <w:r>
        <w:rPr>
          <w:rFonts w:asciiTheme="minorHAnsi" w:hAnsiTheme="minorHAnsi"/>
        </w:rPr>
        <w:t xml:space="preserve">  An important preparatory step is to develop common data standards that enable data to be consolidated across government.  </w:t>
      </w:r>
    </w:p>
    <w:p w:rsidR="00E33572" w:rsidRPr="00C12136" w:rsidRDefault="00E33572" w:rsidP="0028610F">
      <w:pPr>
        <w:pStyle w:val="BodyText"/>
        <w:spacing w:after="120"/>
        <w:rPr>
          <w:rFonts w:asciiTheme="minorHAnsi" w:hAnsiTheme="minorHAnsi"/>
        </w:rPr>
      </w:pPr>
      <w:r w:rsidRPr="00A4255D">
        <w:rPr>
          <w:rFonts w:asciiTheme="minorHAnsi" w:hAnsiTheme="minorHAnsi"/>
        </w:rPr>
        <w:t xml:space="preserve">A fundamental challenge for performance budgeting systems is to satisfy the varied data demands of different stakeholders, including the public, politicians, senior officials and </w:t>
      </w:r>
      <w:r>
        <w:rPr>
          <w:rFonts w:asciiTheme="minorHAnsi" w:hAnsiTheme="minorHAnsi"/>
        </w:rPr>
        <w:t xml:space="preserve">programme </w:t>
      </w:r>
      <w:r w:rsidRPr="00A4255D">
        <w:rPr>
          <w:rFonts w:asciiTheme="minorHAnsi" w:hAnsiTheme="minorHAnsi"/>
        </w:rPr>
        <w:t xml:space="preserve">managers. A single report that aims to be of equal use all these users will disappoint some, if not all, of them. It will generate too much information, much of which will be viewed as of little value. Ideally the performance budgeting system would provide separate </w:t>
      </w:r>
      <w:r w:rsidRPr="00C12136">
        <w:rPr>
          <w:rFonts w:asciiTheme="minorHAnsi" w:hAnsiTheme="minorHAnsi"/>
        </w:rPr>
        <w:t xml:space="preserve">reports tailored to the needs to different types of users: </w:t>
      </w:r>
    </w:p>
    <w:p w:rsidR="00E33572" w:rsidRPr="00C12136" w:rsidRDefault="00E33572" w:rsidP="0056433C">
      <w:pPr>
        <w:pStyle w:val="BodyText"/>
        <w:tabs>
          <w:tab w:val="clear" w:pos="1191"/>
          <w:tab w:val="clear" w:pos="1531"/>
        </w:tabs>
        <w:spacing w:after="120"/>
        <w:ind w:left="851" w:hanging="284"/>
        <w:rPr>
          <w:rFonts w:asciiTheme="minorHAnsi" w:hAnsiTheme="minorHAnsi"/>
        </w:rPr>
      </w:pPr>
      <w:r w:rsidRPr="00C12136">
        <w:rPr>
          <w:rFonts w:asciiTheme="minorHAnsi" w:hAnsiTheme="minorHAnsi"/>
        </w:rPr>
        <w:t>•</w:t>
      </w:r>
      <w:r w:rsidRPr="00C12136">
        <w:rPr>
          <w:rFonts w:asciiTheme="minorHAnsi" w:hAnsiTheme="minorHAnsi"/>
        </w:rPr>
        <w:tab/>
      </w:r>
      <w:proofErr w:type="gramStart"/>
      <w:r w:rsidRPr="00C12136">
        <w:rPr>
          <w:rFonts w:asciiTheme="minorHAnsi" w:hAnsiTheme="minorHAnsi"/>
        </w:rPr>
        <w:t>citizens</w:t>
      </w:r>
      <w:proofErr w:type="gramEnd"/>
      <w:r w:rsidRPr="00C12136">
        <w:rPr>
          <w:rFonts w:asciiTheme="minorHAnsi" w:hAnsiTheme="minorHAnsi"/>
        </w:rPr>
        <w:t xml:space="preserve"> seeking information about public service performance</w:t>
      </w:r>
    </w:p>
    <w:p w:rsidR="00E33572" w:rsidRPr="00C12136" w:rsidRDefault="00E33572" w:rsidP="0056433C">
      <w:pPr>
        <w:pStyle w:val="BodyText"/>
        <w:tabs>
          <w:tab w:val="clear" w:pos="1191"/>
          <w:tab w:val="clear" w:pos="1531"/>
        </w:tabs>
        <w:spacing w:after="120"/>
        <w:ind w:left="851" w:hanging="284"/>
        <w:rPr>
          <w:rFonts w:asciiTheme="minorHAnsi" w:hAnsiTheme="minorHAnsi"/>
        </w:rPr>
      </w:pPr>
      <w:r w:rsidRPr="00C12136">
        <w:rPr>
          <w:rFonts w:asciiTheme="minorHAnsi" w:hAnsiTheme="minorHAnsi"/>
        </w:rPr>
        <w:t>•</w:t>
      </w:r>
      <w:r w:rsidRPr="00C12136">
        <w:rPr>
          <w:rFonts w:asciiTheme="minorHAnsi" w:hAnsiTheme="minorHAnsi"/>
        </w:rPr>
        <w:tab/>
        <w:t xml:space="preserve">elected officials approving the budget decisions </w:t>
      </w:r>
    </w:p>
    <w:p w:rsidR="00E33572" w:rsidRPr="00C12136" w:rsidRDefault="00E33572" w:rsidP="0056433C">
      <w:pPr>
        <w:pStyle w:val="BodyText"/>
        <w:tabs>
          <w:tab w:val="clear" w:pos="1191"/>
          <w:tab w:val="clear" w:pos="1531"/>
        </w:tabs>
        <w:spacing w:after="120"/>
        <w:ind w:left="851" w:hanging="284"/>
        <w:rPr>
          <w:rFonts w:asciiTheme="minorHAnsi" w:hAnsiTheme="minorHAnsi"/>
        </w:rPr>
      </w:pPr>
      <w:r w:rsidRPr="00C12136">
        <w:rPr>
          <w:rFonts w:asciiTheme="minorHAnsi" w:hAnsiTheme="minorHAnsi"/>
        </w:rPr>
        <w:t>•</w:t>
      </w:r>
      <w:r w:rsidRPr="00C12136">
        <w:rPr>
          <w:rFonts w:asciiTheme="minorHAnsi" w:hAnsiTheme="minorHAnsi"/>
        </w:rPr>
        <w:tab/>
      </w:r>
      <w:proofErr w:type="gramStart"/>
      <w:r w:rsidRPr="00C12136">
        <w:rPr>
          <w:rFonts w:asciiTheme="minorHAnsi" w:hAnsiTheme="minorHAnsi"/>
        </w:rPr>
        <w:t>senior</w:t>
      </w:r>
      <w:proofErr w:type="gramEnd"/>
      <w:r w:rsidRPr="00C12136">
        <w:rPr>
          <w:rFonts w:asciiTheme="minorHAnsi" w:hAnsiTheme="minorHAnsi"/>
        </w:rPr>
        <w:t xml:space="preserve"> officials in central government responsible for delivering on </w:t>
      </w:r>
      <w:r>
        <w:rPr>
          <w:rFonts w:asciiTheme="minorHAnsi" w:hAnsiTheme="minorHAnsi"/>
        </w:rPr>
        <w:t>priority government objectives</w:t>
      </w:r>
    </w:p>
    <w:p w:rsidR="00E33572" w:rsidRDefault="00E33572" w:rsidP="0056433C">
      <w:pPr>
        <w:pStyle w:val="BodyText"/>
        <w:tabs>
          <w:tab w:val="clear" w:pos="1191"/>
          <w:tab w:val="clear" w:pos="1531"/>
        </w:tabs>
        <w:ind w:left="851" w:hanging="284"/>
        <w:rPr>
          <w:rFonts w:asciiTheme="minorHAnsi" w:hAnsiTheme="minorHAnsi"/>
        </w:rPr>
      </w:pPr>
      <w:proofErr w:type="gramStart"/>
      <w:r w:rsidRPr="00C12136">
        <w:rPr>
          <w:rFonts w:asciiTheme="minorHAnsi" w:hAnsiTheme="minorHAnsi"/>
        </w:rPr>
        <w:t>•</w:t>
      </w:r>
      <w:r w:rsidRPr="00C12136">
        <w:rPr>
          <w:rFonts w:asciiTheme="minorHAnsi" w:hAnsiTheme="minorHAnsi"/>
        </w:rPr>
        <w:tab/>
      </w:r>
      <w:r>
        <w:rPr>
          <w:rFonts w:asciiTheme="minorHAnsi" w:hAnsiTheme="minorHAnsi"/>
        </w:rPr>
        <w:t xml:space="preserve">programme </w:t>
      </w:r>
      <w:r w:rsidRPr="00C12136">
        <w:rPr>
          <w:rFonts w:asciiTheme="minorHAnsi" w:hAnsiTheme="minorHAnsi"/>
        </w:rPr>
        <w:t>managers trying to deliver services</w:t>
      </w:r>
      <w:r>
        <w:rPr>
          <w:rFonts w:asciiTheme="minorHAnsi" w:hAnsiTheme="minorHAnsi"/>
        </w:rPr>
        <w:t>.</w:t>
      </w:r>
      <w:proofErr w:type="gramEnd"/>
    </w:p>
    <w:p w:rsidR="00E33572" w:rsidRPr="00C12136" w:rsidRDefault="00E33572" w:rsidP="00E33572">
      <w:pPr>
        <w:pStyle w:val="BodyText"/>
        <w:ind w:firstLine="0"/>
        <w:rPr>
          <w:rFonts w:asciiTheme="minorHAnsi" w:hAnsiTheme="minorHAnsi"/>
        </w:rPr>
      </w:pPr>
      <w:r>
        <w:rPr>
          <w:rFonts w:asciiTheme="minorHAnsi" w:hAnsiTheme="minorHAnsi"/>
        </w:rPr>
        <w:lastRenderedPageBreak/>
        <w:t>Australia’s Triang</w:t>
      </w:r>
      <w:r w:rsidR="007D3F1C">
        <w:rPr>
          <w:rFonts w:asciiTheme="minorHAnsi" w:hAnsiTheme="minorHAnsi"/>
        </w:rPr>
        <w:t>l</w:t>
      </w:r>
      <w:r>
        <w:rPr>
          <w:rFonts w:asciiTheme="minorHAnsi" w:hAnsiTheme="minorHAnsi"/>
        </w:rPr>
        <w:t xml:space="preserve">e of Better Use of Performance Indicators </w:t>
      </w:r>
      <w:r w:rsidR="00DA2B00">
        <w:rPr>
          <w:rFonts w:asciiTheme="minorHAnsi" w:hAnsiTheme="minorHAnsi"/>
        </w:rPr>
        <w:t>(Box 17</w:t>
      </w:r>
      <w:r w:rsidR="007D3F1C">
        <w:rPr>
          <w:rFonts w:asciiTheme="minorHAnsi" w:hAnsiTheme="minorHAnsi"/>
        </w:rPr>
        <w:t xml:space="preserve">) </w:t>
      </w:r>
      <w:r>
        <w:rPr>
          <w:rFonts w:asciiTheme="minorHAnsi" w:hAnsiTheme="minorHAnsi"/>
        </w:rPr>
        <w:t xml:space="preserve">provides a conceptual framework </w:t>
      </w:r>
      <w:r w:rsidR="007D3F1C">
        <w:rPr>
          <w:rFonts w:asciiTheme="minorHAnsi" w:hAnsiTheme="minorHAnsi"/>
        </w:rPr>
        <w:t>to analyse the different levels at which performance information is useful in making decisions concerning management of resources.</w:t>
      </w:r>
      <w:r>
        <w:rPr>
          <w:rFonts w:asciiTheme="minorHAnsi" w:hAnsiTheme="minorHAnsi"/>
        </w:rPr>
        <w:t xml:space="preserve"> </w:t>
      </w:r>
    </w:p>
    <w:p w:rsidR="00660117" w:rsidRDefault="00660117" w:rsidP="005E64A1">
      <w:pPr>
        <w:pStyle w:val="BodyText"/>
        <w:rPr>
          <w:rFonts w:asciiTheme="minorHAnsi" w:hAnsiTheme="minorHAnsi"/>
        </w:rPr>
      </w:pPr>
      <w:r w:rsidRPr="00A4255D">
        <w:rPr>
          <w:rFonts w:asciiTheme="minorHAnsi" w:hAnsiTheme="minorHAnsi"/>
        </w:rPr>
        <w:t xml:space="preserve">Substantial investments are often required to upgrade information systems to support a performance budgeting system. Without timely reporting of performance data, integrated with financial data, performance budgeting will not be fully effective.  Typically performance budgeting requires changes to the budget and accounting classification systems to accommodate budget </w:t>
      </w:r>
      <w:r w:rsidR="0090328E">
        <w:rPr>
          <w:rFonts w:asciiTheme="minorHAnsi" w:hAnsiTheme="minorHAnsi"/>
        </w:rPr>
        <w:t>programmes</w:t>
      </w:r>
      <w:r w:rsidRPr="00A4255D">
        <w:rPr>
          <w:rFonts w:asciiTheme="minorHAnsi" w:hAnsiTheme="minorHAnsi"/>
        </w:rPr>
        <w:t xml:space="preserve">, new modules to capture and integrate non-financial data, and new financial reports to meet the varied needs of different users, including </w:t>
      </w:r>
      <w:r w:rsidR="003B33CC">
        <w:rPr>
          <w:rFonts w:asciiTheme="minorHAnsi" w:hAnsiTheme="minorHAnsi"/>
        </w:rPr>
        <w:t>programme</w:t>
      </w:r>
      <w:r w:rsidR="00DA0272">
        <w:rPr>
          <w:rFonts w:asciiTheme="minorHAnsi" w:hAnsiTheme="minorHAnsi"/>
        </w:rPr>
        <w:t xml:space="preserve"> </w:t>
      </w:r>
      <w:r w:rsidRPr="00A4255D">
        <w:rPr>
          <w:rFonts w:asciiTheme="minorHAnsi" w:hAnsiTheme="minorHAnsi"/>
        </w:rPr>
        <w:t xml:space="preserve">managers, senior management in line ministries, the CBA, legislators and the general public. </w:t>
      </w:r>
    </w:p>
    <w:p w:rsidR="00DA2B00" w:rsidRPr="00A4255D" w:rsidRDefault="00DA2B00" w:rsidP="00DA2B00">
      <w:pPr>
        <w:pBdr>
          <w:top w:val="single" w:sz="4" w:space="1" w:color="auto"/>
          <w:left w:val="single" w:sz="4" w:space="4" w:color="auto"/>
          <w:bottom w:val="single" w:sz="4" w:space="6" w:color="auto"/>
          <w:right w:val="single" w:sz="4" w:space="4" w:color="auto"/>
        </w:pBdr>
        <w:spacing w:before="120" w:after="240"/>
        <w:jc w:val="center"/>
        <w:rPr>
          <w:rFonts w:asciiTheme="minorHAnsi" w:hAnsiTheme="minorHAnsi"/>
          <w:b/>
        </w:rPr>
      </w:pPr>
      <w:r>
        <w:rPr>
          <w:rFonts w:asciiTheme="minorHAnsi" w:hAnsiTheme="minorHAnsi"/>
          <w:b/>
        </w:rPr>
        <w:t xml:space="preserve">Box </w:t>
      </w:r>
      <w:r w:rsidRPr="00DA2B00">
        <w:rPr>
          <w:rFonts w:asciiTheme="minorHAnsi" w:hAnsiTheme="minorHAnsi"/>
          <w:b/>
        </w:rPr>
        <w:t>12:</w:t>
      </w:r>
      <w:r>
        <w:rPr>
          <w:rFonts w:asciiTheme="minorHAnsi" w:hAnsiTheme="minorHAnsi"/>
          <w:b/>
        </w:rPr>
        <w:t xml:space="preserve"> </w:t>
      </w:r>
      <w:r w:rsidRPr="00A4255D">
        <w:rPr>
          <w:rFonts w:asciiTheme="minorHAnsi" w:hAnsiTheme="minorHAnsi"/>
          <w:b/>
        </w:rPr>
        <w:t>France</w:t>
      </w:r>
      <w:r>
        <w:rPr>
          <w:rFonts w:asciiTheme="minorHAnsi" w:hAnsiTheme="minorHAnsi"/>
          <w:b/>
        </w:rPr>
        <w:t xml:space="preserve"> -</w:t>
      </w:r>
      <w:r w:rsidRPr="00A4255D">
        <w:rPr>
          <w:rFonts w:asciiTheme="minorHAnsi" w:hAnsiTheme="minorHAnsi"/>
          <w:b/>
        </w:rPr>
        <w:t xml:space="preserve"> LOLF</w:t>
      </w:r>
    </w:p>
    <w:p w:rsidR="00DA2B00" w:rsidRPr="00A4255D" w:rsidRDefault="00DA2B00" w:rsidP="00DA2B00">
      <w:pPr>
        <w:pBdr>
          <w:top w:val="single" w:sz="4" w:space="1" w:color="auto"/>
          <w:left w:val="single" w:sz="4" w:space="4" w:color="auto"/>
          <w:bottom w:val="single" w:sz="4" w:space="6" w:color="auto"/>
          <w:right w:val="single" w:sz="4" w:space="4" w:color="auto"/>
        </w:pBdr>
        <w:spacing w:after="240"/>
        <w:rPr>
          <w:rFonts w:asciiTheme="minorHAnsi" w:hAnsiTheme="minorHAnsi"/>
        </w:rPr>
      </w:pPr>
      <w:r w:rsidRPr="00A4255D">
        <w:rPr>
          <w:rFonts w:asciiTheme="minorHAnsi" w:hAnsiTheme="minorHAnsi"/>
        </w:rPr>
        <w:t>France</w:t>
      </w:r>
      <w:r w:rsidRPr="00A4255D">
        <w:rPr>
          <w:rFonts w:asciiTheme="minorHAnsi" w:hAnsiTheme="minorHAnsi"/>
          <w:b/>
        </w:rPr>
        <w:t xml:space="preserve"> </w:t>
      </w:r>
      <w:r w:rsidRPr="00A4255D">
        <w:rPr>
          <w:rFonts w:asciiTheme="minorHAnsi" w:hAnsiTheme="minorHAnsi"/>
        </w:rPr>
        <w:t>provides</w:t>
      </w:r>
      <w:r w:rsidRPr="00A4255D">
        <w:rPr>
          <w:rFonts w:asciiTheme="minorHAnsi" w:hAnsiTheme="minorHAnsi"/>
          <w:b/>
        </w:rPr>
        <w:t xml:space="preserve"> </w:t>
      </w:r>
      <w:r w:rsidRPr="00A4255D">
        <w:rPr>
          <w:rFonts w:asciiTheme="minorHAnsi" w:hAnsiTheme="minorHAnsi"/>
        </w:rPr>
        <w:t>an example of a comprehensive, well planned and well-resourced implementation of a performance budgeting reform.  Performance budgeting was the centrepiece of an overhaul of the public financial management system, the LOLF (</w:t>
      </w:r>
      <w:proofErr w:type="spellStart"/>
      <w:r w:rsidRPr="00A4255D">
        <w:rPr>
          <w:rFonts w:asciiTheme="minorHAnsi" w:hAnsiTheme="minorHAnsi"/>
          <w:i/>
        </w:rPr>
        <w:t>Loi</w:t>
      </w:r>
      <w:proofErr w:type="spellEnd"/>
      <w:r w:rsidRPr="00A4255D">
        <w:rPr>
          <w:rFonts w:asciiTheme="minorHAnsi" w:hAnsiTheme="minorHAnsi"/>
          <w:i/>
        </w:rPr>
        <w:t xml:space="preserve"> </w:t>
      </w:r>
      <w:proofErr w:type="spellStart"/>
      <w:r w:rsidRPr="00A4255D">
        <w:rPr>
          <w:rFonts w:asciiTheme="minorHAnsi" w:hAnsiTheme="minorHAnsi"/>
          <w:i/>
        </w:rPr>
        <w:t>organique</w:t>
      </w:r>
      <w:proofErr w:type="spellEnd"/>
      <w:r w:rsidRPr="00A4255D">
        <w:rPr>
          <w:rFonts w:asciiTheme="minorHAnsi" w:hAnsiTheme="minorHAnsi"/>
          <w:i/>
        </w:rPr>
        <w:t xml:space="preserve"> relative aux </w:t>
      </w:r>
      <w:proofErr w:type="spellStart"/>
      <w:proofErr w:type="gramStart"/>
      <w:r w:rsidRPr="00A4255D">
        <w:rPr>
          <w:rFonts w:asciiTheme="minorHAnsi" w:hAnsiTheme="minorHAnsi"/>
          <w:i/>
        </w:rPr>
        <w:t>lois</w:t>
      </w:r>
      <w:proofErr w:type="spellEnd"/>
      <w:proofErr w:type="gramEnd"/>
      <w:r w:rsidRPr="00A4255D">
        <w:rPr>
          <w:rFonts w:asciiTheme="minorHAnsi" w:hAnsiTheme="minorHAnsi"/>
          <w:i/>
        </w:rPr>
        <w:t xml:space="preserve"> des finance</w:t>
      </w:r>
      <w:r w:rsidRPr="00A4255D">
        <w:rPr>
          <w:rFonts w:asciiTheme="minorHAnsi" w:hAnsiTheme="minorHAnsi"/>
        </w:rPr>
        <w:t xml:space="preserve">), the law that initiated the reforms.  Starting in 2001, the reforms were implemented over a five year period.  They included development of a programmatic structure to the budget, relaxation of line item budget controls, introduction of a new financial management information system (CHORUS), extensive training of personnel and an active </w:t>
      </w:r>
      <w:r>
        <w:rPr>
          <w:rFonts w:asciiTheme="minorHAnsi" w:hAnsiTheme="minorHAnsi"/>
        </w:rPr>
        <w:t xml:space="preserve">programme </w:t>
      </w:r>
      <w:r w:rsidRPr="00A4255D">
        <w:rPr>
          <w:rFonts w:asciiTheme="minorHAnsi" w:hAnsiTheme="minorHAnsi"/>
        </w:rPr>
        <w:t>to communicate the changes.  The new system was implemented only in 2006 after five years of intensive preparation and piloting and has remained broadly stable for the past ten years.</w:t>
      </w:r>
    </w:p>
    <w:p w:rsidR="00DA2B00" w:rsidRDefault="00DA2B00" w:rsidP="00DA2B00">
      <w:pPr>
        <w:autoSpaceDE w:val="0"/>
        <w:autoSpaceDN w:val="0"/>
        <w:adjustRightInd w:val="0"/>
        <w:rPr>
          <w:rFonts w:asciiTheme="minorHAnsi" w:hAnsiTheme="minorHAnsi"/>
          <w:b/>
        </w:rPr>
      </w:pPr>
    </w:p>
    <w:p w:rsidR="00DA2B00" w:rsidRPr="005E64A1" w:rsidRDefault="00DA2B00" w:rsidP="00DA2B00">
      <w:pPr>
        <w:pBdr>
          <w:top w:val="single" w:sz="4" w:space="1" w:color="auto"/>
          <w:left w:val="single" w:sz="4" w:space="4" w:color="auto"/>
          <w:bottom w:val="single" w:sz="4" w:space="10" w:color="auto"/>
          <w:right w:val="single" w:sz="4" w:space="4" w:color="auto"/>
        </w:pBdr>
        <w:autoSpaceDE w:val="0"/>
        <w:autoSpaceDN w:val="0"/>
        <w:adjustRightInd w:val="0"/>
        <w:spacing w:before="240" w:after="240"/>
        <w:jc w:val="center"/>
        <w:rPr>
          <w:rFonts w:asciiTheme="minorHAnsi" w:hAnsiTheme="minorHAnsi"/>
          <w:b/>
        </w:rPr>
      </w:pPr>
      <w:r w:rsidRPr="00DA2B00">
        <w:rPr>
          <w:rFonts w:asciiTheme="minorHAnsi" w:hAnsiTheme="minorHAnsi"/>
          <w:b/>
        </w:rPr>
        <w:t xml:space="preserve">Box </w:t>
      </w:r>
      <w:r>
        <w:rPr>
          <w:rFonts w:asciiTheme="minorHAnsi" w:hAnsiTheme="minorHAnsi"/>
          <w:b/>
        </w:rPr>
        <w:t>13</w:t>
      </w:r>
      <w:r w:rsidRPr="00DA2B00">
        <w:rPr>
          <w:rFonts w:asciiTheme="minorHAnsi" w:hAnsiTheme="minorHAnsi"/>
          <w:b/>
        </w:rPr>
        <w:t>: Australia</w:t>
      </w:r>
      <w:r>
        <w:rPr>
          <w:rFonts w:asciiTheme="minorHAnsi" w:hAnsiTheme="minorHAnsi"/>
          <w:b/>
        </w:rPr>
        <w:t xml:space="preserve"> -</w:t>
      </w:r>
      <w:r w:rsidRPr="005E64A1">
        <w:rPr>
          <w:rFonts w:asciiTheme="minorHAnsi" w:hAnsiTheme="minorHAnsi"/>
          <w:b/>
        </w:rPr>
        <w:t xml:space="preserve"> Building a culture of better performance measurement capability</w:t>
      </w:r>
    </w:p>
    <w:p w:rsidR="00DA2B00" w:rsidRPr="005E64A1" w:rsidRDefault="00DA2B00" w:rsidP="00DA2B00">
      <w:pPr>
        <w:pStyle w:val="BodyText"/>
        <w:pBdr>
          <w:top w:val="single" w:sz="4" w:space="1" w:color="auto"/>
          <w:left w:val="single" w:sz="4" w:space="4" w:color="auto"/>
          <w:bottom w:val="single" w:sz="4" w:space="10" w:color="auto"/>
          <w:right w:val="single" w:sz="4" w:space="4" w:color="auto"/>
        </w:pBdr>
        <w:spacing w:after="120"/>
        <w:ind w:firstLine="0"/>
        <w:rPr>
          <w:rFonts w:asciiTheme="minorHAnsi" w:hAnsiTheme="minorHAnsi"/>
        </w:rPr>
      </w:pPr>
      <w:r w:rsidRPr="005E64A1">
        <w:rPr>
          <w:rFonts w:asciiTheme="minorHAnsi" w:hAnsiTheme="minorHAnsi"/>
        </w:rPr>
        <w:t xml:space="preserve">Previously, in the Australian Government there was wide variation in the quality of performance reporting. </w:t>
      </w:r>
    </w:p>
    <w:p w:rsidR="00DA2B00" w:rsidRPr="005E64A1" w:rsidRDefault="00DA2B00" w:rsidP="00DA2B00">
      <w:pPr>
        <w:pStyle w:val="BodyText"/>
        <w:pBdr>
          <w:top w:val="single" w:sz="4" w:space="1" w:color="auto"/>
          <w:left w:val="single" w:sz="4" w:space="4" w:color="auto"/>
          <w:bottom w:val="single" w:sz="4" w:space="10" w:color="auto"/>
          <w:right w:val="single" w:sz="4" w:space="4" w:color="auto"/>
        </w:pBdr>
        <w:spacing w:after="120"/>
        <w:ind w:firstLine="0"/>
        <w:rPr>
          <w:rFonts w:asciiTheme="minorHAnsi" w:hAnsiTheme="minorHAnsi"/>
        </w:rPr>
      </w:pPr>
      <w:r w:rsidRPr="005E64A1">
        <w:rPr>
          <w:rFonts w:asciiTheme="minorHAnsi" w:hAnsiTheme="minorHAnsi"/>
        </w:rPr>
        <w:t xml:space="preserve">Because of this situation with regard to the quality of performance reporting, a key aspect of the implementation of the enhanced Commonwealth performance framework under the PGPA Act 2013 was the introduction of a significant outreach program. The outreach </w:t>
      </w:r>
      <w:r>
        <w:rPr>
          <w:rFonts w:asciiTheme="minorHAnsi" w:hAnsiTheme="minorHAnsi"/>
        </w:rPr>
        <w:t xml:space="preserve">programme </w:t>
      </w:r>
      <w:r w:rsidRPr="005E64A1">
        <w:rPr>
          <w:rFonts w:asciiTheme="minorHAnsi" w:hAnsiTheme="minorHAnsi"/>
        </w:rPr>
        <w:t>consists of the following;</w:t>
      </w:r>
    </w:p>
    <w:p w:rsidR="00DA2B00" w:rsidRPr="005E64A1" w:rsidRDefault="00DA2B00" w:rsidP="00DA2B00">
      <w:pPr>
        <w:pStyle w:val="BodyText"/>
        <w:numPr>
          <w:ilvl w:val="0"/>
          <w:numId w:val="30"/>
        </w:numPr>
        <w:pBdr>
          <w:top w:val="single" w:sz="4" w:space="1" w:color="auto"/>
          <w:left w:val="single" w:sz="4" w:space="4" w:color="auto"/>
          <w:bottom w:val="single" w:sz="4" w:space="10" w:color="auto"/>
          <w:right w:val="single" w:sz="4" w:space="4" w:color="auto"/>
        </w:pBdr>
        <w:ind w:left="357" w:hanging="357"/>
        <w:contextualSpacing/>
        <w:rPr>
          <w:rFonts w:asciiTheme="minorHAnsi" w:hAnsiTheme="minorHAnsi"/>
        </w:rPr>
      </w:pPr>
      <w:r w:rsidRPr="005E64A1">
        <w:rPr>
          <w:rFonts w:asciiTheme="minorHAnsi" w:hAnsiTheme="minorHAnsi"/>
        </w:rPr>
        <w:t>a series of resource management guides covering the different aspects of the framework include corporate planning, annual performance statements and what constitutes good performance information,</w:t>
      </w:r>
    </w:p>
    <w:p w:rsidR="00DA2B00" w:rsidRPr="005E64A1" w:rsidRDefault="00DA2B00" w:rsidP="00DA2B00">
      <w:pPr>
        <w:pStyle w:val="BodyText"/>
        <w:numPr>
          <w:ilvl w:val="0"/>
          <w:numId w:val="30"/>
        </w:numPr>
        <w:pBdr>
          <w:top w:val="single" w:sz="4" w:space="1" w:color="auto"/>
          <w:left w:val="single" w:sz="4" w:space="4" w:color="auto"/>
          <w:bottom w:val="single" w:sz="4" w:space="10" w:color="auto"/>
          <w:right w:val="single" w:sz="4" w:space="4" w:color="auto"/>
        </w:pBdr>
        <w:ind w:left="357" w:hanging="357"/>
        <w:contextualSpacing/>
        <w:rPr>
          <w:rFonts w:asciiTheme="minorHAnsi" w:hAnsiTheme="minorHAnsi"/>
        </w:rPr>
      </w:pPr>
      <w:r>
        <w:rPr>
          <w:rFonts w:asciiTheme="minorHAnsi" w:hAnsiTheme="minorHAnsi"/>
        </w:rPr>
        <w:t xml:space="preserve">a </w:t>
      </w:r>
      <w:r w:rsidRPr="005E64A1">
        <w:rPr>
          <w:rFonts w:asciiTheme="minorHAnsi" w:hAnsiTheme="minorHAnsi"/>
        </w:rPr>
        <w:t xml:space="preserve">Performance Community of Practice events bringing together officials from entities involved in measuring performance to learn from each other as well as from the Department of Finance, and </w:t>
      </w:r>
    </w:p>
    <w:p w:rsidR="00DA2B00" w:rsidRPr="005E64A1" w:rsidRDefault="00DA2B00" w:rsidP="00DA2B00">
      <w:pPr>
        <w:pStyle w:val="BodyText"/>
        <w:numPr>
          <w:ilvl w:val="0"/>
          <w:numId w:val="30"/>
        </w:numPr>
        <w:pBdr>
          <w:top w:val="single" w:sz="4" w:space="1" w:color="auto"/>
          <w:left w:val="single" w:sz="4" w:space="4" w:color="auto"/>
          <w:bottom w:val="single" w:sz="4" w:space="10" w:color="auto"/>
          <w:right w:val="single" w:sz="4" w:space="4" w:color="auto"/>
        </w:pBdr>
        <w:ind w:left="357" w:hanging="357"/>
        <w:rPr>
          <w:rFonts w:asciiTheme="minorHAnsi" w:hAnsiTheme="minorHAnsi"/>
        </w:rPr>
      </w:pPr>
      <w:proofErr w:type="gramStart"/>
      <w:r w:rsidRPr="005E64A1">
        <w:rPr>
          <w:rFonts w:asciiTheme="minorHAnsi" w:hAnsiTheme="minorHAnsi"/>
        </w:rPr>
        <w:t>annual</w:t>
      </w:r>
      <w:proofErr w:type="gramEnd"/>
      <w:r w:rsidRPr="005E64A1">
        <w:rPr>
          <w:rFonts w:asciiTheme="minorHAnsi" w:hAnsiTheme="minorHAnsi"/>
        </w:rPr>
        <w:t xml:space="preserve"> Lessons Learned papers, highlighting the better practice examples from entities’ Corporate Plans and Annual Performance Statements, based on Finance’s analysis.</w:t>
      </w:r>
    </w:p>
    <w:p w:rsidR="00DA2B00" w:rsidRPr="005E64A1" w:rsidRDefault="00DA2B00" w:rsidP="00DA2B00">
      <w:pPr>
        <w:pStyle w:val="BodyText"/>
        <w:pBdr>
          <w:top w:val="single" w:sz="4" w:space="1" w:color="auto"/>
          <w:left w:val="single" w:sz="4" w:space="4" w:color="auto"/>
          <w:bottom w:val="single" w:sz="4" w:space="10" w:color="auto"/>
          <w:right w:val="single" w:sz="4" w:space="4" w:color="auto"/>
        </w:pBdr>
        <w:ind w:firstLine="0"/>
        <w:rPr>
          <w:rFonts w:asciiTheme="minorHAnsi" w:hAnsiTheme="minorHAnsi"/>
        </w:rPr>
      </w:pPr>
      <w:r w:rsidRPr="005E64A1">
        <w:rPr>
          <w:rFonts w:asciiTheme="minorHAnsi" w:hAnsiTheme="minorHAnsi"/>
        </w:rPr>
        <w:t>In support of Finance’s activities, the ANAO audits the performance measurement systems and practices of entities on a rolling basis, as well as auditing the performance of the framework itself. This provides the government and the parliament with assurance that the performance measurement system provides meaningful information.</w:t>
      </w:r>
    </w:p>
    <w:p w:rsidR="00DA2B00" w:rsidRDefault="00DA2B00" w:rsidP="00DA2B00">
      <w:pPr>
        <w:autoSpaceDE w:val="0"/>
        <w:autoSpaceDN w:val="0"/>
        <w:adjustRightInd w:val="0"/>
        <w:rPr>
          <w:rFonts w:asciiTheme="minorHAnsi" w:hAnsiTheme="minorHAnsi"/>
          <w:b/>
        </w:rPr>
      </w:pPr>
    </w:p>
    <w:p w:rsidR="007D3F1C" w:rsidRPr="005E64A1" w:rsidRDefault="00DA2B00" w:rsidP="007D3F1C">
      <w:pPr>
        <w:pBdr>
          <w:top w:val="single" w:sz="4" w:space="1" w:color="auto"/>
          <w:left w:val="single" w:sz="4" w:space="4" w:color="auto"/>
          <w:bottom w:val="single" w:sz="4" w:space="1" w:color="auto"/>
          <w:right w:val="single" w:sz="4" w:space="4" w:color="auto"/>
        </w:pBdr>
        <w:spacing w:before="120" w:after="240"/>
        <w:jc w:val="center"/>
        <w:rPr>
          <w:rFonts w:asciiTheme="minorHAnsi" w:hAnsiTheme="minorHAnsi"/>
          <w:b/>
        </w:rPr>
      </w:pPr>
      <w:r>
        <w:rPr>
          <w:rFonts w:asciiTheme="minorHAnsi" w:hAnsiTheme="minorHAnsi"/>
          <w:b/>
        </w:rPr>
        <w:t>Box 14</w:t>
      </w:r>
      <w:r w:rsidR="007E549C">
        <w:rPr>
          <w:rFonts w:asciiTheme="minorHAnsi" w:hAnsiTheme="minorHAnsi"/>
          <w:b/>
        </w:rPr>
        <w:t>: Canada - TBS InfoBase</w:t>
      </w:r>
      <w:r w:rsidR="007D3F1C" w:rsidRPr="005E64A1">
        <w:rPr>
          <w:rFonts w:asciiTheme="minorHAnsi" w:hAnsiTheme="minorHAnsi"/>
          <w:b/>
        </w:rPr>
        <w:t xml:space="preserve"> </w:t>
      </w:r>
    </w:p>
    <w:p w:rsidR="007D3F1C" w:rsidRPr="005E64A1" w:rsidRDefault="007E549C" w:rsidP="007E549C">
      <w:pPr>
        <w:pBdr>
          <w:top w:val="single" w:sz="4" w:space="1" w:color="auto"/>
          <w:left w:val="single" w:sz="4" w:space="4" w:color="auto"/>
          <w:bottom w:val="single" w:sz="4" w:space="1" w:color="auto"/>
          <w:right w:val="single" w:sz="4" w:space="4" w:color="auto"/>
        </w:pBdr>
        <w:spacing w:before="120" w:after="240"/>
        <w:jc w:val="left"/>
        <w:rPr>
          <w:rFonts w:asciiTheme="minorHAnsi" w:hAnsiTheme="minorHAnsi"/>
        </w:rPr>
      </w:pPr>
      <w:r w:rsidRPr="007E549C">
        <w:rPr>
          <w:rFonts w:asciiTheme="minorHAnsi" w:hAnsiTheme="minorHAnsi"/>
        </w:rPr>
        <w:t xml:space="preserve">Interactive infographics and data </w:t>
      </w:r>
      <w:r>
        <w:rPr>
          <w:rFonts w:asciiTheme="minorHAnsi" w:hAnsiTheme="minorHAnsi"/>
        </w:rPr>
        <w:t xml:space="preserve">are </w:t>
      </w:r>
      <w:r w:rsidRPr="007E549C">
        <w:rPr>
          <w:rFonts w:asciiTheme="minorHAnsi" w:hAnsiTheme="minorHAnsi"/>
        </w:rPr>
        <w:t>helping Canadians</w:t>
      </w:r>
      <w:r>
        <w:rPr>
          <w:rFonts w:asciiTheme="minorHAnsi" w:hAnsiTheme="minorHAnsi"/>
        </w:rPr>
        <w:t xml:space="preserve"> to</w:t>
      </w:r>
      <w:r w:rsidRPr="007E549C">
        <w:rPr>
          <w:rFonts w:asciiTheme="minorHAnsi" w:hAnsiTheme="minorHAnsi"/>
        </w:rPr>
        <w:t xml:space="preserve"> understand the federal government</w:t>
      </w:r>
      <w:r>
        <w:rPr>
          <w:rFonts w:asciiTheme="minorHAnsi" w:hAnsiTheme="minorHAnsi"/>
        </w:rPr>
        <w:t>.</w:t>
      </w:r>
      <w:r w:rsidRPr="005E64A1">
        <w:rPr>
          <w:rFonts w:asciiTheme="minorHAnsi" w:hAnsiTheme="minorHAnsi"/>
        </w:rPr>
        <w:t xml:space="preserve"> </w:t>
      </w:r>
      <w:r>
        <w:rPr>
          <w:rFonts w:asciiTheme="minorHAnsi" w:hAnsiTheme="minorHAnsi"/>
        </w:rPr>
        <w:t>T</w:t>
      </w:r>
      <w:r w:rsidR="007D3F1C" w:rsidRPr="005E64A1">
        <w:rPr>
          <w:rFonts w:asciiTheme="minorHAnsi" w:hAnsiTheme="minorHAnsi"/>
        </w:rPr>
        <w:t>he TBS InfoBase (</w:t>
      </w:r>
      <w:hyperlink r:id="rId26" w:anchor="start" w:history="1">
        <w:r w:rsidR="007D3F1C" w:rsidRPr="005E64A1">
          <w:rPr>
            <w:rStyle w:val="Hyperlink"/>
            <w:rFonts w:asciiTheme="minorHAnsi" w:hAnsiTheme="minorHAnsi"/>
          </w:rPr>
          <w:t>http://www.tbs-sct.gc.ca/ems-sgd/edb-bdd/index-eng.html#start</w:t>
        </w:r>
      </w:hyperlink>
      <w:r w:rsidR="007D3F1C" w:rsidRPr="005E64A1">
        <w:rPr>
          <w:rFonts w:asciiTheme="minorHAnsi" w:hAnsiTheme="minorHAnsi"/>
        </w:rPr>
        <w:t xml:space="preserve">) provides authoritative data to Parliamentarians and Canadians on how the government spends its funds, manages its people and plans to achieve its results. The InfoBase brings together data and information on resources and </w:t>
      </w:r>
      <w:proofErr w:type="gramStart"/>
      <w:r w:rsidR="007D3F1C" w:rsidRPr="005E64A1">
        <w:rPr>
          <w:rFonts w:asciiTheme="minorHAnsi" w:hAnsiTheme="minorHAnsi"/>
        </w:rPr>
        <w:t>performance, that</w:t>
      </w:r>
      <w:proofErr w:type="gramEnd"/>
      <w:r w:rsidR="007D3F1C" w:rsidRPr="005E64A1">
        <w:rPr>
          <w:rFonts w:asciiTheme="minorHAnsi" w:hAnsiTheme="minorHAnsi"/>
        </w:rPr>
        <w:t xml:space="preserve"> was previously scattered across close to 100 annual reports (Departmental Plans) in a single data-driven tool. By including this data in the InfoBase, Canadians and parliamentarians now have the ability to understand what departments are seeking to achieve and how resources are used to achieve those results. </w:t>
      </w:r>
    </w:p>
    <w:p w:rsidR="007D3F1C" w:rsidRPr="005E64A1" w:rsidRDefault="007D3F1C" w:rsidP="007D3F1C">
      <w:pPr>
        <w:pBdr>
          <w:top w:val="single" w:sz="4" w:space="1" w:color="auto"/>
          <w:left w:val="single" w:sz="4" w:space="4" w:color="auto"/>
          <w:bottom w:val="single" w:sz="4" w:space="1" w:color="auto"/>
          <w:right w:val="single" w:sz="4" w:space="4" w:color="auto"/>
        </w:pBdr>
        <w:spacing w:after="240"/>
        <w:rPr>
          <w:rFonts w:asciiTheme="minorHAnsi" w:hAnsiTheme="minorHAnsi"/>
        </w:rPr>
      </w:pPr>
      <w:r w:rsidRPr="005E64A1">
        <w:rPr>
          <w:rFonts w:asciiTheme="minorHAnsi" w:hAnsiTheme="minorHAnsi"/>
        </w:rPr>
        <w:t xml:space="preserve">Moreover, the TBS InfoBase transforms the way financial and performance information is delivered to Canadians. By combining data and information sourced from various </w:t>
      </w:r>
      <w:proofErr w:type="spellStart"/>
      <w:r w:rsidRPr="005E64A1">
        <w:rPr>
          <w:rFonts w:asciiTheme="minorHAnsi" w:hAnsiTheme="minorHAnsi"/>
        </w:rPr>
        <w:t>siloed</w:t>
      </w:r>
      <w:proofErr w:type="spellEnd"/>
      <w:r w:rsidRPr="005E64A1">
        <w:rPr>
          <w:rFonts w:asciiTheme="minorHAnsi" w:hAnsiTheme="minorHAnsi"/>
        </w:rPr>
        <w:t xml:space="preserve"> departmental reports, the InfoBase allows users to explore horizontally the information on various facets of government operations.</w:t>
      </w:r>
    </w:p>
    <w:p w:rsidR="00180C6A" w:rsidRDefault="00180C6A" w:rsidP="00DA2B00">
      <w:pPr>
        <w:autoSpaceDE w:val="0"/>
        <w:autoSpaceDN w:val="0"/>
        <w:adjustRightInd w:val="0"/>
        <w:spacing w:before="240" w:after="240"/>
        <w:jc w:val="left"/>
        <w:rPr>
          <w:rFonts w:asciiTheme="minorHAnsi" w:hAnsiTheme="minorHAnsi" w:cs="CaeciliaLTStd-Bold"/>
          <w:b/>
          <w:bCs/>
        </w:rPr>
      </w:pPr>
    </w:p>
    <w:p w:rsidR="00DA2B00" w:rsidRPr="005E64A1" w:rsidRDefault="00DA2B00" w:rsidP="00DA2B00">
      <w:pPr>
        <w:pStyle w:val="BodyText"/>
        <w:pBdr>
          <w:top w:val="single" w:sz="4" w:space="1" w:color="auto"/>
          <w:left w:val="single" w:sz="4" w:space="4" w:color="auto"/>
          <w:bottom w:val="single" w:sz="4" w:space="10" w:color="auto"/>
          <w:right w:val="single" w:sz="4" w:space="4" w:color="auto"/>
        </w:pBdr>
        <w:jc w:val="center"/>
        <w:rPr>
          <w:rFonts w:asciiTheme="minorHAnsi" w:hAnsiTheme="minorHAnsi"/>
          <w:b/>
          <w:lang w:val="en-US"/>
        </w:rPr>
      </w:pPr>
      <w:r w:rsidRPr="00DA2B00">
        <w:rPr>
          <w:rFonts w:asciiTheme="minorHAnsi" w:hAnsiTheme="minorHAnsi"/>
          <w:b/>
          <w:lang w:val="en-US"/>
        </w:rPr>
        <w:t>Box 15: Mexico</w:t>
      </w:r>
      <w:r>
        <w:rPr>
          <w:rFonts w:asciiTheme="minorHAnsi" w:hAnsiTheme="minorHAnsi"/>
          <w:b/>
          <w:lang w:val="en-US"/>
        </w:rPr>
        <w:t xml:space="preserve"> - </w:t>
      </w:r>
      <w:r w:rsidRPr="005E64A1">
        <w:rPr>
          <w:rFonts w:asciiTheme="minorHAnsi" w:hAnsiTheme="minorHAnsi"/>
          <w:b/>
          <w:lang w:val="en-US"/>
        </w:rPr>
        <w:t xml:space="preserve">Budget Transparency </w:t>
      </w:r>
      <w:r>
        <w:rPr>
          <w:rFonts w:asciiTheme="minorHAnsi" w:hAnsiTheme="minorHAnsi"/>
          <w:b/>
          <w:lang w:val="en-US"/>
        </w:rPr>
        <w:t xml:space="preserve">Portal </w:t>
      </w:r>
    </w:p>
    <w:p w:rsidR="00DA2B00" w:rsidRPr="005E64A1" w:rsidRDefault="00DA2B00" w:rsidP="00DA2B00">
      <w:pPr>
        <w:pStyle w:val="BodyText"/>
        <w:pBdr>
          <w:top w:val="single" w:sz="4" w:space="1" w:color="auto"/>
          <w:left w:val="single" w:sz="4" w:space="4" w:color="auto"/>
          <w:bottom w:val="single" w:sz="4" w:space="10" w:color="auto"/>
          <w:right w:val="single" w:sz="4" w:space="4" w:color="auto"/>
        </w:pBdr>
        <w:ind w:firstLine="0"/>
        <w:rPr>
          <w:rFonts w:asciiTheme="minorHAnsi" w:hAnsiTheme="minorHAnsi"/>
          <w:lang w:val="en-US"/>
        </w:rPr>
      </w:pPr>
      <w:r w:rsidRPr="005E64A1">
        <w:rPr>
          <w:rFonts w:asciiTheme="minorHAnsi" w:hAnsiTheme="minorHAnsi"/>
          <w:lang w:val="en-US"/>
        </w:rPr>
        <w:t>Since 2011, the Federal Government has a Budget Transparency Portal (</w:t>
      </w:r>
      <w:r w:rsidRPr="005E64A1">
        <w:rPr>
          <w:rFonts w:asciiTheme="minorHAnsi" w:hAnsiTheme="minorHAnsi"/>
          <w:lang w:val="es-MX"/>
        </w:rPr>
        <w:t>Portal de Transparencia Presupuestaria -PTP-),</w:t>
      </w:r>
      <w:r w:rsidRPr="005E64A1">
        <w:rPr>
          <w:rFonts w:asciiTheme="minorHAnsi" w:hAnsiTheme="minorHAnsi"/>
          <w:lang w:val="en-US"/>
        </w:rPr>
        <w:t xml:space="preserve"> which presents performance information in a way that can be interpreted by users without deep knowledge in budgetary processes or information, using infographics and the deployment of georeferenced information. IT can also be used by analysts and researchers.  Mexico has been the first country to formally adopt the international open data standard promoted by the Global Initiative for Fiscal Transparency, Open Knowledge International, and the World Bank.</w:t>
      </w:r>
    </w:p>
    <w:p w:rsidR="00DA2B00" w:rsidRPr="005E64A1" w:rsidRDefault="00DA2B00" w:rsidP="00DA2B00">
      <w:pPr>
        <w:pStyle w:val="BodyText"/>
        <w:pBdr>
          <w:top w:val="single" w:sz="4" w:space="1" w:color="auto"/>
          <w:left w:val="single" w:sz="4" w:space="4" w:color="auto"/>
          <w:bottom w:val="single" w:sz="4" w:space="10" w:color="auto"/>
          <w:right w:val="single" w:sz="4" w:space="4" w:color="auto"/>
        </w:pBdr>
        <w:ind w:firstLine="0"/>
        <w:rPr>
          <w:rFonts w:asciiTheme="minorHAnsi" w:hAnsiTheme="minorHAnsi"/>
          <w:lang w:val="en-US"/>
        </w:rPr>
      </w:pPr>
      <w:r w:rsidRPr="005E64A1">
        <w:rPr>
          <w:rFonts w:asciiTheme="minorHAnsi" w:hAnsiTheme="minorHAnsi"/>
          <w:lang w:val="en-US"/>
        </w:rPr>
        <w:t>This strategy includes information accessible through the Internet site http://transparenciapresupuestaria.gob.mx, dissemination through social networks, training of public officials and other stakeholders in performance budgeting, as well as the use and interpretation of performance information, and exercises involving Civil Society Organizations to promote the use of this information.</w:t>
      </w:r>
    </w:p>
    <w:p w:rsidR="00DA2B00" w:rsidRPr="005E64A1" w:rsidRDefault="00DA2B00" w:rsidP="00DA2B00">
      <w:pPr>
        <w:pStyle w:val="BodyText"/>
        <w:pBdr>
          <w:top w:val="single" w:sz="4" w:space="1" w:color="auto"/>
          <w:left w:val="single" w:sz="4" w:space="4" w:color="auto"/>
          <w:bottom w:val="single" w:sz="4" w:space="10" w:color="auto"/>
          <w:right w:val="single" w:sz="4" w:space="4" w:color="auto"/>
        </w:pBdr>
        <w:ind w:firstLine="0"/>
        <w:rPr>
          <w:rFonts w:asciiTheme="minorHAnsi" w:hAnsiTheme="minorHAnsi"/>
          <w:lang w:val="en-US"/>
        </w:rPr>
      </w:pPr>
      <w:r w:rsidRPr="005E64A1">
        <w:rPr>
          <w:rFonts w:asciiTheme="minorHAnsi" w:hAnsiTheme="minorHAnsi"/>
          <w:lang w:val="en-US"/>
        </w:rPr>
        <w:t>Thus, Mexico has made significant progress in the Open Budget Index of the International Budget Partnership; between 2006 and 2015, Mexico improved its score from 50% to 66%, ranking in the 16th out of 102 countries.</w:t>
      </w:r>
    </w:p>
    <w:p w:rsidR="00DA2B00" w:rsidRDefault="00DA2B00" w:rsidP="00DA2B00">
      <w:pPr>
        <w:pStyle w:val="BodyText"/>
        <w:rPr>
          <w:rFonts w:asciiTheme="minorHAnsi" w:hAnsiTheme="minorHAnsi"/>
        </w:rPr>
      </w:pPr>
    </w:p>
    <w:p w:rsidR="00DA2B00" w:rsidRDefault="00DA2B00" w:rsidP="00DA2B00">
      <w:pPr>
        <w:pStyle w:val="BodyText"/>
        <w:rPr>
          <w:rFonts w:asciiTheme="minorHAnsi" w:hAnsiTheme="minorHAnsi"/>
        </w:rPr>
      </w:pPr>
      <w:r>
        <w:rPr>
          <w:rFonts w:asciiTheme="minorHAnsi" w:hAnsiTheme="minorHAnsi"/>
        </w:rPr>
        <w:br w:type="page"/>
      </w:r>
    </w:p>
    <w:p w:rsidR="00F520AD" w:rsidRPr="00A4255D" w:rsidRDefault="00DA2B00" w:rsidP="00F520AD">
      <w:pPr>
        <w:pBdr>
          <w:top w:val="single" w:sz="4" w:space="1" w:color="auto"/>
          <w:left w:val="single" w:sz="4" w:space="4" w:color="auto"/>
          <w:bottom w:val="single" w:sz="4" w:space="9" w:color="auto"/>
          <w:right w:val="single" w:sz="4" w:space="4" w:color="auto"/>
        </w:pBdr>
        <w:autoSpaceDE w:val="0"/>
        <w:autoSpaceDN w:val="0"/>
        <w:adjustRightInd w:val="0"/>
        <w:spacing w:before="240" w:after="240"/>
        <w:jc w:val="center"/>
        <w:rPr>
          <w:rFonts w:asciiTheme="minorHAnsi" w:hAnsiTheme="minorHAnsi" w:cs="CaeciliaLTStd-Bold"/>
          <w:b/>
          <w:bCs/>
        </w:rPr>
      </w:pPr>
      <w:r>
        <w:rPr>
          <w:rFonts w:asciiTheme="minorHAnsi" w:hAnsiTheme="minorHAnsi" w:cs="CaeciliaLTStd-Bold"/>
          <w:b/>
          <w:bCs/>
        </w:rPr>
        <w:lastRenderedPageBreak/>
        <w:t>Box 16</w:t>
      </w:r>
      <w:r w:rsidR="007E549C">
        <w:rPr>
          <w:rFonts w:asciiTheme="minorHAnsi" w:hAnsiTheme="minorHAnsi" w:cs="CaeciliaLTStd-Bold"/>
          <w:b/>
          <w:bCs/>
        </w:rPr>
        <w:t xml:space="preserve">: </w:t>
      </w:r>
      <w:r w:rsidR="00F520AD" w:rsidRPr="00A4255D">
        <w:rPr>
          <w:rFonts w:asciiTheme="minorHAnsi" w:hAnsiTheme="minorHAnsi" w:cs="CaeciliaLTStd-Bold"/>
          <w:b/>
          <w:bCs/>
        </w:rPr>
        <w:t>Ireland</w:t>
      </w:r>
      <w:r w:rsidR="007E549C">
        <w:rPr>
          <w:rFonts w:asciiTheme="minorHAnsi" w:hAnsiTheme="minorHAnsi" w:cs="CaeciliaLTStd-Bold"/>
          <w:b/>
          <w:bCs/>
        </w:rPr>
        <w:t xml:space="preserve"> – </w:t>
      </w:r>
      <w:proofErr w:type="spellStart"/>
      <w:r w:rsidR="007E549C">
        <w:rPr>
          <w:rFonts w:asciiTheme="minorHAnsi" w:hAnsiTheme="minorHAnsi" w:cs="CaeciliaLTStd-Bold"/>
          <w:b/>
          <w:bCs/>
        </w:rPr>
        <w:t>Ireland</w:t>
      </w:r>
      <w:r w:rsidR="00F520AD" w:rsidRPr="00A4255D">
        <w:rPr>
          <w:rFonts w:asciiTheme="minorHAnsi" w:hAnsiTheme="minorHAnsi" w:cs="CaeciliaLTStd-Bold"/>
          <w:b/>
          <w:bCs/>
        </w:rPr>
        <w:t>Stat</w:t>
      </w:r>
      <w:proofErr w:type="spellEnd"/>
      <w:r w:rsidR="007E549C">
        <w:rPr>
          <w:rFonts w:asciiTheme="minorHAnsi" w:hAnsiTheme="minorHAnsi" w:cs="CaeciliaLTStd-Bold"/>
          <w:b/>
          <w:bCs/>
        </w:rPr>
        <w:t>, a</w:t>
      </w:r>
      <w:r w:rsidR="00F520AD" w:rsidRPr="00A4255D">
        <w:rPr>
          <w:rFonts w:asciiTheme="minorHAnsi" w:hAnsiTheme="minorHAnsi" w:cs="CaeciliaLTStd-Bold"/>
          <w:b/>
          <w:bCs/>
        </w:rPr>
        <w:t>n Authoritative Portal for Public Performance</w:t>
      </w:r>
    </w:p>
    <w:p w:rsidR="00F520AD" w:rsidRPr="006359B9" w:rsidRDefault="00F520AD" w:rsidP="00F520AD">
      <w:pPr>
        <w:pStyle w:val="BodyText"/>
        <w:pBdr>
          <w:top w:val="single" w:sz="4" w:space="1" w:color="auto"/>
          <w:left w:val="single" w:sz="4" w:space="4" w:color="auto"/>
          <w:bottom w:val="single" w:sz="4" w:space="9" w:color="auto"/>
          <w:right w:val="single" w:sz="4" w:space="4" w:color="auto"/>
        </w:pBdr>
        <w:ind w:firstLine="0"/>
        <w:rPr>
          <w:rFonts w:asciiTheme="minorHAnsi" w:hAnsiTheme="minorHAnsi"/>
        </w:rPr>
      </w:pPr>
      <w:r w:rsidRPr="006359B9">
        <w:rPr>
          <w:rFonts w:asciiTheme="minorHAnsi" w:hAnsiTheme="minorHAnsi"/>
        </w:rPr>
        <w:t xml:space="preserve">The </w:t>
      </w:r>
      <w:proofErr w:type="spellStart"/>
      <w:r w:rsidRPr="006359B9">
        <w:rPr>
          <w:rFonts w:asciiTheme="minorHAnsi" w:hAnsiTheme="minorHAnsi"/>
        </w:rPr>
        <w:t>IrelandStat</w:t>
      </w:r>
      <w:proofErr w:type="spellEnd"/>
      <w:r w:rsidRPr="006359B9">
        <w:rPr>
          <w:rFonts w:asciiTheme="minorHAnsi" w:hAnsiTheme="minorHAnsi"/>
        </w:rPr>
        <w:t xml:space="preserve"> website (</w:t>
      </w:r>
      <w:r w:rsidRPr="006359B9">
        <w:rPr>
          <w:rFonts w:asciiTheme="minorHAnsi" w:hAnsiTheme="minorHAnsi" w:cs="CaeciliaLTStd-Italic"/>
          <w:i/>
          <w:iCs/>
        </w:rPr>
        <w:t>www.irelandstat.gov.ie</w:t>
      </w:r>
      <w:r w:rsidRPr="006359B9">
        <w:rPr>
          <w:rFonts w:asciiTheme="minorHAnsi" w:hAnsiTheme="minorHAnsi"/>
        </w:rPr>
        <w:t>) provides a useful “dashboard” of performance indicators for the Irish public service. Since it draws primarily from the estimates material, the dashboard has the advantage of showing resource information alongside performance information, thereby making technical budget data accessible to the wider public. Moreover, the site performs an additional useful function of collecting performance metrics from a wide range of public sources (annual reports, strategy statements etc.) which might otherwise prove burdensome to find.</w:t>
      </w:r>
    </w:p>
    <w:p w:rsidR="00DA2B00" w:rsidRDefault="00DA2B00" w:rsidP="004272BB">
      <w:pPr>
        <w:autoSpaceDE w:val="0"/>
        <w:autoSpaceDN w:val="0"/>
        <w:adjustRightInd w:val="0"/>
        <w:rPr>
          <w:rFonts w:asciiTheme="minorHAnsi" w:hAnsiTheme="minorHAnsi"/>
          <w:b/>
        </w:rPr>
      </w:pPr>
    </w:p>
    <w:p w:rsidR="007D3F1C" w:rsidRPr="00180C6A" w:rsidRDefault="00180C6A" w:rsidP="007D3F1C">
      <w:pPr>
        <w:pBdr>
          <w:top w:val="single" w:sz="4" w:space="1" w:color="auto"/>
          <w:left w:val="single" w:sz="4" w:space="4" w:color="auto"/>
          <w:bottom w:val="single" w:sz="4" w:space="9" w:color="auto"/>
          <w:right w:val="single" w:sz="4" w:space="4" w:color="auto"/>
        </w:pBdr>
        <w:autoSpaceDE w:val="0"/>
        <w:autoSpaceDN w:val="0"/>
        <w:adjustRightInd w:val="0"/>
        <w:spacing w:before="240" w:after="240"/>
        <w:jc w:val="center"/>
        <w:rPr>
          <w:rFonts w:asciiTheme="minorHAnsi" w:hAnsiTheme="minorHAnsi" w:cs="CaeciliaLTStd-Bold"/>
          <w:b/>
          <w:bCs/>
        </w:rPr>
      </w:pPr>
      <w:r w:rsidRPr="00DC73AE">
        <w:rPr>
          <w:rFonts w:asciiTheme="minorHAnsi" w:hAnsiTheme="minorHAnsi" w:cs="CaeciliaLTStd-Bold"/>
          <w:b/>
          <w:bCs/>
        </w:rPr>
        <w:t>Box 17</w:t>
      </w:r>
      <w:r w:rsidR="007E549C" w:rsidRPr="00DC73AE">
        <w:rPr>
          <w:rFonts w:asciiTheme="minorHAnsi" w:hAnsiTheme="minorHAnsi" w:cs="CaeciliaLTStd-Bold"/>
          <w:b/>
          <w:bCs/>
        </w:rPr>
        <w:t>:</w:t>
      </w:r>
      <w:r w:rsidR="007E549C" w:rsidRPr="00180C6A">
        <w:rPr>
          <w:rFonts w:asciiTheme="minorHAnsi" w:hAnsiTheme="minorHAnsi" w:cs="CaeciliaLTStd-Bold"/>
          <w:b/>
          <w:bCs/>
        </w:rPr>
        <w:t xml:space="preserve"> </w:t>
      </w:r>
      <w:r w:rsidR="007D3F1C" w:rsidRPr="00180C6A">
        <w:rPr>
          <w:rFonts w:asciiTheme="minorHAnsi" w:hAnsiTheme="minorHAnsi" w:cs="CaeciliaLTStd-Bold"/>
          <w:b/>
          <w:bCs/>
        </w:rPr>
        <w:t>Australia</w:t>
      </w:r>
      <w:r w:rsidR="007E549C" w:rsidRPr="00180C6A">
        <w:rPr>
          <w:rFonts w:asciiTheme="minorHAnsi" w:hAnsiTheme="minorHAnsi" w:cs="CaeciliaLTStd-Bold"/>
          <w:b/>
          <w:bCs/>
        </w:rPr>
        <w:t xml:space="preserve"> -</w:t>
      </w:r>
      <w:r w:rsidR="007D3F1C" w:rsidRPr="00180C6A">
        <w:rPr>
          <w:rFonts w:asciiTheme="minorHAnsi" w:hAnsiTheme="minorHAnsi" w:cs="CaeciliaLTStd-Bold"/>
          <w:b/>
          <w:bCs/>
        </w:rPr>
        <w:t xml:space="preserve"> Triangle of Better </w:t>
      </w:r>
      <w:r w:rsidR="007E549C" w:rsidRPr="00180C6A">
        <w:rPr>
          <w:rFonts w:asciiTheme="minorHAnsi" w:hAnsiTheme="minorHAnsi" w:cs="CaeciliaLTStd-Bold"/>
          <w:b/>
          <w:bCs/>
        </w:rPr>
        <w:t>Use of Performance Information</w:t>
      </w:r>
    </w:p>
    <w:p w:rsidR="007D3F1C" w:rsidRPr="005E64A1" w:rsidRDefault="007D3F1C" w:rsidP="007D3F1C">
      <w:pPr>
        <w:pStyle w:val="BodyText"/>
        <w:pBdr>
          <w:top w:val="single" w:sz="4" w:space="1" w:color="auto"/>
          <w:left w:val="single" w:sz="4" w:space="4" w:color="auto"/>
          <w:bottom w:val="single" w:sz="4" w:space="9" w:color="auto"/>
          <w:right w:val="single" w:sz="4" w:space="4" w:color="auto"/>
        </w:pBdr>
        <w:ind w:firstLine="0"/>
        <w:rPr>
          <w:rFonts w:asciiTheme="minorHAnsi" w:hAnsiTheme="minorHAnsi"/>
        </w:rPr>
      </w:pPr>
      <w:r w:rsidRPr="005E64A1">
        <w:rPr>
          <w:rFonts w:asciiTheme="minorHAnsi" w:hAnsiTheme="minorHAnsi"/>
        </w:rPr>
        <w:t xml:space="preserve">The Australian Department of Finance (Finance) summarises the hierarchy of the different level at which performance information might be useful in informing government decisions about how to allocate public resources. The four broad categories include information for accountability to the parliament and public, information for strategic decision-making to ministers, the Cabinet and governing boards, information for tactical or entity-based decision-making, and information for management/operational decision-making. This is summarised in the following figure: </w:t>
      </w:r>
    </w:p>
    <w:p w:rsidR="007D3F1C" w:rsidRDefault="007D3F1C" w:rsidP="007D3F1C">
      <w:pPr>
        <w:pStyle w:val="BodyText"/>
        <w:pBdr>
          <w:top w:val="single" w:sz="4" w:space="1" w:color="auto"/>
          <w:left w:val="single" w:sz="4" w:space="4" w:color="auto"/>
          <w:bottom w:val="single" w:sz="4" w:space="9" w:color="auto"/>
          <w:right w:val="single" w:sz="4" w:space="4" w:color="auto"/>
        </w:pBdr>
        <w:ind w:firstLine="0"/>
        <w:jc w:val="center"/>
        <w:rPr>
          <w:rFonts w:asciiTheme="minorHAnsi" w:hAnsiTheme="minorHAnsi"/>
          <w:highlight w:val="yellow"/>
        </w:rPr>
      </w:pPr>
      <w:r>
        <w:rPr>
          <w:noProof/>
          <w:lang w:eastAsia="en-GB"/>
        </w:rPr>
        <w:drawing>
          <wp:inline distT="0" distB="0" distL="0" distR="0" wp14:anchorId="2CD1A139" wp14:editId="0122CB39">
            <wp:extent cx="4785360" cy="3086100"/>
            <wp:effectExtent l="0" t="0" r="0" b="0"/>
            <wp:docPr id="5" name="Picture 5" descr="This diagram is a visual representation of the information in paragraphs 22 an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diagram is a visual representation of the information in paragraphs 22 and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85360" cy="3086100"/>
                    </a:xfrm>
                    <a:prstGeom prst="rect">
                      <a:avLst/>
                    </a:prstGeom>
                    <a:noFill/>
                    <a:ln>
                      <a:noFill/>
                    </a:ln>
                  </pic:spPr>
                </pic:pic>
              </a:graphicData>
            </a:graphic>
          </wp:inline>
        </w:drawing>
      </w:r>
    </w:p>
    <w:p w:rsidR="007D3F1C" w:rsidRDefault="007D3F1C" w:rsidP="007D3F1C">
      <w:pPr>
        <w:pStyle w:val="BodyText"/>
        <w:pBdr>
          <w:top w:val="single" w:sz="4" w:space="1" w:color="auto"/>
          <w:left w:val="single" w:sz="4" w:space="4" w:color="auto"/>
          <w:bottom w:val="single" w:sz="4" w:space="9" w:color="auto"/>
          <w:right w:val="single" w:sz="4" w:space="4" w:color="auto"/>
        </w:pBdr>
        <w:ind w:firstLine="0"/>
        <w:rPr>
          <w:rFonts w:asciiTheme="minorHAnsi" w:hAnsiTheme="minorHAnsi"/>
        </w:rPr>
      </w:pPr>
      <w:r w:rsidRPr="005E64A1">
        <w:rPr>
          <w:rFonts w:asciiTheme="minorHAnsi" w:hAnsiTheme="minorHAnsi"/>
        </w:rPr>
        <w:t>This figure is in Finance’s Resource Management Guide 131 on Developing Good Performance Information. The level of detail required for performance information varies depending on the purpose for which it is used. For example, a finer level of detail should be available for tactical and management decision</w:t>
      </w:r>
      <w:r w:rsidRPr="005E64A1">
        <w:rPr>
          <w:rFonts w:asciiTheme="minorHAnsi" w:hAnsiTheme="minorHAnsi"/>
        </w:rPr>
        <w:noBreakHyphen/>
        <w:t>making, compared with a broader level of detail for accountability or strategic decision-making.</w:t>
      </w:r>
      <w:r>
        <w:rPr>
          <w:rFonts w:asciiTheme="minorHAnsi" w:hAnsiTheme="minorHAnsi"/>
        </w:rPr>
        <w:t xml:space="preserve"> </w:t>
      </w:r>
    </w:p>
    <w:p w:rsidR="007D3F1C" w:rsidRDefault="007D3F1C" w:rsidP="007D3F1C">
      <w:pPr>
        <w:jc w:val="center"/>
        <w:rPr>
          <w:b/>
          <w:sz w:val="20"/>
          <w:szCs w:val="20"/>
          <w:highlight w:val="green"/>
        </w:rPr>
      </w:pPr>
    </w:p>
    <w:p w:rsidR="00660117" w:rsidRPr="00A4255D" w:rsidRDefault="00660117" w:rsidP="004272BB">
      <w:pPr>
        <w:ind w:left="2160" w:hanging="2160"/>
        <w:rPr>
          <w:rFonts w:asciiTheme="minorHAnsi" w:hAnsiTheme="minorHAnsi"/>
          <w:b/>
        </w:rPr>
      </w:pPr>
    </w:p>
    <w:p w:rsidR="00660117" w:rsidRPr="00A4255D" w:rsidRDefault="00660117" w:rsidP="004272BB">
      <w:pPr>
        <w:rPr>
          <w:rFonts w:asciiTheme="minorHAnsi" w:eastAsiaTheme="majorEastAsia" w:hAnsiTheme="minorHAnsi" w:cstheme="majorBidi"/>
          <w:b/>
          <w:bCs/>
          <w:color w:val="365F91" w:themeColor="accent1" w:themeShade="BF"/>
          <w:sz w:val="28"/>
          <w:szCs w:val="28"/>
        </w:rPr>
      </w:pPr>
      <w:r w:rsidRPr="00A4255D">
        <w:rPr>
          <w:rFonts w:asciiTheme="minorHAnsi" w:hAnsiTheme="minorHAnsi"/>
        </w:rPr>
        <w:br w:type="page"/>
      </w:r>
    </w:p>
    <w:p w:rsidR="00416F64" w:rsidRPr="00E741D9" w:rsidRDefault="00416F64" w:rsidP="00180C6A">
      <w:pPr>
        <w:pStyle w:val="Heading1"/>
        <w:pBdr>
          <w:top w:val="single" w:sz="4" w:space="1" w:color="auto"/>
          <w:left w:val="single" w:sz="4" w:space="4" w:color="auto"/>
          <w:bottom w:val="single" w:sz="4" w:space="12" w:color="auto"/>
          <w:right w:val="single" w:sz="4" w:space="4" w:color="auto"/>
        </w:pBdr>
        <w:shd w:val="clear" w:color="auto" w:fill="CCECFF"/>
        <w:spacing w:before="240" w:after="240"/>
        <w:rPr>
          <w:rFonts w:asciiTheme="minorHAnsi" w:hAnsiTheme="minorHAnsi"/>
          <w:bCs w:val="0"/>
          <w:caps w:val="0"/>
          <w:color w:val="1E63AE"/>
          <w:kern w:val="0"/>
          <w:sz w:val="24"/>
          <w:szCs w:val="24"/>
        </w:rPr>
      </w:pPr>
      <w:r>
        <w:rPr>
          <w:rFonts w:asciiTheme="minorHAnsi" w:hAnsiTheme="minorHAnsi"/>
          <w:bCs w:val="0"/>
          <w:caps w:val="0"/>
          <w:color w:val="1E63AE"/>
          <w:kern w:val="0"/>
          <w:sz w:val="24"/>
          <w:szCs w:val="24"/>
        </w:rPr>
        <w:lastRenderedPageBreak/>
        <w:t>Best Practice </w:t>
      </w:r>
      <w:r w:rsidR="007020D5">
        <w:rPr>
          <w:rFonts w:asciiTheme="minorHAnsi" w:hAnsiTheme="minorHAnsi"/>
          <w:bCs w:val="0"/>
          <w:caps w:val="0"/>
          <w:color w:val="1E63AE"/>
          <w:kern w:val="0"/>
          <w:sz w:val="24"/>
          <w:szCs w:val="24"/>
        </w:rPr>
        <w:t>6</w:t>
      </w:r>
      <w:r>
        <w:rPr>
          <w:rFonts w:asciiTheme="minorHAnsi" w:hAnsiTheme="minorHAnsi"/>
          <w:bCs w:val="0"/>
          <w:caps w:val="0"/>
          <w:color w:val="1E63AE"/>
          <w:kern w:val="0"/>
          <w:sz w:val="24"/>
          <w:szCs w:val="24"/>
        </w:rPr>
        <w:t xml:space="preserve"> </w:t>
      </w:r>
      <w:r w:rsidR="000A41DB">
        <w:rPr>
          <w:rFonts w:asciiTheme="minorHAnsi" w:hAnsiTheme="minorHAnsi"/>
          <w:bCs w:val="0"/>
          <w:caps w:val="0"/>
          <w:color w:val="1E63AE"/>
          <w:kern w:val="0"/>
          <w:sz w:val="24"/>
          <w:szCs w:val="24"/>
        </w:rPr>
        <w:br/>
      </w:r>
      <w:r>
        <w:rPr>
          <w:rFonts w:asciiTheme="minorHAnsi" w:hAnsiTheme="minorHAnsi"/>
          <w:bCs w:val="0"/>
          <w:caps w:val="0"/>
          <w:color w:val="1E63AE"/>
          <w:kern w:val="0"/>
          <w:sz w:val="24"/>
          <w:szCs w:val="24"/>
        </w:rPr>
        <w:t>Ensuring Systematic Evaluation and Oversight of Performance</w:t>
      </w:r>
    </w:p>
    <w:p w:rsidR="007020D5" w:rsidRDefault="00180C6A" w:rsidP="00180C6A">
      <w:pPr>
        <w:pBdr>
          <w:top w:val="single" w:sz="4" w:space="1" w:color="auto"/>
          <w:left w:val="single" w:sz="4" w:space="4" w:color="auto"/>
          <w:bottom w:val="single" w:sz="4" w:space="12" w:color="auto"/>
          <w:right w:val="single" w:sz="4" w:space="4" w:color="auto"/>
        </w:pBdr>
        <w:shd w:val="clear" w:color="auto" w:fill="CCECFF"/>
        <w:tabs>
          <w:tab w:val="clear" w:pos="850"/>
          <w:tab w:val="clear" w:pos="1191"/>
          <w:tab w:val="clear" w:pos="1531"/>
          <w:tab w:val="left" w:pos="567"/>
        </w:tabs>
        <w:spacing w:after="120"/>
        <w:ind w:left="567" w:hanging="567"/>
        <w:rPr>
          <w:rFonts w:asciiTheme="minorHAnsi" w:hAnsiTheme="minorHAnsi"/>
        </w:rPr>
      </w:pPr>
      <w:r>
        <w:rPr>
          <w:rFonts w:asciiTheme="minorHAnsi" w:hAnsiTheme="minorHAnsi"/>
        </w:rPr>
        <w:t>•</w:t>
      </w:r>
      <w:r>
        <w:rPr>
          <w:rFonts w:asciiTheme="minorHAnsi" w:hAnsiTheme="minorHAnsi"/>
        </w:rPr>
        <w:tab/>
      </w:r>
      <w:r w:rsidR="007020D5" w:rsidRPr="0073483D">
        <w:rPr>
          <w:rFonts w:asciiTheme="minorHAnsi" w:hAnsiTheme="minorHAnsi"/>
        </w:rPr>
        <w:t xml:space="preserve">Senior management within line ministries, and </w:t>
      </w:r>
      <w:r w:rsidR="007020D5">
        <w:rPr>
          <w:rFonts w:asciiTheme="minorHAnsi" w:hAnsiTheme="minorHAnsi"/>
        </w:rPr>
        <w:t xml:space="preserve">programme </w:t>
      </w:r>
      <w:r w:rsidR="007020D5" w:rsidRPr="0073483D">
        <w:rPr>
          <w:rFonts w:asciiTheme="minorHAnsi" w:hAnsiTheme="minorHAnsi"/>
        </w:rPr>
        <w:t>managers, organize structured discussions to review financial and operational performance regular</w:t>
      </w:r>
      <w:r w:rsidR="007020D5">
        <w:rPr>
          <w:rFonts w:asciiTheme="minorHAnsi" w:hAnsiTheme="minorHAnsi"/>
        </w:rPr>
        <w:t>ly</w:t>
      </w:r>
      <w:r w:rsidR="007020D5" w:rsidRPr="0073483D">
        <w:rPr>
          <w:rFonts w:asciiTheme="minorHAnsi" w:hAnsiTheme="minorHAnsi"/>
        </w:rPr>
        <w:t xml:space="preserve"> throughout the year</w:t>
      </w:r>
      <w:r w:rsidR="007020D5" w:rsidRPr="00A4255D">
        <w:rPr>
          <w:rFonts w:asciiTheme="minorHAnsi" w:hAnsiTheme="minorHAnsi"/>
        </w:rPr>
        <w:t>.</w:t>
      </w:r>
    </w:p>
    <w:p w:rsidR="007020D5" w:rsidRDefault="00180C6A" w:rsidP="00180C6A">
      <w:pPr>
        <w:pBdr>
          <w:top w:val="single" w:sz="4" w:space="1" w:color="auto"/>
          <w:left w:val="single" w:sz="4" w:space="4" w:color="auto"/>
          <w:bottom w:val="single" w:sz="4" w:space="12" w:color="auto"/>
          <w:right w:val="single" w:sz="4" w:space="4" w:color="auto"/>
        </w:pBdr>
        <w:shd w:val="clear" w:color="auto" w:fill="CCECFF"/>
        <w:tabs>
          <w:tab w:val="clear" w:pos="850"/>
          <w:tab w:val="clear" w:pos="1191"/>
          <w:tab w:val="clear" w:pos="1531"/>
          <w:tab w:val="left" w:pos="567"/>
        </w:tabs>
        <w:spacing w:after="120"/>
        <w:ind w:left="567" w:hanging="567"/>
        <w:rPr>
          <w:rFonts w:asciiTheme="minorHAnsi" w:hAnsiTheme="minorHAnsi"/>
        </w:rPr>
      </w:pPr>
      <w:r>
        <w:rPr>
          <w:rFonts w:asciiTheme="minorHAnsi" w:hAnsiTheme="minorHAnsi"/>
        </w:rPr>
        <w:t>•</w:t>
      </w:r>
      <w:r>
        <w:rPr>
          <w:rFonts w:asciiTheme="minorHAnsi" w:hAnsiTheme="minorHAnsi"/>
        </w:rPr>
        <w:tab/>
      </w:r>
      <w:r w:rsidR="007020D5">
        <w:rPr>
          <w:rFonts w:asciiTheme="minorHAnsi" w:hAnsiTheme="minorHAnsi"/>
        </w:rPr>
        <w:t>Evaluations of the performance of all major spending programmes are carried out on a rolling basis and the findings are considered as part of the budget preparation process</w:t>
      </w:r>
    </w:p>
    <w:p w:rsidR="007020D5" w:rsidRDefault="007020D5" w:rsidP="00180C6A">
      <w:pPr>
        <w:pBdr>
          <w:top w:val="single" w:sz="4" w:space="1" w:color="auto"/>
          <w:left w:val="single" w:sz="4" w:space="4" w:color="auto"/>
          <w:bottom w:val="single" w:sz="4" w:space="12" w:color="auto"/>
          <w:right w:val="single" w:sz="4" w:space="4" w:color="auto"/>
        </w:pBdr>
        <w:shd w:val="clear" w:color="auto" w:fill="CCECFF"/>
        <w:tabs>
          <w:tab w:val="clear" w:pos="850"/>
          <w:tab w:val="clear" w:pos="1191"/>
          <w:tab w:val="clear" w:pos="1531"/>
          <w:tab w:val="left" w:pos="567"/>
        </w:tabs>
        <w:spacing w:after="120"/>
        <w:ind w:left="567" w:hanging="567"/>
        <w:rPr>
          <w:rFonts w:asciiTheme="minorHAnsi" w:hAnsiTheme="minorHAnsi"/>
        </w:rPr>
      </w:pPr>
      <w:r>
        <w:rPr>
          <w:rFonts w:asciiTheme="minorHAnsi" w:hAnsiTheme="minorHAnsi"/>
        </w:rPr>
        <w:t>•</w:t>
      </w:r>
      <w:r>
        <w:rPr>
          <w:rFonts w:asciiTheme="minorHAnsi" w:hAnsiTheme="minorHAnsi"/>
        </w:rPr>
        <w:tab/>
        <w:t xml:space="preserve">Performance targets set out in the annual budget are the subject of corresponding annual reporting on performance. </w:t>
      </w:r>
    </w:p>
    <w:p w:rsidR="007020D5" w:rsidRPr="00A4255D" w:rsidRDefault="007020D5" w:rsidP="00180C6A">
      <w:pPr>
        <w:pBdr>
          <w:top w:val="single" w:sz="4" w:space="1" w:color="auto"/>
          <w:left w:val="single" w:sz="4" w:space="4" w:color="auto"/>
          <w:bottom w:val="single" w:sz="4" w:space="12" w:color="auto"/>
          <w:right w:val="single" w:sz="4" w:space="4" w:color="auto"/>
        </w:pBdr>
        <w:shd w:val="clear" w:color="auto" w:fill="CCECFF"/>
        <w:tabs>
          <w:tab w:val="clear" w:pos="850"/>
          <w:tab w:val="clear" w:pos="1191"/>
          <w:tab w:val="clear" w:pos="1531"/>
          <w:tab w:val="left" w:pos="567"/>
        </w:tabs>
        <w:spacing w:after="120"/>
        <w:ind w:left="567" w:hanging="567"/>
        <w:rPr>
          <w:rFonts w:asciiTheme="minorHAnsi" w:hAnsiTheme="minorHAnsi"/>
        </w:rPr>
      </w:pPr>
      <w:r>
        <w:rPr>
          <w:rFonts w:asciiTheme="minorHAnsi" w:hAnsiTheme="minorHAnsi"/>
        </w:rPr>
        <w:t>•</w:t>
      </w:r>
      <w:r>
        <w:rPr>
          <w:rFonts w:asciiTheme="minorHAnsi" w:hAnsiTheme="minorHAnsi"/>
        </w:rPr>
        <w:tab/>
      </w:r>
      <w:r w:rsidRPr="00A4255D">
        <w:rPr>
          <w:rFonts w:asciiTheme="minorHAnsi" w:hAnsiTheme="minorHAnsi"/>
        </w:rPr>
        <w:t xml:space="preserve">The supreme audit institution </w:t>
      </w:r>
      <w:r>
        <w:rPr>
          <w:rFonts w:asciiTheme="minorHAnsi" w:hAnsiTheme="minorHAnsi"/>
        </w:rPr>
        <w:t xml:space="preserve">carries </w:t>
      </w:r>
      <w:r w:rsidRPr="00A4255D">
        <w:rPr>
          <w:rFonts w:asciiTheme="minorHAnsi" w:hAnsiTheme="minorHAnsi"/>
        </w:rPr>
        <w:t xml:space="preserve">out performance audits of important or high risk </w:t>
      </w:r>
      <w:r>
        <w:rPr>
          <w:rFonts w:asciiTheme="minorHAnsi" w:hAnsiTheme="minorHAnsi"/>
        </w:rPr>
        <w:t>programmes</w:t>
      </w:r>
      <w:r w:rsidRPr="00A4255D">
        <w:rPr>
          <w:rFonts w:asciiTheme="minorHAnsi" w:hAnsiTheme="minorHAnsi"/>
        </w:rPr>
        <w:t xml:space="preserve"> and test</w:t>
      </w:r>
      <w:r>
        <w:rPr>
          <w:rFonts w:asciiTheme="minorHAnsi" w:hAnsiTheme="minorHAnsi"/>
        </w:rPr>
        <w:t>s</w:t>
      </w:r>
      <w:r w:rsidRPr="00A4255D">
        <w:rPr>
          <w:rFonts w:asciiTheme="minorHAnsi" w:hAnsiTheme="minorHAnsi"/>
        </w:rPr>
        <w:t xml:space="preserve"> the relevance, accuracy and reliability of performance data.</w:t>
      </w:r>
    </w:p>
    <w:p w:rsidR="007020D5" w:rsidRDefault="007020D5" w:rsidP="00180C6A">
      <w:pPr>
        <w:pBdr>
          <w:top w:val="single" w:sz="4" w:space="1" w:color="auto"/>
          <w:left w:val="single" w:sz="4" w:space="4" w:color="auto"/>
          <w:bottom w:val="single" w:sz="4" w:space="12" w:color="auto"/>
          <w:right w:val="single" w:sz="4" w:space="4" w:color="auto"/>
        </w:pBdr>
        <w:shd w:val="clear" w:color="auto" w:fill="CCECFF"/>
        <w:tabs>
          <w:tab w:val="clear" w:pos="850"/>
          <w:tab w:val="clear" w:pos="1191"/>
          <w:tab w:val="clear" w:pos="1531"/>
          <w:tab w:val="left" w:pos="567"/>
        </w:tabs>
        <w:spacing w:after="120"/>
        <w:ind w:left="567" w:hanging="567"/>
        <w:rPr>
          <w:rFonts w:asciiTheme="minorHAnsi" w:hAnsiTheme="minorHAnsi"/>
        </w:rPr>
      </w:pPr>
      <w:r>
        <w:rPr>
          <w:rFonts w:asciiTheme="minorHAnsi" w:hAnsiTheme="minorHAnsi"/>
        </w:rPr>
        <w:t>•</w:t>
      </w:r>
      <w:r>
        <w:rPr>
          <w:rFonts w:asciiTheme="minorHAnsi" w:hAnsiTheme="minorHAnsi"/>
        </w:rPr>
        <w:tab/>
      </w:r>
      <w:r w:rsidRPr="00A4255D">
        <w:rPr>
          <w:rFonts w:asciiTheme="minorHAnsi" w:hAnsiTheme="minorHAnsi"/>
        </w:rPr>
        <w:t>The budget and accounts committees of the legislature regularly review</w:t>
      </w:r>
      <w:r>
        <w:rPr>
          <w:rFonts w:asciiTheme="minorHAnsi" w:hAnsiTheme="minorHAnsi"/>
        </w:rPr>
        <w:t>s</w:t>
      </w:r>
      <w:r w:rsidRPr="00A4255D">
        <w:rPr>
          <w:rFonts w:asciiTheme="minorHAnsi" w:hAnsiTheme="minorHAnsi"/>
        </w:rPr>
        <w:t xml:space="preserve"> performance based budget statements and annual performance reports</w:t>
      </w:r>
      <w:r>
        <w:rPr>
          <w:rFonts w:asciiTheme="minorHAnsi" w:hAnsiTheme="minorHAnsi"/>
        </w:rPr>
        <w:t>.</w:t>
      </w:r>
    </w:p>
    <w:p w:rsidR="005C646E" w:rsidRPr="00A4255D" w:rsidRDefault="005C646E" w:rsidP="00180C6A">
      <w:pPr>
        <w:pBdr>
          <w:top w:val="single" w:sz="4" w:space="1" w:color="auto"/>
          <w:left w:val="single" w:sz="4" w:space="4" w:color="auto"/>
          <w:bottom w:val="single" w:sz="4" w:space="12" w:color="auto"/>
          <w:right w:val="single" w:sz="4" w:space="4" w:color="auto"/>
        </w:pBdr>
        <w:shd w:val="clear" w:color="auto" w:fill="CCECFF"/>
        <w:tabs>
          <w:tab w:val="clear" w:pos="850"/>
          <w:tab w:val="clear" w:pos="1191"/>
          <w:tab w:val="clear" w:pos="1531"/>
          <w:tab w:val="left" w:pos="567"/>
        </w:tabs>
        <w:spacing w:after="120"/>
        <w:ind w:left="567" w:hanging="567"/>
        <w:rPr>
          <w:rFonts w:asciiTheme="minorHAnsi" w:hAnsiTheme="minorHAnsi"/>
        </w:rPr>
      </w:pPr>
      <w:r>
        <w:rPr>
          <w:rFonts w:asciiTheme="minorHAnsi" w:hAnsiTheme="minorHAnsi"/>
        </w:rPr>
        <w:t>•</w:t>
      </w:r>
      <w:r>
        <w:rPr>
          <w:rFonts w:asciiTheme="minorHAnsi" w:hAnsiTheme="minorHAnsi"/>
        </w:rPr>
        <w:tab/>
      </w:r>
      <w:r w:rsidRPr="00A4255D">
        <w:rPr>
          <w:rFonts w:asciiTheme="minorHAnsi" w:hAnsiTheme="minorHAnsi"/>
        </w:rPr>
        <w:t>Committees overseeing the activities of sector ministries conduct public hearings based on performance reports provided by government and performance audit report</w:t>
      </w:r>
      <w:r>
        <w:rPr>
          <w:rFonts w:asciiTheme="minorHAnsi" w:hAnsiTheme="minorHAnsi"/>
        </w:rPr>
        <w:t>s</w:t>
      </w:r>
      <w:r w:rsidRPr="00A4255D">
        <w:rPr>
          <w:rFonts w:asciiTheme="minorHAnsi" w:hAnsiTheme="minorHAnsi"/>
        </w:rPr>
        <w:t xml:space="preserve"> and hold </w:t>
      </w:r>
      <w:r>
        <w:rPr>
          <w:rFonts w:asciiTheme="minorHAnsi" w:hAnsiTheme="minorHAnsi"/>
        </w:rPr>
        <w:t xml:space="preserve">ministers and senior public managers </w:t>
      </w:r>
      <w:r w:rsidRPr="00A4255D">
        <w:rPr>
          <w:rFonts w:asciiTheme="minorHAnsi" w:hAnsiTheme="minorHAnsi"/>
        </w:rPr>
        <w:t>accountable in the event of poor pe</w:t>
      </w:r>
      <w:r>
        <w:rPr>
          <w:rFonts w:asciiTheme="minorHAnsi" w:hAnsiTheme="minorHAnsi"/>
        </w:rPr>
        <w:t>rformance or misrepresentation.</w:t>
      </w:r>
    </w:p>
    <w:p w:rsidR="00FB57F2" w:rsidRPr="00A4255D" w:rsidRDefault="005C646E" w:rsidP="00180C6A">
      <w:pPr>
        <w:tabs>
          <w:tab w:val="clear" w:pos="850"/>
          <w:tab w:val="clear" w:pos="1191"/>
          <w:tab w:val="clear" w:pos="1531"/>
          <w:tab w:val="left" w:pos="567"/>
        </w:tabs>
        <w:spacing w:before="240" w:after="240"/>
        <w:rPr>
          <w:rFonts w:asciiTheme="minorHAnsi" w:hAnsiTheme="minorHAnsi"/>
        </w:rPr>
      </w:pPr>
      <w:r>
        <w:rPr>
          <w:rFonts w:asciiTheme="minorHAnsi" w:hAnsiTheme="minorHAnsi"/>
        </w:rPr>
        <w:tab/>
      </w:r>
      <w:r w:rsidR="00FB57F2" w:rsidRPr="00A4255D">
        <w:rPr>
          <w:rFonts w:asciiTheme="minorHAnsi" w:hAnsiTheme="minorHAnsi"/>
        </w:rPr>
        <w:t xml:space="preserve">The time required for </w:t>
      </w:r>
      <w:r w:rsidR="0090328E">
        <w:rPr>
          <w:rFonts w:asciiTheme="minorHAnsi" w:hAnsiTheme="minorHAnsi"/>
        </w:rPr>
        <w:t>programmes</w:t>
      </w:r>
      <w:r w:rsidR="00FB57F2" w:rsidRPr="00A4255D">
        <w:rPr>
          <w:rFonts w:asciiTheme="minorHAnsi" w:hAnsiTheme="minorHAnsi"/>
        </w:rPr>
        <w:t xml:space="preserve"> to produce outcomes is generally much longer than the annual budget cycle. For this reason the process of ex-post evaluation is normally on a multi-year track, independent of the budget process</w:t>
      </w:r>
      <w:r w:rsidR="00FB57F2">
        <w:rPr>
          <w:rFonts w:asciiTheme="minorHAnsi" w:hAnsiTheme="minorHAnsi"/>
        </w:rPr>
        <w:t>. This aspect makes it challenging to ensure that the results of evaluation have an impact on future spending decisions</w:t>
      </w:r>
      <w:r w:rsidR="00FB57F2" w:rsidRPr="00A4255D">
        <w:rPr>
          <w:rFonts w:asciiTheme="minorHAnsi" w:hAnsiTheme="minorHAnsi"/>
        </w:rPr>
        <w:t xml:space="preserve">.  </w:t>
      </w:r>
      <w:r w:rsidR="00FB57F2">
        <w:rPr>
          <w:rFonts w:asciiTheme="minorHAnsi" w:hAnsiTheme="minorHAnsi"/>
        </w:rPr>
        <w:t xml:space="preserve">By the time the evaluation is carried out the civil servants responsible for the design of the original </w:t>
      </w:r>
      <w:r w:rsidR="00DA0272">
        <w:rPr>
          <w:rFonts w:asciiTheme="minorHAnsi" w:hAnsiTheme="minorHAnsi"/>
        </w:rPr>
        <w:t xml:space="preserve">programme </w:t>
      </w:r>
      <w:r w:rsidR="00FB57F2">
        <w:rPr>
          <w:rFonts w:asciiTheme="minorHAnsi" w:hAnsiTheme="minorHAnsi"/>
        </w:rPr>
        <w:t xml:space="preserve">will likely have moved on and attention and energy may be focused on new policies and initiatives. </w:t>
      </w:r>
    </w:p>
    <w:p w:rsidR="00FB57F2" w:rsidRPr="00A4255D" w:rsidRDefault="00FB57F2" w:rsidP="00180C6A">
      <w:pPr>
        <w:pStyle w:val="BodyText"/>
        <w:ind w:firstLine="567"/>
        <w:rPr>
          <w:rFonts w:asciiTheme="minorHAnsi" w:hAnsiTheme="minorHAnsi"/>
        </w:rPr>
      </w:pPr>
      <w:r>
        <w:rPr>
          <w:rFonts w:asciiTheme="minorHAnsi" w:hAnsiTheme="minorHAnsi"/>
        </w:rPr>
        <w:t xml:space="preserve">The policies, regulations or guidelines for performance budgeting should specify a requirement that </w:t>
      </w:r>
      <w:r w:rsidRPr="00A4255D">
        <w:rPr>
          <w:rFonts w:asciiTheme="minorHAnsi" w:hAnsiTheme="minorHAnsi"/>
        </w:rPr>
        <w:t xml:space="preserve">all spending </w:t>
      </w:r>
      <w:r w:rsidR="0090328E">
        <w:rPr>
          <w:rFonts w:asciiTheme="minorHAnsi" w:hAnsiTheme="minorHAnsi"/>
        </w:rPr>
        <w:t>programmes</w:t>
      </w:r>
      <w:r w:rsidRPr="00A4255D">
        <w:rPr>
          <w:rFonts w:asciiTheme="minorHAnsi" w:hAnsiTheme="minorHAnsi"/>
        </w:rPr>
        <w:t xml:space="preserve"> should be </w:t>
      </w:r>
      <w:r>
        <w:rPr>
          <w:rFonts w:asciiTheme="minorHAnsi" w:hAnsiTheme="minorHAnsi"/>
        </w:rPr>
        <w:t xml:space="preserve">evaluated </w:t>
      </w:r>
      <w:r w:rsidRPr="00A4255D">
        <w:rPr>
          <w:rFonts w:asciiTheme="minorHAnsi" w:hAnsiTheme="minorHAnsi"/>
        </w:rPr>
        <w:t>on a rolling basis</w:t>
      </w:r>
      <w:r>
        <w:rPr>
          <w:rFonts w:asciiTheme="minorHAnsi" w:hAnsiTheme="minorHAnsi"/>
        </w:rPr>
        <w:t>.  Beyond that</w:t>
      </w:r>
      <w:r w:rsidR="008E1C41">
        <w:rPr>
          <w:rFonts w:asciiTheme="minorHAnsi" w:hAnsiTheme="minorHAnsi"/>
        </w:rPr>
        <w:t>,</w:t>
      </w:r>
      <w:r>
        <w:rPr>
          <w:rFonts w:asciiTheme="minorHAnsi" w:hAnsiTheme="minorHAnsi"/>
        </w:rPr>
        <w:t xml:space="preserve"> </w:t>
      </w:r>
      <w:r w:rsidRPr="00A4255D">
        <w:rPr>
          <w:rFonts w:asciiTheme="minorHAnsi" w:hAnsiTheme="minorHAnsi"/>
        </w:rPr>
        <w:t xml:space="preserve">direction of </w:t>
      </w:r>
      <w:r>
        <w:rPr>
          <w:rFonts w:asciiTheme="minorHAnsi" w:hAnsiTheme="minorHAnsi"/>
        </w:rPr>
        <w:t xml:space="preserve">the </w:t>
      </w:r>
      <w:r w:rsidRPr="00A4255D">
        <w:rPr>
          <w:rFonts w:asciiTheme="minorHAnsi" w:hAnsiTheme="minorHAnsi"/>
        </w:rPr>
        <w:t>evaluation proc</w:t>
      </w:r>
      <w:r>
        <w:rPr>
          <w:rFonts w:asciiTheme="minorHAnsi" w:hAnsiTheme="minorHAnsi"/>
        </w:rPr>
        <w:t>ess</w:t>
      </w:r>
      <w:r w:rsidRPr="00A4255D">
        <w:rPr>
          <w:rFonts w:asciiTheme="minorHAnsi" w:hAnsiTheme="minorHAnsi"/>
        </w:rPr>
        <w:t xml:space="preserve"> should </w:t>
      </w:r>
      <w:r>
        <w:rPr>
          <w:rFonts w:asciiTheme="minorHAnsi" w:hAnsiTheme="minorHAnsi"/>
        </w:rPr>
        <w:t xml:space="preserve">ensure that </w:t>
      </w:r>
      <w:r w:rsidRPr="00A4255D">
        <w:rPr>
          <w:rFonts w:asciiTheme="minorHAnsi" w:hAnsiTheme="minorHAnsi"/>
        </w:rPr>
        <w:t>high value, high risk and politically important programmes</w:t>
      </w:r>
      <w:r>
        <w:rPr>
          <w:rFonts w:asciiTheme="minorHAnsi" w:hAnsiTheme="minorHAnsi"/>
        </w:rPr>
        <w:t xml:space="preserve"> are prioritized</w:t>
      </w:r>
      <w:r w:rsidRPr="00A4255D">
        <w:rPr>
          <w:rFonts w:asciiTheme="minorHAnsi" w:hAnsiTheme="minorHAnsi"/>
        </w:rPr>
        <w:t xml:space="preserve">. </w:t>
      </w:r>
      <w:r w:rsidR="008E1C41">
        <w:rPr>
          <w:rFonts w:asciiTheme="minorHAnsi" w:hAnsiTheme="minorHAnsi"/>
        </w:rPr>
        <w:t xml:space="preserve">Canada’s approach to evaluation incorporates these elements and further requires that the rationale for the planned programme of evaluations is fully transparent (Box 19). </w:t>
      </w:r>
      <w:r w:rsidRPr="00A4255D">
        <w:rPr>
          <w:rFonts w:asciiTheme="minorHAnsi" w:hAnsiTheme="minorHAnsi"/>
        </w:rPr>
        <w:t xml:space="preserve"> In practice, while a majority of OECD countries have some form of central guidance for performance evaluation less than </w:t>
      </w:r>
      <w:r>
        <w:rPr>
          <w:rFonts w:asciiTheme="minorHAnsi" w:hAnsiTheme="minorHAnsi"/>
        </w:rPr>
        <w:t xml:space="preserve">half </w:t>
      </w:r>
      <w:r w:rsidRPr="00A4255D">
        <w:rPr>
          <w:rFonts w:asciiTheme="minorHAnsi" w:hAnsiTheme="minorHAnsi"/>
        </w:rPr>
        <w:t>have a legal requirement and a significant number of count</w:t>
      </w:r>
      <w:r w:rsidR="00DE5FA9">
        <w:rPr>
          <w:rFonts w:asciiTheme="minorHAnsi" w:hAnsiTheme="minorHAnsi"/>
        </w:rPr>
        <w:t>ries have neither (see Figure 1</w:t>
      </w:r>
      <w:r w:rsidR="003F1E1C">
        <w:rPr>
          <w:rFonts w:asciiTheme="minorHAnsi" w:hAnsiTheme="minorHAnsi"/>
        </w:rPr>
        <w:t>0</w:t>
      </w:r>
      <w:r w:rsidRPr="00A4255D">
        <w:rPr>
          <w:rFonts w:asciiTheme="minorHAnsi" w:hAnsiTheme="minorHAnsi"/>
        </w:rPr>
        <w:t>).</w:t>
      </w:r>
    </w:p>
    <w:p w:rsidR="00FB57F2" w:rsidRPr="00A4255D" w:rsidRDefault="00383ED0" w:rsidP="00FB57F2">
      <w:pPr>
        <w:keepNext/>
        <w:spacing w:before="240" w:after="120"/>
        <w:jc w:val="center"/>
        <w:rPr>
          <w:rFonts w:asciiTheme="minorHAnsi" w:hAnsiTheme="minorHAnsi"/>
          <w:b/>
        </w:rPr>
      </w:pPr>
      <w:r>
        <w:rPr>
          <w:rFonts w:asciiTheme="minorHAnsi" w:hAnsiTheme="minorHAnsi"/>
          <w:b/>
        </w:rPr>
        <w:lastRenderedPageBreak/>
        <w:t xml:space="preserve">Figure </w:t>
      </w:r>
      <w:r w:rsidR="00DE5FA9">
        <w:rPr>
          <w:rFonts w:asciiTheme="minorHAnsi" w:hAnsiTheme="minorHAnsi"/>
          <w:b/>
        </w:rPr>
        <w:t>1</w:t>
      </w:r>
      <w:r w:rsidR="003F1E1C">
        <w:rPr>
          <w:rFonts w:asciiTheme="minorHAnsi" w:hAnsiTheme="minorHAnsi"/>
          <w:b/>
        </w:rPr>
        <w:t>0</w:t>
      </w:r>
      <w:r w:rsidR="00FB57F2">
        <w:rPr>
          <w:rFonts w:asciiTheme="minorHAnsi" w:hAnsiTheme="minorHAnsi"/>
          <w:b/>
        </w:rPr>
        <w:t xml:space="preserve"> -- </w:t>
      </w:r>
      <w:r w:rsidR="00FB57F2" w:rsidRPr="00A4255D">
        <w:rPr>
          <w:rFonts w:asciiTheme="minorHAnsi" w:hAnsiTheme="minorHAnsi"/>
          <w:b/>
        </w:rPr>
        <w:t>Governance of Performance Evaluations</w:t>
      </w:r>
      <w:r w:rsidR="00FB57F2">
        <w:rPr>
          <w:rFonts w:asciiTheme="minorHAnsi" w:hAnsiTheme="minorHAnsi"/>
          <w:b/>
        </w:rPr>
        <w:t xml:space="preserve"> </w:t>
      </w:r>
    </w:p>
    <w:p w:rsidR="00FB57F2" w:rsidRPr="00A4255D" w:rsidRDefault="00FB57F2" w:rsidP="00FB57F2">
      <w:pPr>
        <w:jc w:val="center"/>
        <w:rPr>
          <w:rFonts w:asciiTheme="minorHAnsi" w:hAnsiTheme="minorHAnsi"/>
        </w:rPr>
      </w:pPr>
      <w:r w:rsidRPr="00A4255D">
        <w:rPr>
          <w:rFonts w:asciiTheme="minorHAnsi" w:hAnsiTheme="minorHAnsi"/>
          <w:noProof/>
          <w:lang w:eastAsia="en-GB"/>
        </w:rPr>
        <w:drawing>
          <wp:inline distT="0" distB="0" distL="0" distR="0" wp14:anchorId="2EDAF012" wp14:editId="2038BC62">
            <wp:extent cx="5731510" cy="2747208"/>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B57F2" w:rsidRPr="00A4255D" w:rsidRDefault="00FB57F2" w:rsidP="00180C6A">
      <w:pPr>
        <w:pStyle w:val="BodyText"/>
        <w:spacing w:before="360"/>
        <w:ind w:firstLine="567"/>
        <w:rPr>
          <w:rFonts w:asciiTheme="minorHAnsi" w:hAnsiTheme="minorHAnsi"/>
        </w:rPr>
      </w:pPr>
      <w:r>
        <w:rPr>
          <w:rFonts w:asciiTheme="minorHAnsi" w:hAnsiTheme="minorHAnsi"/>
        </w:rPr>
        <w:t xml:space="preserve">In </w:t>
      </w:r>
      <w:r w:rsidRPr="00A4255D">
        <w:rPr>
          <w:rFonts w:asciiTheme="minorHAnsi" w:hAnsiTheme="minorHAnsi"/>
        </w:rPr>
        <w:t xml:space="preserve">OECD </w:t>
      </w:r>
      <w:r>
        <w:rPr>
          <w:rFonts w:asciiTheme="minorHAnsi" w:hAnsiTheme="minorHAnsi"/>
        </w:rPr>
        <w:t>countries e</w:t>
      </w:r>
      <w:r w:rsidRPr="00A4255D">
        <w:rPr>
          <w:rFonts w:asciiTheme="minorHAnsi" w:hAnsiTheme="minorHAnsi"/>
        </w:rPr>
        <w:t xml:space="preserve">valuations are </w:t>
      </w:r>
      <w:r>
        <w:rPr>
          <w:rFonts w:asciiTheme="minorHAnsi" w:hAnsiTheme="minorHAnsi"/>
        </w:rPr>
        <w:t xml:space="preserve">mainly carried </w:t>
      </w:r>
      <w:r w:rsidRPr="00A4255D">
        <w:rPr>
          <w:rFonts w:asciiTheme="minorHAnsi" w:hAnsiTheme="minorHAnsi"/>
        </w:rPr>
        <w:t>out by th</w:t>
      </w:r>
      <w:r w:rsidR="00DE5FA9">
        <w:rPr>
          <w:rFonts w:asciiTheme="minorHAnsi" w:hAnsiTheme="minorHAnsi"/>
        </w:rPr>
        <w:t>e line ministries (see Figure 1</w:t>
      </w:r>
      <w:r w:rsidR="00A64CC9">
        <w:rPr>
          <w:rFonts w:asciiTheme="minorHAnsi" w:hAnsiTheme="minorHAnsi"/>
        </w:rPr>
        <w:t>1</w:t>
      </w:r>
      <w:r w:rsidRPr="00A4255D">
        <w:rPr>
          <w:rFonts w:asciiTheme="minorHAnsi" w:hAnsiTheme="minorHAnsi"/>
        </w:rPr>
        <w:t>)</w:t>
      </w:r>
      <w:r>
        <w:rPr>
          <w:rFonts w:asciiTheme="minorHAnsi" w:hAnsiTheme="minorHAnsi"/>
        </w:rPr>
        <w:t>, although a wide range of other institutions are active in this space, including the CBA, SAIs and external bodies such as universities and consulting firms</w:t>
      </w:r>
      <w:r w:rsidR="00DE5FA9">
        <w:rPr>
          <w:rFonts w:asciiTheme="minorHAnsi" w:hAnsiTheme="minorHAnsi"/>
        </w:rPr>
        <w:t xml:space="preserve">. </w:t>
      </w:r>
      <w:r w:rsidRPr="00A4255D">
        <w:rPr>
          <w:rFonts w:asciiTheme="minorHAnsi" w:hAnsiTheme="minorHAnsi"/>
        </w:rPr>
        <w:t xml:space="preserve">The extent to which ministries involve independent experts such as universities seems to depend on the culture of the individual ministry and even individual preferences.   </w:t>
      </w:r>
      <w:r>
        <w:rPr>
          <w:rFonts w:asciiTheme="minorHAnsi" w:hAnsiTheme="minorHAnsi"/>
        </w:rPr>
        <w:t xml:space="preserve">In place of a laisser-faire approach the Korean Government has </w:t>
      </w:r>
      <w:r w:rsidRPr="00A4255D">
        <w:rPr>
          <w:rFonts w:asciiTheme="minorHAnsi" w:hAnsiTheme="minorHAnsi"/>
        </w:rPr>
        <w:t>institutionalized the in-depth evaluation process into the PB system</w:t>
      </w:r>
      <w:r>
        <w:rPr>
          <w:rFonts w:asciiTheme="minorHAnsi" w:hAnsiTheme="minorHAnsi"/>
        </w:rPr>
        <w:t xml:space="preserve"> (Box</w:t>
      </w:r>
      <w:r w:rsidR="0028610F">
        <w:rPr>
          <w:rFonts w:asciiTheme="minorHAnsi" w:hAnsiTheme="minorHAnsi"/>
        </w:rPr>
        <w:t> 18</w:t>
      </w:r>
      <w:r>
        <w:rPr>
          <w:rFonts w:asciiTheme="minorHAnsi" w:hAnsiTheme="minorHAnsi"/>
        </w:rPr>
        <w:t>).</w:t>
      </w:r>
    </w:p>
    <w:p w:rsidR="00FB57F2" w:rsidRPr="00A4255D" w:rsidRDefault="00383ED0" w:rsidP="00FB57F2">
      <w:pPr>
        <w:spacing w:before="240" w:after="120"/>
        <w:jc w:val="center"/>
        <w:rPr>
          <w:rFonts w:asciiTheme="minorHAnsi" w:hAnsiTheme="minorHAnsi"/>
          <w:b/>
        </w:rPr>
      </w:pPr>
      <w:r>
        <w:rPr>
          <w:rFonts w:asciiTheme="minorHAnsi" w:hAnsiTheme="minorHAnsi"/>
          <w:b/>
        </w:rPr>
        <w:t xml:space="preserve">Figure </w:t>
      </w:r>
      <w:r w:rsidR="00DE5FA9">
        <w:rPr>
          <w:rFonts w:asciiTheme="minorHAnsi" w:hAnsiTheme="minorHAnsi"/>
          <w:b/>
        </w:rPr>
        <w:t>1</w:t>
      </w:r>
      <w:r w:rsidR="00A64CC9">
        <w:rPr>
          <w:rFonts w:asciiTheme="minorHAnsi" w:hAnsiTheme="minorHAnsi"/>
          <w:b/>
        </w:rPr>
        <w:t>1</w:t>
      </w:r>
      <w:r w:rsidR="00FB57F2" w:rsidRPr="00A4255D">
        <w:rPr>
          <w:rFonts w:asciiTheme="minorHAnsi" w:hAnsiTheme="minorHAnsi"/>
          <w:b/>
        </w:rPr>
        <w:t>: Organizations Responsible for Conducting Evaluations</w:t>
      </w:r>
    </w:p>
    <w:p w:rsidR="00FB57F2" w:rsidRPr="00A4255D" w:rsidRDefault="00FB57F2" w:rsidP="00FB57F2">
      <w:pPr>
        <w:rPr>
          <w:rFonts w:asciiTheme="minorHAnsi" w:hAnsiTheme="minorHAnsi"/>
        </w:rPr>
      </w:pPr>
      <w:r w:rsidRPr="00A4255D">
        <w:rPr>
          <w:rFonts w:asciiTheme="minorHAnsi" w:hAnsiTheme="minorHAnsi"/>
          <w:noProof/>
          <w:lang w:eastAsia="en-GB"/>
        </w:rPr>
        <w:drawing>
          <wp:inline distT="0" distB="0" distL="0" distR="0" wp14:anchorId="3B9FB26A" wp14:editId="788C4E2E">
            <wp:extent cx="5731510" cy="229566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31510" cy="2295666"/>
                    </a:xfrm>
                    <a:prstGeom prst="rect">
                      <a:avLst/>
                    </a:prstGeom>
                  </pic:spPr>
                </pic:pic>
              </a:graphicData>
            </a:graphic>
          </wp:inline>
        </w:drawing>
      </w:r>
    </w:p>
    <w:p w:rsidR="00FB57F2" w:rsidRPr="00A4255D" w:rsidRDefault="00FB57F2" w:rsidP="00180C6A">
      <w:pPr>
        <w:pStyle w:val="BodyText"/>
        <w:spacing w:before="360"/>
        <w:ind w:firstLine="567"/>
        <w:rPr>
          <w:rFonts w:asciiTheme="minorHAnsi" w:hAnsiTheme="minorHAnsi"/>
        </w:rPr>
      </w:pPr>
      <w:r w:rsidRPr="00A4255D">
        <w:rPr>
          <w:rFonts w:asciiTheme="minorHAnsi" w:hAnsiTheme="minorHAnsi"/>
        </w:rPr>
        <w:t xml:space="preserve">Despite quite widespread use of both ex- ante and ex post evaluations evidence </w:t>
      </w:r>
      <w:r>
        <w:rPr>
          <w:rFonts w:asciiTheme="minorHAnsi" w:hAnsiTheme="minorHAnsi"/>
        </w:rPr>
        <w:t xml:space="preserve">from OECD surveys suggests that </w:t>
      </w:r>
      <w:r w:rsidRPr="00A4255D">
        <w:rPr>
          <w:rFonts w:asciiTheme="minorHAnsi" w:hAnsiTheme="minorHAnsi"/>
        </w:rPr>
        <w:t>that evaluations of all types have limited impact on budget decisions</w:t>
      </w:r>
      <w:r>
        <w:rPr>
          <w:rFonts w:asciiTheme="minorHAnsi" w:hAnsiTheme="minorHAnsi"/>
        </w:rPr>
        <w:t>,</w:t>
      </w:r>
      <w:r w:rsidRPr="00A4255D">
        <w:rPr>
          <w:rFonts w:asciiTheme="minorHAnsi" w:hAnsiTheme="minorHAnsi"/>
        </w:rPr>
        <w:t xml:space="preserve"> with those led by line ministries and the CBA having slightly more impact than ext</w:t>
      </w:r>
      <w:r w:rsidR="00DE5FA9">
        <w:rPr>
          <w:rFonts w:asciiTheme="minorHAnsi" w:hAnsiTheme="minorHAnsi"/>
        </w:rPr>
        <w:t>ernal evaluations (see Figure 1</w:t>
      </w:r>
      <w:r w:rsidR="00A64CC9">
        <w:rPr>
          <w:rFonts w:asciiTheme="minorHAnsi" w:hAnsiTheme="minorHAnsi"/>
        </w:rPr>
        <w:t>2</w:t>
      </w:r>
      <w:r w:rsidRPr="00A4255D">
        <w:rPr>
          <w:rFonts w:asciiTheme="minorHAnsi" w:hAnsiTheme="minorHAnsi"/>
        </w:rPr>
        <w:t>).</w:t>
      </w:r>
      <w:r>
        <w:rPr>
          <w:rFonts w:asciiTheme="minorHAnsi" w:hAnsiTheme="minorHAnsi"/>
        </w:rPr>
        <w:t xml:space="preserve">  However, it is possible that evaluation has an implicit impact, informing </w:t>
      </w:r>
      <w:r w:rsidR="00DA0272">
        <w:rPr>
          <w:rFonts w:asciiTheme="minorHAnsi" w:hAnsiTheme="minorHAnsi"/>
        </w:rPr>
        <w:t xml:space="preserve">programme </w:t>
      </w:r>
      <w:r>
        <w:rPr>
          <w:rFonts w:asciiTheme="minorHAnsi" w:hAnsiTheme="minorHAnsi"/>
        </w:rPr>
        <w:t xml:space="preserve">re-design, without specific reference to the budget.  In Canada, ministries are encouraged to present evidence from evaluations as </w:t>
      </w:r>
      <w:r>
        <w:rPr>
          <w:rFonts w:asciiTheme="minorHAnsi" w:hAnsiTheme="minorHAnsi"/>
        </w:rPr>
        <w:lastRenderedPageBreak/>
        <w:t>part of their budget submissions to the Treasury Board.  The submissions include a section for ‘’evidence” where the findings of evaluations, studies, audit reports etc. can be presented.</w:t>
      </w:r>
    </w:p>
    <w:p w:rsidR="00FB57F2" w:rsidRPr="00A4255D" w:rsidRDefault="00383ED0" w:rsidP="00FB57F2">
      <w:pPr>
        <w:keepNext/>
        <w:spacing w:before="480" w:after="240"/>
        <w:jc w:val="center"/>
        <w:rPr>
          <w:rFonts w:asciiTheme="minorHAnsi" w:hAnsiTheme="minorHAnsi"/>
          <w:b/>
        </w:rPr>
      </w:pPr>
      <w:r>
        <w:rPr>
          <w:rFonts w:asciiTheme="minorHAnsi" w:hAnsiTheme="minorHAnsi"/>
          <w:b/>
        </w:rPr>
        <w:t xml:space="preserve">Figure </w:t>
      </w:r>
      <w:r w:rsidR="00DE5FA9">
        <w:rPr>
          <w:rFonts w:asciiTheme="minorHAnsi" w:hAnsiTheme="minorHAnsi"/>
          <w:b/>
        </w:rPr>
        <w:t>1</w:t>
      </w:r>
      <w:r w:rsidR="00A64CC9">
        <w:rPr>
          <w:rFonts w:asciiTheme="minorHAnsi" w:hAnsiTheme="minorHAnsi"/>
          <w:b/>
        </w:rPr>
        <w:t>2</w:t>
      </w:r>
      <w:r w:rsidR="005139F7">
        <w:rPr>
          <w:rFonts w:asciiTheme="minorHAnsi" w:hAnsiTheme="minorHAnsi"/>
          <w:b/>
        </w:rPr>
        <w:t xml:space="preserve">: </w:t>
      </w:r>
      <w:r w:rsidR="00FB57F2">
        <w:rPr>
          <w:rFonts w:asciiTheme="minorHAnsi" w:hAnsiTheme="minorHAnsi"/>
          <w:b/>
        </w:rPr>
        <w:t xml:space="preserve"> </w:t>
      </w:r>
      <w:r w:rsidR="00FB57F2" w:rsidRPr="00A4255D">
        <w:rPr>
          <w:rFonts w:asciiTheme="minorHAnsi" w:hAnsiTheme="minorHAnsi"/>
          <w:b/>
        </w:rPr>
        <w:t>Assessed Usefulness of Different Types of Evaluation</w:t>
      </w:r>
    </w:p>
    <w:p w:rsidR="00FB57F2" w:rsidRPr="00A4255D" w:rsidRDefault="00FB57F2" w:rsidP="00FB57F2">
      <w:pPr>
        <w:jc w:val="center"/>
        <w:rPr>
          <w:rFonts w:asciiTheme="minorHAnsi" w:hAnsiTheme="minorHAnsi"/>
          <w:b/>
        </w:rPr>
      </w:pPr>
      <w:r w:rsidRPr="00A4255D">
        <w:rPr>
          <w:rFonts w:asciiTheme="minorHAnsi" w:hAnsiTheme="minorHAnsi"/>
          <w:noProof/>
          <w:lang w:eastAsia="en-GB"/>
        </w:rPr>
        <w:drawing>
          <wp:inline distT="0" distB="0" distL="0" distR="0" wp14:anchorId="39A02FC0" wp14:editId="5154A7F3">
            <wp:extent cx="4705350" cy="1757363"/>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B57F2" w:rsidRPr="00A4255D" w:rsidRDefault="00FB57F2" w:rsidP="00180C6A">
      <w:pPr>
        <w:pStyle w:val="BodyText"/>
        <w:spacing w:before="240"/>
        <w:ind w:firstLine="567"/>
        <w:rPr>
          <w:rFonts w:asciiTheme="minorHAnsi" w:hAnsiTheme="minorHAnsi"/>
        </w:rPr>
      </w:pPr>
      <w:r w:rsidRPr="00A4255D">
        <w:rPr>
          <w:rFonts w:asciiTheme="minorHAnsi" w:hAnsiTheme="minorHAnsi"/>
        </w:rPr>
        <w:t xml:space="preserve">Due to the complex relationship between budget resources and results the job of evaluation should involve both technical and budget experts.  The reasons for under or over performance may be due to policy choices, </w:t>
      </w:r>
      <w:r w:rsidR="00DA0272">
        <w:rPr>
          <w:rFonts w:asciiTheme="minorHAnsi" w:hAnsiTheme="minorHAnsi"/>
        </w:rPr>
        <w:t xml:space="preserve">programme </w:t>
      </w:r>
      <w:r w:rsidRPr="00A4255D">
        <w:rPr>
          <w:rFonts w:asciiTheme="minorHAnsi" w:hAnsiTheme="minorHAnsi"/>
        </w:rPr>
        <w:t xml:space="preserve">design, </w:t>
      </w:r>
      <w:r w:rsidR="00DA0272">
        <w:rPr>
          <w:rFonts w:asciiTheme="minorHAnsi" w:hAnsiTheme="minorHAnsi"/>
        </w:rPr>
        <w:t xml:space="preserve">programme </w:t>
      </w:r>
      <w:r w:rsidRPr="00A4255D">
        <w:rPr>
          <w:rFonts w:asciiTheme="minorHAnsi" w:hAnsiTheme="minorHAnsi"/>
        </w:rPr>
        <w:t xml:space="preserve">management, external factors beyond management control or inappropriate selection of indicators that do not accurately reflect performance.  All these factors need to be examined in order to identify the appropriate actions needed. </w:t>
      </w:r>
    </w:p>
    <w:p w:rsidR="00FB57F2" w:rsidRDefault="00FB57F2" w:rsidP="00180C6A">
      <w:pPr>
        <w:pStyle w:val="BodyText"/>
        <w:spacing w:after="360"/>
        <w:ind w:firstLine="567"/>
        <w:rPr>
          <w:rFonts w:asciiTheme="minorHAnsi" w:hAnsiTheme="minorHAnsi"/>
        </w:rPr>
      </w:pPr>
      <w:r w:rsidRPr="00A4255D">
        <w:rPr>
          <w:rFonts w:asciiTheme="minorHAnsi" w:hAnsiTheme="minorHAnsi"/>
        </w:rPr>
        <w:t>As the official reviewer of how public money has been</w:t>
      </w:r>
      <w:r>
        <w:rPr>
          <w:rFonts w:asciiTheme="minorHAnsi" w:hAnsiTheme="minorHAnsi"/>
        </w:rPr>
        <w:t xml:space="preserve"> used</w:t>
      </w:r>
      <w:r w:rsidRPr="00A4255D">
        <w:rPr>
          <w:rFonts w:asciiTheme="minorHAnsi" w:hAnsiTheme="minorHAnsi"/>
        </w:rPr>
        <w:t>, acting on behalf of the legislature, the supreme audit institution has a potentially important role to play in reviewing the performance budget and performance reports.  However, this is an additional responsibility that also re</w:t>
      </w:r>
      <w:r>
        <w:rPr>
          <w:rFonts w:asciiTheme="minorHAnsi" w:hAnsiTheme="minorHAnsi"/>
        </w:rPr>
        <w:t>quires additional skills sets and it may take time for the SAI to create the capacity to undertake performance audits.</w:t>
      </w:r>
    </w:p>
    <w:p w:rsidR="008E1C41" w:rsidRDefault="008E1C41" w:rsidP="00180C6A">
      <w:pPr>
        <w:pStyle w:val="BodyText"/>
        <w:spacing w:after="360"/>
        <w:ind w:firstLine="567"/>
        <w:rPr>
          <w:rFonts w:asciiTheme="minorHAnsi" w:hAnsiTheme="minorHAnsi"/>
        </w:rPr>
      </w:pPr>
      <w:r>
        <w:rPr>
          <w:rFonts w:asciiTheme="minorHAnsi" w:hAnsiTheme="minorHAnsi"/>
        </w:rPr>
        <w:t xml:space="preserve">Parliaments play an important role in supporting performance budgeting, both as an advocate for transparency regarding the purposes and results of spending and also as a check on the executive branch of government, holding government to account for the results of spending through the work of </w:t>
      </w:r>
      <w:r w:rsidR="00681E5E">
        <w:rPr>
          <w:rFonts w:asciiTheme="minorHAnsi" w:hAnsiTheme="minorHAnsi"/>
        </w:rPr>
        <w:t xml:space="preserve">those </w:t>
      </w:r>
      <w:r>
        <w:rPr>
          <w:rFonts w:asciiTheme="minorHAnsi" w:hAnsiTheme="minorHAnsi"/>
        </w:rPr>
        <w:t xml:space="preserve">parliamentary committees </w:t>
      </w:r>
      <w:r w:rsidR="00681E5E">
        <w:rPr>
          <w:rFonts w:asciiTheme="minorHAnsi" w:hAnsiTheme="minorHAnsi"/>
        </w:rPr>
        <w:t>that review accounts and the activities of line Ministries. The select committees in the House of Commons, supported by a specialized unit focused on scrutiny of expenditure and performance offer a good practice example of how the executive can be made accountable (Box 20).</w:t>
      </w:r>
    </w:p>
    <w:p w:rsidR="00B06A35" w:rsidRDefault="00B06A35" w:rsidP="00180C6A">
      <w:pPr>
        <w:pStyle w:val="BodyText"/>
        <w:spacing w:after="360"/>
        <w:ind w:firstLine="567"/>
        <w:rPr>
          <w:rFonts w:asciiTheme="minorHAnsi" w:hAnsiTheme="minorHAnsi"/>
        </w:rPr>
      </w:pPr>
    </w:p>
    <w:p w:rsidR="00B06A35" w:rsidRDefault="00B06A35" w:rsidP="00180C6A">
      <w:pPr>
        <w:pStyle w:val="BodyText"/>
        <w:spacing w:after="360"/>
        <w:ind w:firstLine="567"/>
        <w:rPr>
          <w:rFonts w:asciiTheme="minorHAnsi" w:hAnsiTheme="minorHAnsi"/>
        </w:rPr>
      </w:pPr>
      <w:r>
        <w:rPr>
          <w:rFonts w:asciiTheme="minorHAnsi" w:hAnsiTheme="minorHAnsi"/>
        </w:rPr>
        <w:br w:type="page"/>
      </w:r>
    </w:p>
    <w:p w:rsidR="00180C6A" w:rsidRPr="0056433C" w:rsidRDefault="00180C6A" w:rsidP="0028610F">
      <w:pPr>
        <w:pStyle w:val="Heading4"/>
        <w:pBdr>
          <w:top w:val="single" w:sz="4" w:space="1" w:color="auto"/>
          <w:left w:val="single" w:sz="4" w:space="4" w:color="auto"/>
          <w:bottom w:val="single" w:sz="4" w:space="12" w:color="auto"/>
          <w:right w:val="single" w:sz="4" w:space="4" w:color="auto"/>
        </w:pBdr>
        <w:jc w:val="center"/>
        <w:rPr>
          <w:rFonts w:asciiTheme="minorHAnsi" w:hAnsiTheme="minorHAnsi"/>
          <w:b/>
          <w:i w:val="0"/>
        </w:rPr>
      </w:pPr>
      <w:r w:rsidRPr="0028610F">
        <w:rPr>
          <w:rFonts w:asciiTheme="minorHAnsi" w:hAnsiTheme="minorHAnsi"/>
          <w:b/>
          <w:i w:val="0"/>
        </w:rPr>
        <w:lastRenderedPageBreak/>
        <w:t>Box 18:</w:t>
      </w:r>
      <w:r w:rsidRPr="0056433C">
        <w:rPr>
          <w:rFonts w:asciiTheme="minorHAnsi" w:hAnsiTheme="minorHAnsi"/>
          <w:b/>
          <w:i w:val="0"/>
        </w:rPr>
        <w:t xml:space="preserve"> Korea - In-Depth Programme Evaluations</w:t>
      </w:r>
    </w:p>
    <w:p w:rsidR="00FB57F2" w:rsidRPr="00A4255D" w:rsidRDefault="00FB57F2" w:rsidP="0028610F">
      <w:pPr>
        <w:pBdr>
          <w:top w:val="single" w:sz="4" w:space="1" w:color="auto"/>
          <w:left w:val="single" w:sz="4" w:space="4" w:color="auto"/>
          <w:bottom w:val="single" w:sz="4" w:space="12" w:color="auto"/>
          <w:right w:val="single" w:sz="4" w:space="4" w:color="auto"/>
        </w:pBdr>
        <w:autoSpaceDE w:val="0"/>
        <w:autoSpaceDN w:val="0"/>
        <w:adjustRightInd w:val="0"/>
        <w:spacing w:after="240"/>
        <w:rPr>
          <w:rFonts w:asciiTheme="minorHAnsi" w:hAnsiTheme="minorHAnsi"/>
        </w:rPr>
      </w:pPr>
      <w:r w:rsidRPr="00A4255D">
        <w:rPr>
          <w:rFonts w:asciiTheme="minorHAnsi" w:hAnsiTheme="minorHAnsi"/>
        </w:rPr>
        <w:t>The programme evaluation process seeks to measure the relevance, efficiency, and effectiveness of a programme. Although ad hoc evaluation activities had previously existed in the central budget office to cope with major policy questions, there was no systematic or rigorous evaluation system prior to PB. Thus, the In-depth Evaluation of Budgetary Programme institutionalized the in-depth evaluation process into the PB system. Every year, an evaluation panel is created for each of the group of cross-cutting programme selected for evaluation. Panel members, selected for their expertise, mostly come from public research institutes and universities. With the support of the Ministry of Strategy and Finance and line ministries, the evaluation panel collects data, conducts surveys, analyses the data, and writes a report. Since many stakeholders are involved in any given programme, the evaluation panel holds frequent meetings to collect feedback. The panel submits their completed evaluation reports to the central budget office, who decides whether to reflect these results in resource allocation changes or programme consolidation. The in-depth evaluation results are reported to the meeting chaired by the minister of the CBA and line ministries are required to report back with their follow-ups. Between 2008 and 2012, 329 recommendations were produced from the in-depth evaluation. As of 2013, 166 recommendations have been finished with follow-up actions and 144 are in progress.</w:t>
      </w:r>
    </w:p>
    <w:p w:rsidR="00B06A35" w:rsidRDefault="00B06A35" w:rsidP="00FB57F2">
      <w:pPr>
        <w:autoSpaceDE w:val="0"/>
        <w:autoSpaceDN w:val="0"/>
        <w:adjustRightInd w:val="0"/>
        <w:rPr>
          <w:rFonts w:asciiTheme="minorHAnsi" w:hAnsiTheme="minorHAnsi"/>
        </w:rPr>
      </w:pPr>
    </w:p>
    <w:p w:rsidR="0016522B" w:rsidRPr="0016522B" w:rsidRDefault="0056433C" w:rsidP="0016522B">
      <w:pPr>
        <w:pStyle w:val="BodyText"/>
        <w:pBdr>
          <w:top w:val="single" w:sz="4" w:space="1" w:color="auto"/>
          <w:left w:val="single" w:sz="4" w:space="4" w:color="auto"/>
          <w:bottom w:val="single" w:sz="4" w:space="1" w:color="auto"/>
          <w:right w:val="single" w:sz="4" w:space="4" w:color="auto"/>
        </w:pBdr>
        <w:tabs>
          <w:tab w:val="clear" w:pos="850"/>
          <w:tab w:val="left" w:pos="567"/>
        </w:tabs>
        <w:ind w:left="567" w:hanging="567"/>
        <w:jc w:val="center"/>
        <w:rPr>
          <w:rFonts w:asciiTheme="minorHAnsi" w:hAnsiTheme="minorHAnsi"/>
          <w:b/>
        </w:rPr>
      </w:pPr>
      <w:r w:rsidRPr="00B06A35">
        <w:rPr>
          <w:rFonts w:asciiTheme="minorHAnsi" w:hAnsiTheme="minorHAnsi"/>
          <w:b/>
        </w:rPr>
        <w:t>Box 19</w:t>
      </w:r>
      <w:r w:rsidR="007E549C" w:rsidRPr="00B06A35">
        <w:rPr>
          <w:rFonts w:asciiTheme="minorHAnsi" w:hAnsiTheme="minorHAnsi"/>
          <w:b/>
        </w:rPr>
        <w:t>:  Canada</w:t>
      </w:r>
      <w:r w:rsidR="007E549C">
        <w:rPr>
          <w:rFonts w:asciiTheme="minorHAnsi" w:hAnsiTheme="minorHAnsi"/>
          <w:b/>
        </w:rPr>
        <w:t xml:space="preserve"> - </w:t>
      </w:r>
      <w:r w:rsidR="0016522B" w:rsidRPr="0016522B">
        <w:rPr>
          <w:rFonts w:asciiTheme="minorHAnsi" w:hAnsiTheme="minorHAnsi"/>
          <w:b/>
        </w:rPr>
        <w:t>Transparency in the Evaluation Function</w:t>
      </w:r>
    </w:p>
    <w:p w:rsidR="0016522B" w:rsidRPr="0016522B" w:rsidRDefault="0016522B" w:rsidP="0016522B">
      <w:pPr>
        <w:pStyle w:val="BodyText"/>
        <w:pBdr>
          <w:top w:val="single" w:sz="4" w:space="1" w:color="auto"/>
          <w:left w:val="single" w:sz="4" w:space="4" w:color="auto"/>
          <w:bottom w:val="single" w:sz="4" w:space="1" w:color="auto"/>
          <w:right w:val="single" w:sz="4" w:space="4" w:color="auto"/>
        </w:pBdr>
        <w:tabs>
          <w:tab w:val="clear" w:pos="850"/>
        </w:tabs>
        <w:ind w:firstLine="0"/>
        <w:rPr>
          <w:rFonts w:asciiTheme="minorHAnsi" w:hAnsiTheme="minorHAnsi"/>
        </w:rPr>
      </w:pPr>
      <w:r w:rsidRPr="0016522B">
        <w:rPr>
          <w:rFonts w:asciiTheme="minorHAnsi" w:hAnsiTheme="minorHAnsi"/>
        </w:rPr>
        <w:t xml:space="preserve">The Government of Canada has had policies governing </w:t>
      </w:r>
      <w:r w:rsidR="00DA0272">
        <w:rPr>
          <w:rFonts w:asciiTheme="minorHAnsi" w:hAnsiTheme="minorHAnsi"/>
        </w:rPr>
        <w:t xml:space="preserve">programme </w:t>
      </w:r>
      <w:r w:rsidRPr="0016522B">
        <w:rPr>
          <w:rFonts w:asciiTheme="minorHAnsi" w:hAnsiTheme="minorHAnsi"/>
        </w:rPr>
        <w:t>evaluation in its departments and agencies since 1</w:t>
      </w:r>
      <w:r w:rsidR="005C646E">
        <w:rPr>
          <w:rFonts w:asciiTheme="minorHAnsi" w:hAnsiTheme="minorHAnsi"/>
        </w:rPr>
        <w:t xml:space="preserve">977. </w:t>
      </w:r>
      <w:r w:rsidRPr="0016522B">
        <w:rPr>
          <w:rFonts w:asciiTheme="minorHAnsi" w:hAnsiTheme="minorHAnsi"/>
        </w:rPr>
        <w:t xml:space="preserve">The most recent, the Policy on Results, no longer requires comprehensive evaluation coverage of all direct </w:t>
      </w:r>
      <w:r w:rsidR="00DA0272">
        <w:rPr>
          <w:rFonts w:asciiTheme="minorHAnsi" w:hAnsiTheme="minorHAnsi"/>
        </w:rPr>
        <w:t xml:space="preserve">programme </w:t>
      </w:r>
      <w:r w:rsidRPr="0016522B">
        <w:rPr>
          <w:rFonts w:asciiTheme="minorHAnsi" w:hAnsiTheme="minorHAnsi"/>
        </w:rPr>
        <w:t xml:space="preserve">spending every five years (as required by the Previous Policy on Evaluation).  Rather, building from the premise that all spending and </w:t>
      </w:r>
      <w:r w:rsidR="0090328E">
        <w:rPr>
          <w:rFonts w:asciiTheme="minorHAnsi" w:hAnsiTheme="minorHAnsi"/>
        </w:rPr>
        <w:t>programmes</w:t>
      </w:r>
      <w:r w:rsidRPr="0016522B">
        <w:rPr>
          <w:rFonts w:asciiTheme="minorHAnsi" w:hAnsiTheme="minorHAnsi"/>
        </w:rPr>
        <w:t xml:space="preserve"> should be evaluated periodic</w:t>
      </w:r>
      <w:r w:rsidR="005C646E">
        <w:rPr>
          <w:rFonts w:asciiTheme="minorHAnsi" w:hAnsiTheme="minorHAnsi"/>
        </w:rPr>
        <w:t>ally, departments build an eval</w:t>
      </w:r>
      <w:r w:rsidRPr="0016522B">
        <w:rPr>
          <w:rFonts w:asciiTheme="minorHAnsi" w:hAnsiTheme="minorHAnsi"/>
        </w:rPr>
        <w:t xml:space="preserve">uation schedule based on risk and other needs.  Departments are required to make public not only their planned evaluations, but rationales for </w:t>
      </w:r>
      <w:r w:rsidR="0090328E">
        <w:rPr>
          <w:rFonts w:asciiTheme="minorHAnsi" w:hAnsiTheme="minorHAnsi"/>
        </w:rPr>
        <w:t>programmes</w:t>
      </w:r>
      <w:r w:rsidRPr="0016522B">
        <w:rPr>
          <w:rFonts w:asciiTheme="minorHAnsi" w:hAnsiTheme="minorHAnsi"/>
        </w:rPr>
        <w:t xml:space="preserve"> and spending that will not be evaluated. </w:t>
      </w:r>
    </w:p>
    <w:p w:rsidR="0016522B" w:rsidRPr="0016522B" w:rsidRDefault="0016522B" w:rsidP="0016522B">
      <w:pPr>
        <w:pBdr>
          <w:top w:val="single" w:sz="4" w:space="1" w:color="auto"/>
          <w:left w:val="single" w:sz="4" w:space="4" w:color="auto"/>
          <w:bottom w:val="single" w:sz="4" w:space="1" w:color="auto"/>
          <w:right w:val="single" w:sz="4" w:space="4" w:color="auto"/>
        </w:pBdr>
        <w:rPr>
          <w:rFonts w:asciiTheme="minorHAnsi" w:hAnsiTheme="minorHAnsi" w:cstheme="minorBidi"/>
          <w:b/>
        </w:rPr>
      </w:pPr>
      <w:r w:rsidRPr="0016522B">
        <w:rPr>
          <w:rFonts w:asciiTheme="minorHAnsi" w:hAnsiTheme="minorHAnsi"/>
        </w:rPr>
        <w:t>The Policy on Results has introduced other new elements into the federal evaluation function including the ability for the Secretary of the Treasury Board of Canada to initiate centrally-led evaluations and to set competencies for evaluation experts.</w:t>
      </w:r>
    </w:p>
    <w:p w:rsidR="00F520AD" w:rsidRDefault="00F520AD" w:rsidP="00FB57F2">
      <w:pPr>
        <w:autoSpaceDE w:val="0"/>
        <w:autoSpaceDN w:val="0"/>
        <w:adjustRightInd w:val="0"/>
        <w:rPr>
          <w:rFonts w:asciiTheme="minorHAnsi" w:hAnsiTheme="minorHAnsi"/>
        </w:rPr>
      </w:pPr>
    </w:p>
    <w:p w:rsidR="00B06A35" w:rsidRDefault="00B06A35" w:rsidP="00FB57F2">
      <w:pPr>
        <w:autoSpaceDE w:val="0"/>
        <w:autoSpaceDN w:val="0"/>
        <w:adjustRightInd w:val="0"/>
        <w:rPr>
          <w:rFonts w:asciiTheme="minorHAnsi" w:hAnsiTheme="minorHAnsi"/>
        </w:rPr>
      </w:pPr>
      <w:r>
        <w:rPr>
          <w:rFonts w:asciiTheme="minorHAnsi" w:hAnsiTheme="minorHAnsi"/>
        </w:rPr>
        <w:br w:type="page"/>
      </w:r>
    </w:p>
    <w:p w:rsidR="00FB57F2" w:rsidRPr="00A4255D" w:rsidRDefault="0056433C" w:rsidP="0056433C">
      <w:pPr>
        <w:pBdr>
          <w:top w:val="single" w:sz="4" w:space="1" w:color="auto"/>
          <w:left w:val="single" w:sz="4" w:space="4" w:color="auto"/>
          <w:bottom w:val="single" w:sz="4" w:space="9" w:color="auto"/>
          <w:right w:val="single" w:sz="4" w:space="4" w:color="auto"/>
        </w:pBdr>
        <w:autoSpaceDE w:val="0"/>
        <w:autoSpaceDN w:val="0"/>
        <w:adjustRightInd w:val="0"/>
        <w:spacing w:before="240" w:after="240"/>
        <w:jc w:val="center"/>
        <w:rPr>
          <w:rFonts w:asciiTheme="minorHAnsi" w:hAnsiTheme="minorHAnsi" w:cs="CaeciliaLTStd-Heavy"/>
          <w:b/>
          <w:color w:val="000000"/>
        </w:rPr>
      </w:pPr>
      <w:r w:rsidRPr="00B06A35">
        <w:rPr>
          <w:rFonts w:asciiTheme="minorHAnsi" w:hAnsiTheme="minorHAnsi"/>
          <w:b/>
        </w:rPr>
        <w:lastRenderedPageBreak/>
        <w:t>Box 20</w:t>
      </w:r>
      <w:r w:rsidR="007E549C" w:rsidRPr="00B06A35">
        <w:rPr>
          <w:rFonts w:asciiTheme="minorHAnsi" w:hAnsiTheme="minorHAnsi"/>
          <w:b/>
        </w:rPr>
        <w:t xml:space="preserve">: </w:t>
      </w:r>
      <w:r w:rsidR="00FB57F2" w:rsidRPr="00B06A35">
        <w:rPr>
          <w:rFonts w:asciiTheme="minorHAnsi" w:hAnsiTheme="minorHAnsi"/>
          <w:b/>
        </w:rPr>
        <w:t xml:space="preserve">UK </w:t>
      </w:r>
      <w:r w:rsidR="007E549C" w:rsidRPr="00B06A35">
        <w:rPr>
          <w:rFonts w:asciiTheme="minorHAnsi" w:hAnsiTheme="minorHAnsi"/>
          <w:b/>
        </w:rPr>
        <w:t>-</w:t>
      </w:r>
      <w:r w:rsidR="007E549C">
        <w:rPr>
          <w:rFonts w:asciiTheme="minorHAnsi" w:hAnsiTheme="minorHAnsi" w:cs="CaeciliaLTStd-Heavy"/>
          <w:b/>
          <w:color w:val="000000"/>
        </w:rPr>
        <w:t xml:space="preserve"> </w:t>
      </w:r>
      <w:r w:rsidR="00FB57F2" w:rsidRPr="00A4255D">
        <w:rPr>
          <w:rFonts w:asciiTheme="minorHAnsi" w:hAnsiTheme="minorHAnsi" w:cs="CaeciliaLTStd-Heavy"/>
          <w:b/>
          <w:color w:val="000000"/>
        </w:rPr>
        <w:t>House of Commons Scrutiny Unit</w:t>
      </w:r>
    </w:p>
    <w:p w:rsidR="00FB57F2" w:rsidRPr="00A4255D" w:rsidRDefault="00FB57F2" w:rsidP="0056433C">
      <w:pPr>
        <w:pBdr>
          <w:top w:val="single" w:sz="4" w:space="1" w:color="auto"/>
          <w:left w:val="single" w:sz="4" w:space="4" w:color="auto"/>
          <w:bottom w:val="single" w:sz="4" w:space="9" w:color="auto"/>
          <w:right w:val="single" w:sz="4" w:space="4" w:color="auto"/>
        </w:pBdr>
        <w:autoSpaceDE w:val="0"/>
        <w:autoSpaceDN w:val="0"/>
        <w:adjustRightInd w:val="0"/>
        <w:spacing w:after="120"/>
        <w:rPr>
          <w:rFonts w:asciiTheme="minorHAnsi" w:hAnsiTheme="minorHAnsi" w:cs="CaeciliaLTStd-Heavy"/>
          <w:color w:val="000000"/>
        </w:rPr>
      </w:pPr>
      <w:r w:rsidRPr="00A4255D">
        <w:rPr>
          <w:rFonts w:asciiTheme="minorHAnsi" w:hAnsiTheme="minorHAnsi" w:cs="CaeciliaLTStd-Heavy"/>
          <w:color w:val="000000"/>
        </w:rPr>
        <w:t>The House of Commons’ Scrutiny Unit supports Select committees in examining the expenditure and performance of government, and the relationships between spending and delivery of outcomes. It does this by promoting the value of linking examination of spending with examination of outcomes, by helping committees analyse spending patterns alongside performance and by pressing the government to improve the information available and promoting Parliament’s interests of holding the executive to account. For instance, the Scrutiny Unit has:</w:t>
      </w:r>
    </w:p>
    <w:p w:rsidR="00FB57F2" w:rsidRPr="004272BB" w:rsidRDefault="00FB57F2" w:rsidP="0056433C">
      <w:pPr>
        <w:pStyle w:val="BodyText"/>
        <w:pBdr>
          <w:top w:val="single" w:sz="4" w:space="1" w:color="auto"/>
          <w:left w:val="single" w:sz="4" w:space="4" w:color="auto"/>
          <w:bottom w:val="single" w:sz="4" w:space="9" w:color="auto"/>
          <w:right w:val="single" w:sz="4" w:space="4" w:color="auto"/>
        </w:pBdr>
        <w:tabs>
          <w:tab w:val="clear" w:pos="850"/>
          <w:tab w:val="left" w:pos="567"/>
        </w:tabs>
        <w:spacing w:after="120"/>
        <w:ind w:left="567" w:hanging="567"/>
        <w:rPr>
          <w:rFonts w:asciiTheme="minorHAnsi" w:hAnsiTheme="minorHAnsi"/>
        </w:rPr>
      </w:pPr>
      <w:r>
        <w:t>•</w:t>
      </w:r>
      <w:r>
        <w:tab/>
      </w:r>
      <w:r w:rsidRPr="004272BB">
        <w:rPr>
          <w:rFonts w:asciiTheme="minorHAnsi" w:hAnsiTheme="minorHAnsi"/>
        </w:rPr>
        <w:t>produced a guide to committees on Better Financial Scrutiny which encourages examination of spending and outcomes throughout a programme’s lifespan, and sets out good practice</w:t>
      </w:r>
      <w:r>
        <w:rPr>
          <w:rFonts w:asciiTheme="minorHAnsi" w:hAnsiTheme="minorHAnsi"/>
        </w:rPr>
        <w:t>;</w:t>
      </w:r>
    </w:p>
    <w:p w:rsidR="00FB57F2" w:rsidRPr="004272BB" w:rsidRDefault="00FB57F2" w:rsidP="0056433C">
      <w:pPr>
        <w:pStyle w:val="BodyText"/>
        <w:pBdr>
          <w:top w:val="single" w:sz="4" w:space="1" w:color="auto"/>
          <w:left w:val="single" w:sz="4" w:space="4" w:color="auto"/>
          <w:bottom w:val="single" w:sz="4" w:space="9" w:color="auto"/>
          <w:right w:val="single" w:sz="4" w:space="4" w:color="auto"/>
        </w:pBdr>
        <w:tabs>
          <w:tab w:val="clear" w:pos="850"/>
          <w:tab w:val="left" w:pos="567"/>
        </w:tabs>
        <w:spacing w:after="120"/>
        <w:ind w:left="567" w:hanging="567"/>
        <w:rPr>
          <w:rFonts w:asciiTheme="minorHAnsi" w:hAnsiTheme="minorHAnsi"/>
        </w:rPr>
      </w:pPr>
      <w:r w:rsidRPr="004272BB">
        <w:rPr>
          <w:rFonts w:asciiTheme="minorHAnsi" w:hAnsiTheme="minorHAnsi"/>
        </w:rPr>
        <w:t>•</w:t>
      </w:r>
      <w:r w:rsidRPr="004272BB">
        <w:rPr>
          <w:rFonts w:asciiTheme="minorHAnsi" w:hAnsiTheme="minorHAnsi"/>
        </w:rPr>
        <w:tab/>
        <w:t>contributed financial and performance material to committee inquiries, including briefings, questions, reports, and analysis of impact assessments</w:t>
      </w:r>
      <w:r>
        <w:rPr>
          <w:rFonts w:asciiTheme="minorHAnsi" w:hAnsiTheme="minorHAnsi"/>
        </w:rPr>
        <w:t>;</w:t>
      </w:r>
    </w:p>
    <w:p w:rsidR="00FB57F2" w:rsidRPr="004272BB" w:rsidRDefault="00FB57F2" w:rsidP="0056433C">
      <w:pPr>
        <w:pStyle w:val="BodyText"/>
        <w:pBdr>
          <w:top w:val="single" w:sz="4" w:space="1" w:color="auto"/>
          <w:left w:val="single" w:sz="4" w:space="4" w:color="auto"/>
          <w:bottom w:val="single" w:sz="4" w:space="9" w:color="auto"/>
          <w:right w:val="single" w:sz="4" w:space="4" w:color="auto"/>
        </w:pBdr>
        <w:tabs>
          <w:tab w:val="clear" w:pos="850"/>
          <w:tab w:val="left" w:pos="567"/>
        </w:tabs>
        <w:spacing w:after="120"/>
        <w:ind w:left="567" w:hanging="567"/>
        <w:rPr>
          <w:rFonts w:asciiTheme="minorHAnsi" w:hAnsiTheme="minorHAnsi"/>
        </w:rPr>
      </w:pPr>
      <w:r w:rsidRPr="004272BB">
        <w:rPr>
          <w:rFonts w:asciiTheme="minorHAnsi" w:hAnsiTheme="minorHAnsi"/>
        </w:rPr>
        <w:t>•</w:t>
      </w:r>
      <w:r w:rsidRPr="004272BB">
        <w:rPr>
          <w:rFonts w:asciiTheme="minorHAnsi" w:hAnsiTheme="minorHAnsi"/>
        </w:rPr>
        <w:tab/>
        <w:t>analysed and briefed committees both on spending and trends in performance, using published indicators, when committees hold their hearings with Ministers on Government departments’ annual reports and accounts</w:t>
      </w:r>
      <w:r>
        <w:rPr>
          <w:rFonts w:asciiTheme="minorHAnsi" w:hAnsiTheme="minorHAnsi"/>
        </w:rPr>
        <w:t>;</w:t>
      </w:r>
    </w:p>
    <w:p w:rsidR="00FB57F2" w:rsidRDefault="00FB57F2" w:rsidP="0056433C">
      <w:pPr>
        <w:pStyle w:val="BodyText"/>
        <w:pBdr>
          <w:top w:val="single" w:sz="4" w:space="1" w:color="auto"/>
          <w:left w:val="single" w:sz="4" w:space="4" w:color="auto"/>
          <w:bottom w:val="single" w:sz="4" w:space="9" w:color="auto"/>
          <w:right w:val="single" w:sz="4" w:space="4" w:color="auto"/>
        </w:pBdr>
        <w:tabs>
          <w:tab w:val="clear" w:pos="850"/>
          <w:tab w:val="left" w:pos="567"/>
        </w:tabs>
        <w:spacing w:after="120"/>
        <w:ind w:left="567" w:hanging="567"/>
        <w:rPr>
          <w:rFonts w:asciiTheme="minorHAnsi" w:hAnsiTheme="minorHAnsi"/>
        </w:rPr>
      </w:pPr>
      <w:r w:rsidRPr="004272BB">
        <w:rPr>
          <w:rFonts w:asciiTheme="minorHAnsi" w:hAnsiTheme="minorHAnsi"/>
        </w:rPr>
        <w:t>•</w:t>
      </w:r>
      <w:r w:rsidRPr="004272BB">
        <w:rPr>
          <w:rFonts w:asciiTheme="minorHAnsi" w:hAnsiTheme="minorHAnsi"/>
        </w:rPr>
        <w:tab/>
        <w:t>followed up a committee recommendation for government departments to produce annual mid-year reports, and</w:t>
      </w:r>
    </w:p>
    <w:p w:rsidR="00FB57F2" w:rsidRPr="0056433C" w:rsidRDefault="00FB57F2" w:rsidP="0056433C">
      <w:pPr>
        <w:pStyle w:val="BodyText"/>
        <w:pBdr>
          <w:top w:val="single" w:sz="4" w:space="1" w:color="auto"/>
          <w:left w:val="single" w:sz="4" w:space="4" w:color="auto"/>
          <w:bottom w:val="single" w:sz="4" w:space="9" w:color="auto"/>
          <w:right w:val="single" w:sz="4" w:space="4" w:color="auto"/>
        </w:pBdr>
        <w:tabs>
          <w:tab w:val="clear" w:pos="850"/>
          <w:tab w:val="left" w:pos="567"/>
        </w:tabs>
        <w:spacing w:after="120"/>
        <w:ind w:left="567" w:hanging="567"/>
        <w:rPr>
          <w:rFonts w:asciiTheme="minorHAnsi" w:hAnsiTheme="minorHAnsi" w:cs="CaeciliaLTStd-Roman"/>
          <w:sz w:val="17"/>
          <w:szCs w:val="17"/>
        </w:rPr>
      </w:pPr>
      <w:r w:rsidRPr="00DC2C2F">
        <w:rPr>
          <w:rFonts w:asciiTheme="minorHAnsi" w:hAnsiTheme="minorHAnsi"/>
        </w:rPr>
        <w:t>•</w:t>
      </w:r>
      <w:r w:rsidRPr="00DC2C2F">
        <w:rPr>
          <w:rFonts w:asciiTheme="minorHAnsi" w:hAnsiTheme="minorHAnsi"/>
        </w:rPr>
        <w:tab/>
        <w:t>engaged with government in developing proposals to improve and simplify Government accounts for the benefit of Parliamentary users</w:t>
      </w:r>
      <w:r w:rsidRPr="00DC2C2F">
        <w:rPr>
          <w:rFonts w:asciiTheme="minorHAnsi" w:hAnsiTheme="minorHAnsi" w:cs="CaeciliaLTStd-Roman"/>
          <w:sz w:val="17"/>
          <w:szCs w:val="17"/>
        </w:rPr>
        <w:t>.</w:t>
      </w:r>
    </w:p>
    <w:p w:rsidR="00FB57F2" w:rsidRDefault="00FB57F2" w:rsidP="00FB57F2">
      <w:pPr>
        <w:pStyle w:val="BodyText"/>
        <w:tabs>
          <w:tab w:val="clear" w:pos="850"/>
          <w:tab w:val="left" w:pos="567"/>
        </w:tabs>
        <w:ind w:left="567" w:hanging="567"/>
        <w:rPr>
          <w:rFonts w:asciiTheme="minorHAnsi" w:hAnsiTheme="minorHAnsi"/>
        </w:rPr>
      </w:pPr>
    </w:p>
    <w:p w:rsidR="005C646E" w:rsidRDefault="005C646E" w:rsidP="00FB57F2">
      <w:pPr>
        <w:pStyle w:val="BodyText"/>
        <w:tabs>
          <w:tab w:val="clear" w:pos="850"/>
          <w:tab w:val="left" w:pos="567"/>
        </w:tabs>
        <w:ind w:left="567" w:hanging="567"/>
        <w:rPr>
          <w:rFonts w:asciiTheme="minorHAnsi" w:hAnsiTheme="minorHAnsi"/>
        </w:rPr>
      </w:pPr>
      <w:r>
        <w:rPr>
          <w:rFonts w:asciiTheme="minorHAnsi" w:hAnsiTheme="minorHAnsi"/>
        </w:rPr>
        <w:br w:type="page"/>
      </w:r>
    </w:p>
    <w:p w:rsidR="007020D5" w:rsidRPr="005C646E" w:rsidRDefault="00416F64" w:rsidP="005C646E">
      <w:pPr>
        <w:pStyle w:val="Heading1"/>
        <w:pBdr>
          <w:top w:val="single" w:sz="4" w:space="1" w:color="auto"/>
          <w:left w:val="single" w:sz="4" w:space="4" w:color="auto"/>
          <w:bottom w:val="single" w:sz="4" w:space="12" w:color="auto"/>
          <w:right w:val="single" w:sz="4" w:space="4" w:color="auto"/>
        </w:pBdr>
        <w:shd w:val="clear" w:color="auto" w:fill="CCECFF"/>
        <w:tabs>
          <w:tab w:val="left" w:pos="567"/>
        </w:tabs>
        <w:spacing w:before="240" w:after="240"/>
        <w:ind w:left="567" w:hanging="567"/>
        <w:rPr>
          <w:rFonts w:asciiTheme="minorHAnsi" w:hAnsiTheme="minorHAnsi"/>
          <w:caps w:val="0"/>
          <w:color w:val="1E63AE"/>
          <w:sz w:val="24"/>
          <w:szCs w:val="24"/>
        </w:rPr>
      </w:pPr>
      <w:r>
        <w:rPr>
          <w:rFonts w:asciiTheme="minorHAnsi" w:hAnsiTheme="minorHAnsi"/>
          <w:bCs w:val="0"/>
          <w:caps w:val="0"/>
          <w:color w:val="1E63AE"/>
          <w:kern w:val="0"/>
          <w:sz w:val="24"/>
          <w:szCs w:val="24"/>
        </w:rPr>
        <w:lastRenderedPageBreak/>
        <w:t>Best Practice </w:t>
      </w:r>
      <w:r w:rsidR="007020D5">
        <w:rPr>
          <w:rFonts w:asciiTheme="minorHAnsi" w:hAnsiTheme="minorHAnsi"/>
          <w:bCs w:val="0"/>
          <w:caps w:val="0"/>
          <w:color w:val="1E63AE"/>
          <w:kern w:val="0"/>
          <w:sz w:val="24"/>
          <w:szCs w:val="24"/>
        </w:rPr>
        <w:t>7</w:t>
      </w:r>
      <w:r w:rsidR="000A41DB">
        <w:rPr>
          <w:rFonts w:asciiTheme="minorHAnsi" w:hAnsiTheme="minorHAnsi"/>
          <w:bCs w:val="0"/>
          <w:caps w:val="0"/>
          <w:color w:val="1E63AE"/>
          <w:kern w:val="0"/>
          <w:sz w:val="24"/>
          <w:szCs w:val="24"/>
        </w:rPr>
        <w:br/>
      </w:r>
      <w:r w:rsidR="007020D5" w:rsidRPr="005C646E">
        <w:rPr>
          <w:rFonts w:asciiTheme="minorHAnsi" w:hAnsiTheme="minorHAnsi"/>
          <w:caps w:val="0"/>
          <w:color w:val="1E63AE"/>
          <w:sz w:val="24"/>
          <w:szCs w:val="24"/>
        </w:rPr>
        <w:t xml:space="preserve">Incentivizing Performance-oriented Behaviour and Learning  </w:t>
      </w:r>
    </w:p>
    <w:p w:rsidR="007020D5" w:rsidRPr="00A4255D" w:rsidRDefault="007020D5" w:rsidP="005C646E">
      <w:pPr>
        <w:pBdr>
          <w:top w:val="single" w:sz="4" w:space="1" w:color="auto"/>
          <w:left w:val="single" w:sz="4" w:space="4" w:color="auto"/>
          <w:bottom w:val="single" w:sz="4" w:space="12" w:color="auto"/>
          <w:right w:val="single" w:sz="4" w:space="4" w:color="auto"/>
        </w:pBdr>
        <w:shd w:val="clear" w:color="auto" w:fill="CCECFF"/>
        <w:tabs>
          <w:tab w:val="clear" w:pos="850"/>
          <w:tab w:val="clear" w:pos="1191"/>
          <w:tab w:val="clear" w:pos="1531"/>
          <w:tab w:val="left" w:pos="567"/>
        </w:tabs>
        <w:spacing w:after="120"/>
        <w:ind w:left="567" w:hanging="567"/>
        <w:rPr>
          <w:rFonts w:asciiTheme="minorHAnsi" w:hAnsiTheme="minorHAnsi"/>
        </w:rPr>
      </w:pPr>
      <w:r>
        <w:rPr>
          <w:rFonts w:asciiTheme="minorHAnsi" w:hAnsiTheme="minorHAnsi"/>
        </w:rPr>
        <w:t>•</w:t>
      </w:r>
      <w:r>
        <w:rPr>
          <w:rFonts w:asciiTheme="minorHAnsi" w:hAnsiTheme="minorHAnsi"/>
        </w:rPr>
        <w:tab/>
      </w:r>
      <w:r w:rsidRPr="00A4255D">
        <w:rPr>
          <w:rFonts w:asciiTheme="minorHAnsi" w:hAnsiTheme="minorHAnsi"/>
        </w:rPr>
        <w:t xml:space="preserve">Identified individuals </w:t>
      </w:r>
      <w:r>
        <w:rPr>
          <w:rFonts w:asciiTheme="minorHAnsi" w:hAnsiTheme="minorHAnsi"/>
        </w:rPr>
        <w:t xml:space="preserve">and </w:t>
      </w:r>
      <w:r w:rsidRPr="00A4255D">
        <w:rPr>
          <w:rFonts w:asciiTheme="minorHAnsi" w:hAnsiTheme="minorHAnsi"/>
        </w:rPr>
        <w:t xml:space="preserve">teams </w:t>
      </w:r>
      <w:r>
        <w:rPr>
          <w:rFonts w:asciiTheme="minorHAnsi" w:hAnsiTheme="minorHAnsi"/>
        </w:rPr>
        <w:t xml:space="preserve">are </w:t>
      </w:r>
      <w:r w:rsidRPr="00A4255D">
        <w:rPr>
          <w:rFonts w:asciiTheme="minorHAnsi" w:hAnsiTheme="minorHAnsi"/>
        </w:rPr>
        <w:t>responsible and accountable for the achievement of performance goals</w:t>
      </w:r>
      <w:r>
        <w:rPr>
          <w:rFonts w:asciiTheme="minorHAnsi" w:hAnsiTheme="minorHAnsi"/>
        </w:rPr>
        <w:t>.</w:t>
      </w:r>
    </w:p>
    <w:p w:rsidR="007020D5" w:rsidRPr="00A4255D" w:rsidRDefault="007020D5" w:rsidP="005C646E">
      <w:pPr>
        <w:pBdr>
          <w:top w:val="single" w:sz="4" w:space="1" w:color="auto"/>
          <w:left w:val="single" w:sz="4" w:space="4" w:color="auto"/>
          <w:bottom w:val="single" w:sz="4" w:space="12" w:color="auto"/>
          <w:right w:val="single" w:sz="4" w:space="4" w:color="auto"/>
        </w:pBdr>
        <w:shd w:val="clear" w:color="auto" w:fill="CCECFF"/>
        <w:tabs>
          <w:tab w:val="clear" w:pos="850"/>
          <w:tab w:val="clear" w:pos="1191"/>
          <w:tab w:val="clear" w:pos="1531"/>
          <w:tab w:val="left" w:pos="567"/>
        </w:tabs>
        <w:spacing w:after="120"/>
        <w:ind w:left="567" w:hanging="567"/>
        <w:rPr>
          <w:rFonts w:asciiTheme="minorHAnsi" w:hAnsiTheme="minorHAnsi"/>
        </w:rPr>
      </w:pPr>
      <w:r>
        <w:rPr>
          <w:rFonts w:asciiTheme="minorHAnsi" w:hAnsiTheme="minorHAnsi"/>
        </w:rPr>
        <w:t>•</w:t>
      </w:r>
      <w:r>
        <w:rPr>
          <w:rFonts w:asciiTheme="minorHAnsi" w:hAnsiTheme="minorHAnsi"/>
        </w:rPr>
        <w:tab/>
      </w:r>
      <w:r w:rsidRPr="00A4255D">
        <w:rPr>
          <w:rFonts w:asciiTheme="minorHAnsi" w:hAnsiTheme="minorHAnsi"/>
        </w:rPr>
        <w:t xml:space="preserve">Responses to </w:t>
      </w:r>
      <w:r>
        <w:rPr>
          <w:rFonts w:asciiTheme="minorHAnsi" w:hAnsiTheme="minorHAnsi"/>
        </w:rPr>
        <w:t xml:space="preserve">programme </w:t>
      </w:r>
      <w:r w:rsidRPr="00A4255D">
        <w:rPr>
          <w:rFonts w:asciiTheme="minorHAnsi" w:hAnsiTheme="minorHAnsi"/>
        </w:rPr>
        <w:t xml:space="preserve">performance emphasise </w:t>
      </w:r>
      <w:r>
        <w:rPr>
          <w:rFonts w:asciiTheme="minorHAnsi" w:hAnsiTheme="minorHAnsi"/>
        </w:rPr>
        <w:t xml:space="preserve">recognition of successes, </w:t>
      </w:r>
      <w:r w:rsidRPr="00A4255D">
        <w:rPr>
          <w:rFonts w:asciiTheme="minorHAnsi" w:hAnsiTheme="minorHAnsi"/>
        </w:rPr>
        <w:t>learning and problem solving</w:t>
      </w:r>
      <w:r>
        <w:rPr>
          <w:rFonts w:asciiTheme="minorHAnsi" w:hAnsiTheme="minorHAnsi"/>
        </w:rPr>
        <w:t xml:space="preserve"> in respect of under-achievement</w:t>
      </w:r>
      <w:r w:rsidRPr="00A4255D">
        <w:rPr>
          <w:rFonts w:asciiTheme="minorHAnsi" w:hAnsiTheme="minorHAnsi"/>
        </w:rPr>
        <w:t xml:space="preserve">, rather than </w:t>
      </w:r>
      <w:r>
        <w:rPr>
          <w:rFonts w:asciiTheme="minorHAnsi" w:hAnsiTheme="minorHAnsi"/>
        </w:rPr>
        <w:t>automatic financial rewards or budget cuts.</w:t>
      </w:r>
    </w:p>
    <w:p w:rsidR="007020D5" w:rsidRPr="00A4255D" w:rsidRDefault="007020D5" w:rsidP="005C646E">
      <w:pPr>
        <w:pBdr>
          <w:top w:val="single" w:sz="4" w:space="1" w:color="auto"/>
          <w:left w:val="single" w:sz="4" w:space="4" w:color="auto"/>
          <w:bottom w:val="single" w:sz="4" w:space="12" w:color="auto"/>
          <w:right w:val="single" w:sz="4" w:space="4" w:color="auto"/>
        </w:pBdr>
        <w:shd w:val="clear" w:color="auto" w:fill="CCECFF"/>
        <w:tabs>
          <w:tab w:val="clear" w:pos="850"/>
          <w:tab w:val="clear" w:pos="1191"/>
          <w:tab w:val="clear" w:pos="1531"/>
          <w:tab w:val="left" w:pos="567"/>
        </w:tabs>
        <w:spacing w:after="120"/>
        <w:ind w:left="567" w:hanging="567"/>
        <w:rPr>
          <w:rFonts w:asciiTheme="minorHAnsi" w:hAnsiTheme="minorHAnsi"/>
        </w:rPr>
      </w:pPr>
      <w:r>
        <w:rPr>
          <w:rFonts w:asciiTheme="minorHAnsi" w:hAnsiTheme="minorHAnsi"/>
        </w:rPr>
        <w:t>•</w:t>
      </w:r>
      <w:r>
        <w:rPr>
          <w:rFonts w:asciiTheme="minorHAnsi" w:hAnsiTheme="minorHAnsi"/>
        </w:rPr>
        <w:tab/>
      </w:r>
      <w:r w:rsidRPr="00A4255D">
        <w:rPr>
          <w:rFonts w:asciiTheme="minorHAnsi" w:hAnsiTheme="minorHAnsi"/>
        </w:rPr>
        <w:t xml:space="preserve">The centre of government </w:t>
      </w:r>
      <w:r>
        <w:rPr>
          <w:rFonts w:asciiTheme="minorHAnsi" w:hAnsiTheme="minorHAnsi"/>
        </w:rPr>
        <w:t xml:space="preserve">promotes a broader </w:t>
      </w:r>
      <w:r w:rsidRPr="00A4255D">
        <w:rPr>
          <w:rFonts w:asciiTheme="minorHAnsi" w:hAnsiTheme="minorHAnsi"/>
        </w:rPr>
        <w:t xml:space="preserve">performance </w:t>
      </w:r>
      <w:r>
        <w:rPr>
          <w:rFonts w:asciiTheme="minorHAnsi" w:hAnsiTheme="minorHAnsi"/>
        </w:rPr>
        <w:t>management culture that supports performance budgeting.</w:t>
      </w:r>
    </w:p>
    <w:p w:rsidR="00BB1095" w:rsidRDefault="00660117" w:rsidP="0056433C">
      <w:pPr>
        <w:pStyle w:val="BodyText"/>
        <w:spacing w:before="360"/>
        <w:ind w:firstLine="567"/>
        <w:rPr>
          <w:rFonts w:asciiTheme="minorHAnsi" w:hAnsiTheme="minorHAnsi"/>
        </w:rPr>
      </w:pPr>
      <w:r w:rsidRPr="00A4255D">
        <w:rPr>
          <w:rFonts w:asciiTheme="minorHAnsi" w:hAnsiTheme="minorHAnsi"/>
        </w:rPr>
        <w:t>The main goal of performance budgeting efforts in OECD countries has been to support a shift to a performance-based ethos, whereby public officials instinctively respond to policy priorities, continuously improve the quality of public services, and seek value for money for the pu</w:t>
      </w:r>
      <w:r w:rsidR="005C646E">
        <w:rPr>
          <w:rFonts w:asciiTheme="minorHAnsi" w:hAnsiTheme="minorHAnsi"/>
        </w:rPr>
        <w:t>blic.</w:t>
      </w:r>
      <w:r w:rsidRPr="00A4255D">
        <w:rPr>
          <w:rFonts w:asciiTheme="minorHAnsi" w:hAnsiTheme="minorHAnsi"/>
        </w:rPr>
        <w:t xml:space="preserve"> While introducing performance budgeting may create the façade of such an ethos, the challenge has been to change deeply ro</w:t>
      </w:r>
      <w:r w:rsidR="00B06A35">
        <w:rPr>
          <w:rFonts w:asciiTheme="minorHAnsi" w:hAnsiTheme="minorHAnsi"/>
        </w:rPr>
        <w:t>oted attitudes and behaviours.</w:t>
      </w:r>
    </w:p>
    <w:p w:rsidR="00660117" w:rsidRPr="00A4255D" w:rsidRDefault="00BB1095" w:rsidP="0056433C">
      <w:pPr>
        <w:pStyle w:val="BodyText"/>
        <w:spacing w:before="360"/>
        <w:ind w:firstLine="567"/>
        <w:rPr>
          <w:rFonts w:asciiTheme="minorHAnsi" w:hAnsiTheme="minorHAnsi"/>
        </w:rPr>
      </w:pPr>
      <w:r>
        <w:rPr>
          <w:rFonts w:asciiTheme="minorHAnsi" w:hAnsiTheme="minorHAnsi"/>
        </w:rPr>
        <w:t>In practice p</w:t>
      </w:r>
      <w:r w:rsidRPr="00A4255D">
        <w:rPr>
          <w:rFonts w:asciiTheme="minorHAnsi" w:hAnsiTheme="minorHAnsi"/>
        </w:rPr>
        <w:t xml:space="preserve">erformance budgeting is </w:t>
      </w:r>
      <w:r w:rsidR="00F520AD">
        <w:rPr>
          <w:rFonts w:asciiTheme="minorHAnsi" w:hAnsiTheme="minorHAnsi"/>
        </w:rPr>
        <w:t>often</w:t>
      </w:r>
      <w:r>
        <w:rPr>
          <w:rFonts w:asciiTheme="minorHAnsi" w:hAnsiTheme="minorHAnsi"/>
        </w:rPr>
        <w:t xml:space="preserve"> </w:t>
      </w:r>
      <w:r w:rsidRPr="00A4255D">
        <w:rPr>
          <w:rFonts w:asciiTheme="minorHAnsi" w:hAnsiTheme="minorHAnsi"/>
        </w:rPr>
        <w:t xml:space="preserve">characterized by formal routines to measure performance and </w:t>
      </w:r>
      <w:r w:rsidR="005C646E">
        <w:rPr>
          <w:rFonts w:asciiTheme="minorHAnsi" w:hAnsiTheme="minorHAnsi"/>
        </w:rPr>
        <w:t>disseminate the resulting data.</w:t>
      </w:r>
      <w:r w:rsidRPr="00A4255D">
        <w:rPr>
          <w:rFonts w:asciiTheme="minorHAnsi" w:hAnsiTheme="minorHAnsi"/>
        </w:rPr>
        <w:t xml:space="preserve"> Typically</w:t>
      </w:r>
      <w:r w:rsidR="00F520AD">
        <w:rPr>
          <w:rFonts w:asciiTheme="minorHAnsi" w:hAnsiTheme="minorHAnsi"/>
        </w:rPr>
        <w:t>,</w:t>
      </w:r>
      <w:r w:rsidRPr="00A4255D">
        <w:rPr>
          <w:rFonts w:asciiTheme="minorHAnsi" w:hAnsiTheme="minorHAnsi"/>
        </w:rPr>
        <w:t xml:space="preserve"> this involves a large effort to develop the performance budget at the beginning of the year and then to produce the performance at the year end.  In most cases, the only formal discussion of performance occurs in reviews of departments by central agencies, perhaps just once a year and these are usually only a small part of a general discussion of budget allocations. Such routines do not generate serious in-depth exchanges of ideas about how to actually improve performance, or bring together employees and stakeholders involved in different processes.</w:t>
      </w:r>
    </w:p>
    <w:p w:rsidR="00660117" w:rsidRPr="00A4255D" w:rsidRDefault="00660117" w:rsidP="0056433C">
      <w:pPr>
        <w:pStyle w:val="BodyText"/>
        <w:ind w:firstLine="567"/>
        <w:rPr>
          <w:rFonts w:asciiTheme="minorHAnsi" w:hAnsiTheme="minorHAnsi"/>
        </w:rPr>
      </w:pPr>
      <w:r w:rsidRPr="00A4255D">
        <w:rPr>
          <w:rFonts w:asciiTheme="minorHAnsi" w:hAnsiTheme="minorHAnsi"/>
        </w:rPr>
        <w:t xml:space="preserve">It is difficult to construct a culture that directs attention to performance if that culture does not already exist to some extent in the society.  However, in practice performance reforms have rarely taken into account nuanced theories of human behaviour (Robinson and Brumby 2005); relying instead on ideas that are more intuitive: measurement of performance is a good thing, and performance data will foster its use (Van </w:t>
      </w:r>
      <w:proofErr w:type="spellStart"/>
      <w:r w:rsidRPr="00A4255D">
        <w:rPr>
          <w:rFonts w:asciiTheme="minorHAnsi" w:hAnsiTheme="minorHAnsi"/>
        </w:rPr>
        <w:t>Dooren</w:t>
      </w:r>
      <w:proofErr w:type="spellEnd"/>
      <w:r w:rsidRPr="00A4255D">
        <w:rPr>
          <w:rFonts w:asciiTheme="minorHAnsi" w:hAnsiTheme="minorHAnsi"/>
        </w:rPr>
        <w:t xml:space="preserve">, </w:t>
      </w:r>
      <w:proofErr w:type="spellStart"/>
      <w:r w:rsidRPr="00A4255D">
        <w:rPr>
          <w:rFonts w:asciiTheme="minorHAnsi" w:hAnsiTheme="minorHAnsi"/>
        </w:rPr>
        <w:t>Bouckaert</w:t>
      </w:r>
      <w:proofErr w:type="spellEnd"/>
      <w:r w:rsidRPr="00A4255D">
        <w:rPr>
          <w:rFonts w:asciiTheme="minorHAnsi" w:hAnsiTheme="minorHAnsi"/>
        </w:rPr>
        <w:t>, and Halligan 2008). The formality of performance reporting often creates a sense of performance as a make-work exercise that is separate from ma</w:t>
      </w:r>
      <w:r w:rsidR="00B06A35">
        <w:rPr>
          <w:rFonts w:asciiTheme="minorHAnsi" w:hAnsiTheme="minorHAnsi"/>
        </w:rPr>
        <w:t>nagement and policy decisions.</w:t>
      </w:r>
    </w:p>
    <w:p w:rsidR="00660117" w:rsidRPr="00A4255D" w:rsidRDefault="00660117" w:rsidP="0056433C">
      <w:pPr>
        <w:pStyle w:val="BodyText"/>
        <w:ind w:firstLine="567"/>
        <w:rPr>
          <w:rFonts w:asciiTheme="minorHAnsi" w:hAnsiTheme="minorHAnsi"/>
        </w:rPr>
      </w:pPr>
      <w:r w:rsidRPr="00A4255D">
        <w:rPr>
          <w:rFonts w:asciiTheme="minorHAnsi" w:hAnsiTheme="minorHAnsi"/>
        </w:rPr>
        <w:t>Governments engaged in performance budgeting should think of themselves as investing in a process of long-term cultural change and professionalization. To bring about a change in behaviour governments need to demonstrate that under or over-performance will have tangible consequences.  However, there is a risk that too strong a link between performance data and the budget may actually limit cultural ch</w:t>
      </w:r>
      <w:r w:rsidR="00827CF5">
        <w:rPr>
          <w:rFonts w:asciiTheme="minorHAnsi" w:hAnsiTheme="minorHAnsi"/>
        </w:rPr>
        <w:t>ange</w:t>
      </w:r>
      <w:r w:rsidR="00BB1095">
        <w:rPr>
          <w:rFonts w:asciiTheme="minorHAnsi" w:hAnsiTheme="minorHAnsi"/>
        </w:rPr>
        <w:t>, with p</w:t>
      </w:r>
      <w:r w:rsidRPr="00A4255D">
        <w:rPr>
          <w:rFonts w:asciiTheme="minorHAnsi" w:hAnsiTheme="minorHAnsi"/>
        </w:rPr>
        <w:t>erformance data being viewed as a threat rather than an op</w:t>
      </w:r>
      <w:r w:rsidR="00B06A35">
        <w:rPr>
          <w:rFonts w:asciiTheme="minorHAnsi" w:hAnsiTheme="minorHAnsi"/>
        </w:rPr>
        <w:t>portunity to learn and improve.</w:t>
      </w:r>
    </w:p>
    <w:p w:rsidR="00660117" w:rsidRPr="00A4255D" w:rsidRDefault="00660117" w:rsidP="0056433C">
      <w:pPr>
        <w:pStyle w:val="BodyText"/>
        <w:ind w:firstLine="567"/>
        <w:rPr>
          <w:rFonts w:asciiTheme="minorHAnsi" w:hAnsiTheme="minorHAnsi"/>
        </w:rPr>
      </w:pPr>
      <w:r w:rsidRPr="00A4255D">
        <w:rPr>
          <w:rFonts w:asciiTheme="minorHAnsi" w:hAnsiTheme="minorHAnsi"/>
        </w:rPr>
        <w:t>At the extremes, if the system creates strong individual or collective incentives to achieve performance targets this can lead to damaging changes in behaviour in the form of gaming.  Perversity carries the risk of serious political damage that may be out of proportion to the real problem: though rare and difficult to identify beforehand, data manipulation has resulted in intense political and media attention and fed public frustration. Manipulation of waiting lists for health services, for example, resulted in significant embarrassments for g</w:t>
      </w:r>
      <w:r w:rsidR="00B06A35">
        <w:rPr>
          <w:rFonts w:asciiTheme="minorHAnsi" w:hAnsiTheme="minorHAnsi"/>
        </w:rPr>
        <w:t>overnments in the UK and the USA</w:t>
      </w:r>
      <w:r w:rsidRPr="00A4255D">
        <w:rPr>
          <w:rFonts w:asciiTheme="minorHAnsi" w:hAnsiTheme="minorHAnsi"/>
        </w:rPr>
        <w:t xml:space="preserve">. Most citizens care more about this single example of performance perversity than about the administration’s positive </w:t>
      </w:r>
      <w:r w:rsidRPr="00A4255D">
        <w:rPr>
          <w:rFonts w:asciiTheme="minorHAnsi" w:hAnsiTheme="minorHAnsi"/>
        </w:rPr>
        <w:lastRenderedPageBreak/>
        <w:t>performance in other policy areas.  A less headline grabbing but still serious problem occurs when line ministries use data selectively to justify spending proposals.</w:t>
      </w:r>
    </w:p>
    <w:p w:rsidR="00660117" w:rsidRPr="00A4255D" w:rsidRDefault="00660117" w:rsidP="0056433C">
      <w:pPr>
        <w:pStyle w:val="BodyText"/>
        <w:ind w:firstLine="567"/>
        <w:rPr>
          <w:rFonts w:asciiTheme="minorHAnsi" w:hAnsiTheme="minorHAnsi"/>
        </w:rPr>
      </w:pPr>
      <w:r w:rsidRPr="00A4255D">
        <w:rPr>
          <w:rFonts w:asciiTheme="minorHAnsi" w:hAnsiTheme="minorHAnsi"/>
        </w:rPr>
        <w:t xml:space="preserve">Studies of how information about performance is used in public organizations suggests that the data influences decisions most clearly in organizational cultures that value innovation and a willingness to take risks (Kroll 2015)—traits not </w:t>
      </w:r>
      <w:r w:rsidR="00D41A21">
        <w:rPr>
          <w:rFonts w:asciiTheme="minorHAnsi" w:hAnsiTheme="minorHAnsi"/>
        </w:rPr>
        <w:t xml:space="preserve">inherently </w:t>
      </w:r>
      <w:r w:rsidRPr="00A4255D">
        <w:rPr>
          <w:rFonts w:asciiTheme="minorHAnsi" w:hAnsiTheme="minorHAnsi"/>
        </w:rPr>
        <w:t xml:space="preserve">prized in budget processes. </w:t>
      </w:r>
      <w:r w:rsidR="00DE5FA9">
        <w:rPr>
          <w:rFonts w:asciiTheme="minorHAnsi" w:hAnsiTheme="minorHAnsi"/>
        </w:rPr>
        <w:t xml:space="preserve"> OECD survey data (Figure 1</w:t>
      </w:r>
      <w:r w:rsidR="00A64CC9">
        <w:rPr>
          <w:rFonts w:asciiTheme="minorHAnsi" w:hAnsiTheme="minorHAnsi"/>
        </w:rPr>
        <w:t>3</w:t>
      </w:r>
      <w:r w:rsidRPr="00A4255D">
        <w:rPr>
          <w:rFonts w:asciiTheme="minorHAnsi" w:hAnsiTheme="minorHAnsi"/>
        </w:rPr>
        <w:t xml:space="preserve">) lends support to the view that softer management type responses are more implementable than harder budgetary responses, such as reducing funding or </w:t>
      </w:r>
      <w:r w:rsidR="005C646E">
        <w:rPr>
          <w:rFonts w:asciiTheme="minorHAnsi" w:hAnsiTheme="minorHAnsi"/>
        </w:rPr>
        <w:t xml:space="preserve">axing a program. </w:t>
      </w:r>
      <w:r w:rsidRPr="00A4255D">
        <w:rPr>
          <w:rFonts w:asciiTheme="minorHAnsi" w:hAnsiTheme="minorHAnsi"/>
        </w:rPr>
        <w:t xml:space="preserve">However, the survey also demonstrates that the overall level of responsiveness is low and the most common response is still no response, suggesting that there is plenty of scope for countries to do a better job in this respect. </w:t>
      </w:r>
    </w:p>
    <w:p w:rsidR="00660117" w:rsidRPr="00A4255D" w:rsidRDefault="00383ED0" w:rsidP="007C0B10">
      <w:pPr>
        <w:keepNext/>
        <w:spacing w:before="240" w:after="240"/>
        <w:jc w:val="center"/>
        <w:rPr>
          <w:rFonts w:asciiTheme="minorHAnsi" w:hAnsiTheme="minorHAnsi"/>
          <w:b/>
        </w:rPr>
      </w:pPr>
      <w:r>
        <w:rPr>
          <w:rFonts w:asciiTheme="minorHAnsi" w:hAnsiTheme="minorHAnsi"/>
          <w:b/>
        </w:rPr>
        <w:t xml:space="preserve">Figure </w:t>
      </w:r>
      <w:r w:rsidR="00DE5FA9">
        <w:rPr>
          <w:rFonts w:asciiTheme="minorHAnsi" w:hAnsiTheme="minorHAnsi"/>
          <w:b/>
        </w:rPr>
        <w:t>1</w:t>
      </w:r>
      <w:r w:rsidR="00A64CC9">
        <w:rPr>
          <w:rFonts w:asciiTheme="minorHAnsi" w:hAnsiTheme="minorHAnsi"/>
          <w:b/>
        </w:rPr>
        <w:t>3</w:t>
      </w:r>
      <w:r w:rsidR="007C0B10">
        <w:rPr>
          <w:rFonts w:asciiTheme="minorHAnsi" w:hAnsiTheme="minorHAnsi"/>
          <w:b/>
        </w:rPr>
        <w:t xml:space="preserve"> -- </w:t>
      </w:r>
      <w:r w:rsidR="00660117" w:rsidRPr="00A4255D">
        <w:rPr>
          <w:rFonts w:asciiTheme="minorHAnsi" w:hAnsiTheme="minorHAnsi"/>
          <w:b/>
        </w:rPr>
        <w:t>Responses to Poor Performance</w:t>
      </w:r>
    </w:p>
    <w:p w:rsidR="00660117" w:rsidRPr="00A4255D" w:rsidRDefault="00660117" w:rsidP="007C0B10">
      <w:pPr>
        <w:jc w:val="center"/>
        <w:rPr>
          <w:rFonts w:asciiTheme="minorHAnsi" w:hAnsiTheme="minorHAnsi"/>
        </w:rPr>
      </w:pPr>
      <w:r w:rsidRPr="00A4255D">
        <w:rPr>
          <w:rFonts w:asciiTheme="minorHAnsi" w:hAnsiTheme="minorHAnsi"/>
          <w:noProof/>
          <w:lang w:eastAsia="en-GB"/>
        </w:rPr>
        <w:drawing>
          <wp:inline distT="0" distB="0" distL="0" distR="0" wp14:anchorId="37BBEEE4" wp14:editId="3FC883F5">
            <wp:extent cx="5577168" cy="3764055"/>
            <wp:effectExtent l="0" t="0" r="5080" b="825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60117" w:rsidRDefault="00660117" w:rsidP="0056433C">
      <w:pPr>
        <w:pStyle w:val="BodyText"/>
        <w:spacing w:before="360"/>
        <w:ind w:firstLine="567"/>
        <w:rPr>
          <w:rFonts w:asciiTheme="minorHAnsi" w:hAnsiTheme="minorHAnsi"/>
        </w:rPr>
      </w:pPr>
      <w:r w:rsidRPr="00A4255D">
        <w:rPr>
          <w:rFonts w:asciiTheme="minorHAnsi" w:hAnsiTheme="minorHAnsi"/>
        </w:rPr>
        <w:t xml:space="preserve">Evidence from country case studies shows that countries with the longest experience of performance budgeting, such as Australia, the Netherlands and the </w:t>
      </w:r>
      <w:r w:rsidR="005C646E">
        <w:rPr>
          <w:rFonts w:asciiTheme="minorHAnsi" w:hAnsiTheme="minorHAnsi"/>
        </w:rPr>
        <w:t>US</w:t>
      </w:r>
      <w:r w:rsidRPr="00A4255D">
        <w:rPr>
          <w:rFonts w:asciiTheme="minorHAnsi" w:hAnsiTheme="minorHAnsi"/>
        </w:rPr>
        <w:t xml:space="preserve"> have, to varying degrees, backed away from attempts to </w:t>
      </w:r>
      <w:r w:rsidR="00D41A21">
        <w:rPr>
          <w:rFonts w:asciiTheme="minorHAnsi" w:hAnsiTheme="minorHAnsi"/>
        </w:rPr>
        <w:t xml:space="preserve">directly </w:t>
      </w:r>
      <w:r w:rsidRPr="00A4255D">
        <w:rPr>
          <w:rFonts w:asciiTheme="minorHAnsi" w:hAnsiTheme="minorHAnsi"/>
        </w:rPr>
        <w:t xml:space="preserve">link increases or cuts in the budget to performance and have looked for other ways to use data generated by the </w:t>
      </w:r>
      <w:r w:rsidR="00DE5FA9">
        <w:rPr>
          <w:rFonts w:asciiTheme="minorHAnsi" w:hAnsiTheme="minorHAnsi"/>
        </w:rPr>
        <w:t xml:space="preserve">performance budgeting system. </w:t>
      </w:r>
      <w:r w:rsidR="0004025D">
        <w:rPr>
          <w:rFonts w:asciiTheme="minorHAnsi" w:hAnsiTheme="minorHAnsi"/>
        </w:rPr>
        <w:t>Instead, the focus is on encouraging routine management use of perfor</w:t>
      </w:r>
      <w:r w:rsidR="00DE5FA9">
        <w:rPr>
          <w:rFonts w:asciiTheme="minorHAnsi" w:hAnsiTheme="minorHAnsi"/>
        </w:rPr>
        <w:t>mance and budget information.</w:t>
      </w:r>
    </w:p>
    <w:p w:rsidR="00FC18F9" w:rsidRPr="00A4255D" w:rsidRDefault="00FC18F9" w:rsidP="0056433C">
      <w:pPr>
        <w:pStyle w:val="BodyText"/>
        <w:ind w:firstLine="567"/>
        <w:rPr>
          <w:rFonts w:asciiTheme="minorHAnsi" w:hAnsiTheme="minorHAnsi"/>
        </w:rPr>
      </w:pPr>
      <w:r w:rsidRPr="00EA36AA">
        <w:rPr>
          <w:rFonts w:asciiTheme="minorHAnsi" w:hAnsiTheme="minorHAnsi"/>
        </w:rPr>
        <w:t xml:space="preserve">In the United States </w:t>
      </w:r>
      <w:r w:rsidR="0004025D" w:rsidRPr="00EA36AA">
        <w:rPr>
          <w:rFonts w:asciiTheme="minorHAnsi" w:hAnsiTheme="minorHAnsi"/>
        </w:rPr>
        <w:t>Agency GPRAMA requires leaders and managers to use regular meetings, at least quarterly, to review data and drive progress toward key performance goals and other management-improvement priorities. For each APG, agency leaders to conduct reviews at least quarterly to assess progress toward the goal, determine the risk of the goal not being met, and develop strategies to improve performance. There is research evidence th</w:t>
      </w:r>
      <w:r w:rsidRPr="00EA36AA">
        <w:rPr>
          <w:rFonts w:asciiTheme="minorHAnsi" w:hAnsiTheme="minorHAnsi"/>
        </w:rPr>
        <w:t>a</w:t>
      </w:r>
      <w:r w:rsidR="0004025D" w:rsidRPr="00EA36AA">
        <w:rPr>
          <w:rFonts w:asciiTheme="minorHAnsi" w:hAnsiTheme="minorHAnsi"/>
        </w:rPr>
        <w:t>t</w:t>
      </w:r>
      <w:r w:rsidR="003A1EAC">
        <w:rPr>
          <w:rFonts w:asciiTheme="minorHAnsi" w:hAnsiTheme="minorHAnsi"/>
        </w:rPr>
        <w:t xml:space="preserve"> </w:t>
      </w:r>
      <w:r w:rsidRPr="00EA36AA">
        <w:rPr>
          <w:rFonts w:asciiTheme="minorHAnsi" w:hAnsiTheme="minorHAnsi"/>
        </w:rPr>
        <w:t>data-driven reviews, in which performance data are routinely discussed for management purposes</w:t>
      </w:r>
      <w:r w:rsidR="0004025D" w:rsidRPr="00EA36AA">
        <w:rPr>
          <w:rFonts w:asciiTheme="minorHAnsi" w:hAnsiTheme="minorHAnsi"/>
        </w:rPr>
        <w:t xml:space="preserve"> are </w:t>
      </w:r>
      <w:r w:rsidR="0004025D" w:rsidRPr="00D6785F">
        <w:rPr>
          <w:rFonts w:asciiTheme="minorHAnsi" w:hAnsiTheme="minorHAnsi"/>
        </w:rPr>
        <w:t>effective</w:t>
      </w:r>
      <w:r w:rsidR="00BB1095" w:rsidRPr="00D6785F">
        <w:rPr>
          <w:rFonts w:asciiTheme="minorHAnsi" w:hAnsiTheme="minorHAnsi"/>
        </w:rPr>
        <w:t xml:space="preserve"> (Box</w:t>
      </w:r>
      <w:r w:rsidR="00B06A35" w:rsidRPr="00D6785F">
        <w:rPr>
          <w:rFonts w:asciiTheme="minorHAnsi" w:hAnsiTheme="minorHAnsi"/>
        </w:rPr>
        <w:t xml:space="preserve"> </w:t>
      </w:r>
      <w:r w:rsidR="0063086F" w:rsidRPr="00D6785F">
        <w:rPr>
          <w:rFonts w:asciiTheme="minorHAnsi" w:hAnsiTheme="minorHAnsi"/>
        </w:rPr>
        <w:t>21</w:t>
      </w:r>
      <w:r w:rsidR="00BB1095" w:rsidRPr="00D6785F">
        <w:rPr>
          <w:rFonts w:asciiTheme="minorHAnsi" w:hAnsiTheme="minorHAnsi"/>
        </w:rPr>
        <w:t>)</w:t>
      </w:r>
      <w:r w:rsidR="00D6785F" w:rsidRPr="00D6785F">
        <w:rPr>
          <w:rFonts w:asciiTheme="minorHAnsi" w:hAnsiTheme="minorHAnsi"/>
        </w:rPr>
        <w:t>.</w:t>
      </w:r>
    </w:p>
    <w:p w:rsidR="00660117" w:rsidRPr="00A4255D" w:rsidRDefault="00660117" w:rsidP="0056433C">
      <w:pPr>
        <w:pStyle w:val="BodyText"/>
        <w:ind w:firstLine="567"/>
        <w:rPr>
          <w:rFonts w:asciiTheme="minorHAnsi" w:hAnsiTheme="minorHAnsi"/>
        </w:rPr>
      </w:pPr>
      <w:r w:rsidRPr="00A4255D">
        <w:rPr>
          <w:rFonts w:asciiTheme="minorHAnsi" w:hAnsiTheme="minorHAnsi"/>
        </w:rPr>
        <w:lastRenderedPageBreak/>
        <w:t>In Canada, accounting officers have a personal legal obligation to appear before parliamentary committees and answer questions on the management responsibilities of their department. A similar arrangement for accounting officers exists in in Ireland. Also in Ireland, an annual agreement will be signed between a department head and their relevant Minister ou</w:t>
      </w:r>
      <w:r w:rsidR="00B06A35">
        <w:rPr>
          <w:rFonts w:asciiTheme="minorHAnsi" w:hAnsiTheme="minorHAnsi"/>
        </w:rPr>
        <w:t>tlining performance objectives.</w:t>
      </w:r>
      <w:r w:rsidR="0063086F">
        <w:rPr>
          <w:rFonts w:asciiTheme="minorHAnsi" w:hAnsiTheme="minorHAnsi"/>
        </w:rPr>
        <w:t xml:space="preserve">  In New Zealand recent studies suggest that promoting collective rather than individual responsibility for performance was effective in delivering results in its cross-cutting “Better Public Service Results Programme” (Box 22). </w:t>
      </w:r>
    </w:p>
    <w:p w:rsidR="00660117" w:rsidRPr="00A4255D" w:rsidRDefault="00660117" w:rsidP="0056433C">
      <w:pPr>
        <w:pStyle w:val="BodyText"/>
        <w:ind w:firstLine="567"/>
        <w:rPr>
          <w:rFonts w:asciiTheme="minorHAnsi" w:hAnsiTheme="minorHAnsi"/>
        </w:rPr>
      </w:pPr>
      <w:r w:rsidRPr="00A4255D">
        <w:rPr>
          <w:rFonts w:asciiTheme="minorHAnsi" w:hAnsiTheme="minorHAnsi"/>
        </w:rPr>
        <w:t>In the UK permanent secretaries have long served as departmental “Accounting Officers”, responsible as individuals for the efficiency, economy and effectiveness of money spent by their organization. Recently, new individual roles have been added for performance: a whole-of-government Chief Executive Officer, as well as enhanced performance-oriented responsibilities for Chief Financial Officers within each spending ministry.</w:t>
      </w:r>
    </w:p>
    <w:p w:rsidR="00660117" w:rsidRDefault="00660117" w:rsidP="0056433C">
      <w:pPr>
        <w:pStyle w:val="BodyText"/>
        <w:ind w:firstLine="567"/>
        <w:rPr>
          <w:rFonts w:asciiTheme="minorHAnsi" w:hAnsiTheme="minorHAnsi"/>
        </w:rPr>
      </w:pPr>
      <w:r w:rsidRPr="00A4255D">
        <w:rPr>
          <w:rFonts w:asciiTheme="minorHAnsi" w:hAnsiTheme="minorHAnsi"/>
        </w:rPr>
        <w:t xml:space="preserve">In France for each program, the minister appoints a manager. </w:t>
      </w:r>
      <w:r w:rsidR="00DA0272">
        <w:rPr>
          <w:rFonts w:asciiTheme="minorHAnsi" w:hAnsiTheme="minorHAnsi"/>
        </w:rPr>
        <w:t xml:space="preserve">Programme </w:t>
      </w:r>
      <w:r w:rsidRPr="00A4255D">
        <w:rPr>
          <w:rFonts w:asciiTheme="minorHAnsi" w:hAnsiTheme="minorHAnsi"/>
        </w:rPr>
        <w:t xml:space="preserve">managers are the linchpin of the new public management system, operating at the nexus between political and management accountability. Reporting to the minister, they help define the strategic objectives for their </w:t>
      </w:r>
      <w:r w:rsidR="0090328E">
        <w:rPr>
          <w:rFonts w:asciiTheme="minorHAnsi" w:hAnsiTheme="minorHAnsi"/>
        </w:rPr>
        <w:t>programmes</w:t>
      </w:r>
      <w:r w:rsidRPr="00A4255D">
        <w:rPr>
          <w:rFonts w:asciiTheme="minorHAnsi" w:hAnsiTheme="minorHAnsi"/>
        </w:rPr>
        <w:t xml:space="preserve">. They are the guarantors that operational plans will go into effect and commit to the achievement of the associated goals. Annual Performance Plans express the commitments of the </w:t>
      </w:r>
      <w:r w:rsidR="00DA0272">
        <w:rPr>
          <w:rFonts w:asciiTheme="minorHAnsi" w:hAnsiTheme="minorHAnsi"/>
        </w:rPr>
        <w:t xml:space="preserve">programme </w:t>
      </w:r>
      <w:r w:rsidRPr="00A4255D">
        <w:rPr>
          <w:rFonts w:asciiTheme="minorHAnsi" w:hAnsiTheme="minorHAnsi"/>
        </w:rPr>
        <w:t xml:space="preserve">managers, presenting the strategies and objectives of each </w:t>
      </w:r>
      <w:r w:rsidR="00DA0272">
        <w:rPr>
          <w:rFonts w:asciiTheme="minorHAnsi" w:hAnsiTheme="minorHAnsi"/>
        </w:rPr>
        <w:t xml:space="preserve">programme </w:t>
      </w:r>
      <w:r w:rsidRPr="00A4255D">
        <w:rPr>
          <w:rFonts w:asciiTheme="minorHAnsi" w:hAnsiTheme="minorHAnsi"/>
        </w:rPr>
        <w:t xml:space="preserve">and justifying to Parliament </w:t>
      </w:r>
      <w:r w:rsidR="00DA0272">
        <w:rPr>
          <w:rFonts w:asciiTheme="minorHAnsi" w:hAnsiTheme="minorHAnsi"/>
        </w:rPr>
        <w:t xml:space="preserve">programme </w:t>
      </w:r>
      <w:r w:rsidRPr="00A4255D">
        <w:rPr>
          <w:rFonts w:asciiTheme="minorHAnsi" w:hAnsiTheme="minorHAnsi"/>
        </w:rPr>
        <w:t xml:space="preserve">appropriations and job requests. </w:t>
      </w:r>
      <w:r w:rsidR="00DA0272">
        <w:rPr>
          <w:rFonts w:asciiTheme="minorHAnsi" w:hAnsiTheme="minorHAnsi"/>
        </w:rPr>
        <w:t xml:space="preserve">Programme </w:t>
      </w:r>
      <w:r w:rsidRPr="00A4255D">
        <w:rPr>
          <w:rFonts w:asciiTheme="minorHAnsi" w:hAnsiTheme="minorHAnsi"/>
        </w:rPr>
        <w:t>managers organize management control and are allocated an overall amount to control. This gives them a great deal of freedom to choose where and how to allocate the financial and human resources they have available to meet their objectives. Their choices and the effects are reported in the APRs.</w:t>
      </w:r>
    </w:p>
    <w:p w:rsidR="00D6785F" w:rsidRDefault="00D6785F" w:rsidP="0056433C">
      <w:pPr>
        <w:pStyle w:val="BodyText"/>
        <w:ind w:firstLine="567"/>
        <w:rPr>
          <w:rFonts w:asciiTheme="minorHAnsi" w:hAnsiTheme="minorHAnsi"/>
        </w:rPr>
      </w:pPr>
      <w:r>
        <w:rPr>
          <w:rFonts w:asciiTheme="minorHAnsi" w:hAnsiTheme="minorHAnsi"/>
        </w:rPr>
        <w:br w:type="page"/>
      </w:r>
    </w:p>
    <w:p w:rsidR="00D6785F" w:rsidRDefault="00D6785F" w:rsidP="0056433C">
      <w:pPr>
        <w:pStyle w:val="BodyText"/>
        <w:ind w:firstLine="567"/>
        <w:rPr>
          <w:rFonts w:asciiTheme="minorHAnsi" w:hAnsiTheme="minorHAnsi"/>
        </w:rPr>
      </w:pPr>
    </w:p>
    <w:p w:rsidR="00D6785F" w:rsidRPr="00447956" w:rsidRDefault="00D6785F" w:rsidP="00D6785F">
      <w:pPr>
        <w:pBdr>
          <w:top w:val="single" w:sz="4" w:space="1" w:color="auto"/>
          <w:left w:val="single" w:sz="4" w:space="4" w:color="auto"/>
          <w:bottom w:val="single" w:sz="4" w:space="13" w:color="auto"/>
          <w:right w:val="single" w:sz="4" w:space="4" w:color="auto"/>
        </w:pBdr>
        <w:tabs>
          <w:tab w:val="clear" w:pos="850"/>
          <w:tab w:val="clear" w:pos="1191"/>
          <w:tab w:val="clear" w:pos="1531"/>
        </w:tabs>
        <w:spacing w:before="240" w:after="240"/>
        <w:jc w:val="center"/>
        <w:rPr>
          <w:rFonts w:asciiTheme="minorHAnsi" w:hAnsiTheme="minorHAnsi"/>
          <w:b/>
          <w:lang w:eastAsia="en-GB"/>
        </w:rPr>
      </w:pPr>
      <w:r w:rsidRPr="00D6785F">
        <w:rPr>
          <w:rFonts w:asciiTheme="minorHAnsi" w:hAnsiTheme="minorHAnsi"/>
          <w:b/>
          <w:lang w:eastAsia="en-GB"/>
        </w:rPr>
        <w:t>Box 21: USA</w:t>
      </w:r>
      <w:r>
        <w:rPr>
          <w:rFonts w:asciiTheme="minorHAnsi" w:hAnsiTheme="minorHAnsi"/>
          <w:b/>
          <w:lang w:eastAsia="en-GB"/>
        </w:rPr>
        <w:t xml:space="preserve"> -</w:t>
      </w:r>
      <w:r w:rsidRPr="00447956">
        <w:rPr>
          <w:rFonts w:asciiTheme="minorHAnsi" w:hAnsiTheme="minorHAnsi"/>
          <w:b/>
          <w:lang w:eastAsia="en-GB"/>
        </w:rPr>
        <w:t xml:space="preserve"> Quarterly Performance Review</w:t>
      </w:r>
    </w:p>
    <w:p w:rsidR="00D6785F" w:rsidRPr="00F520AD" w:rsidRDefault="00D6785F" w:rsidP="00D6785F">
      <w:pPr>
        <w:pBdr>
          <w:top w:val="single" w:sz="4" w:space="1" w:color="auto"/>
          <w:left w:val="single" w:sz="4" w:space="4" w:color="auto"/>
          <w:bottom w:val="single" w:sz="4" w:space="13" w:color="auto"/>
          <w:right w:val="single" w:sz="4" w:space="4" w:color="auto"/>
        </w:pBdr>
        <w:tabs>
          <w:tab w:val="clear" w:pos="850"/>
          <w:tab w:val="clear" w:pos="1191"/>
          <w:tab w:val="clear" w:pos="1531"/>
        </w:tabs>
        <w:spacing w:after="120"/>
        <w:rPr>
          <w:rFonts w:asciiTheme="minorHAnsi" w:hAnsiTheme="minorHAnsi"/>
          <w:lang w:eastAsia="en-GB"/>
        </w:rPr>
      </w:pPr>
      <w:r w:rsidRPr="00F520AD">
        <w:rPr>
          <w:rFonts w:asciiTheme="minorHAnsi" w:hAnsiTheme="minorHAnsi"/>
          <w:lang w:eastAsia="en-GB"/>
        </w:rPr>
        <w:t>Another significant aspect of the US Government Performance and Results Modernization Act (2010) is that it requires formal routines for agency staff to discuss data. Agencies must hold quarterly reviews (sometimes called data-driven reviews) of progress on agency priorities and other significant goals. The COO is required to lead these reviews, and there is detailed discussion of progress on each goal by senior managers and the designated goal leader. The goal leader must track performance outcomes, understand why they rise and fall, and organize efforts for improvement.</w:t>
      </w:r>
    </w:p>
    <w:p w:rsidR="00D6785F" w:rsidRPr="00BB1095" w:rsidRDefault="00D6785F" w:rsidP="00D6785F">
      <w:pPr>
        <w:pBdr>
          <w:top w:val="single" w:sz="4" w:space="1" w:color="auto"/>
          <w:left w:val="single" w:sz="4" w:space="4" w:color="auto"/>
          <w:bottom w:val="single" w:sz="4" w:space="13" w:color="auto"/>
          <w:right w:val="single" w:sz="4" w:space="4" w:color="auto"/>
        </w:pBdr>
        <w:tabs>
          <w:tab w:val="clear" w:pos="850"/>
          <w:tab w:val="clear" w:pos="1191"/>
          <w:tab w:val="clear" w:pos="1531"/>
          <w:tab w:val="left" w:pos="567"/>
          <w:tab w:val="left" w:pos="851"/>
        </w:tabs>
        <w:spacing w:after="120"/>
        <w:ind w:left="567" w:hanging="567"/>
        <w:rPr>
          <w:rFonts w:asciiTheme="minorHAnsi" w:hAnsiTheme="minorHAnsi" w:cs="Arial"/>
          <w:lang w:eastAsia="en-GB"/>
        </w:rPr>
      </w:pPr>
      <w:r w:rsidRPr="00BB1095">
        <w:rPr>
          <w:rFonts w:asciiTheme="minorHAnsi" w:hAnsiTheme="minorHAnsi" w:cs="Arial"/>
          <w:lang w:eastAsia="en-GB"/>
        </w:rPr>
        <w:t>•</w:t>
      </w:r>
      <w:r>
        <w:rPr>
          <w:rFonts w:asciiTheme="minorHAnsi" w:hAnsiTheme="minorHAnsi" w:cs="Arial"/>
          <w:lang w:eastAsia="en-GB"/>
        </w:rPr>
        <w:tab/>
      </w:r>
      <w:r w:rsidRPr="00BB1095">
        <w:rPr>
          <w:rFonts w:asciiTheme="minorHAnsi" w:hAnsiTheme="minorHAnsi" w:cs="Arial"/>
          <w:lang w:eastAsia="en-GB"/>
        </w:rPr>
        <w:t>Review with the appropriate goal leader the progress achieved during the most recent quarter, overall trend data, and the likelihood of meeting the planned level of performance.</w:t>
      </w:r>
    </w:p>
    <w:p w:rsidR="00D6785F" w:rsidRPr="00BB1095" w:rsidRDefault="00D6785F" w:rsidP="00D6785F">
      <w:pPr>
        <w:pBdr>
          <w:top w:val="single" w:sz="4" w:space="1" w:color="auto"/>
          <w:left w:val="single" w:sz="4" w:space="4" w:color="auto"/>
          <w:bottom w:val="single" w:sz="4" w:space="13" w:color="auto"/>
          <w:right w:val="single" w:sz="4" w:space="4" w:color="auto"/>
        </w:pBdr>
        <w:tabs>
          <w:tab w:val="clear" w:pos="850"/>
          <w:tab w:val="clear" w:pos="1191"/>
          <w:tab w:val="clear" w:pos="1531"/>
          <w:tab w:val="left" w:pos="567"/>
          <w:tab w:val="left" w:pos="851"/>
        </w:tabs>
        <w:spacing w:after="120"/>
        <w:ind w:left="567" w:hanging="567"/>
        <w:rPr>
          <w:rFonts w:asciiTheme="minorHAnsi" w:hAnsiTheme="minorHAnsi" w:cs="Arial"/>
          <w:lang w:eastAsia="en-GB"/>
        </w:rPr>
      </w:pPr>
      <w:r w:rsidRPr="00BB1095">
        <w:rPr>
          <w:rFonts w:asciiTheme="minorHAnsi" w:hAnsiTheme="minorHAnsi" w:cs="Arial"/>
          <w:lang w:eastAsia="en-GB"/>
        </w:rPr>
        <w:t>•</w:t>
      </w:r>
      <w:r>
        <w:rPr>
          <w:rFonts w:asciiTheme="minorHAnsi" w:hAnsiTheme="minorHAnsi" w:cs="Arial"/>
          <w:lang w:eastAsia="en-GB"/>
        </w:rPr>
        <w:tab/>
      </w:r>
      <w:r w:rsidRPr="00BB1095">
        <w:rPr>
          <w:rFonts w:asciiTheme="minorHAnsi" w:hAnsiTheme="minorHAnsi" w:cs="Arial"/>
          <w:lang w:eastAsia="en-GB"/>
        </w:rPr>
        <w:t>Hold goal leaders accountable for knowing whether or not their performance indicators are trending in the right direction at a reasonable speed, and if they are not, for understanding why they are not and for having a plan to accelerate progress to the goal.</w:t>
      </w:r>
    </w:p>
    <w:p w:rsidR="00D6785F" w:rsidRPr="00BB1095" w:rsidRDefault="00D6785F" w:rsidP="00D6785F">
      <w:pPr>
        <w:pBdr>
          <w:top w:val="single" w:sz="4" w:space="1" w:color="auto"/>
          <w:left w:val="single" w:sz="4" w:space="4" w:color="auto"/>
          <w:bottom w:val="single" w:sz="4" w:space="13" w:color="auto"/>
          <w:right w:val="single" w:sz="4" w:space="4" w:color="auto"/>
        </w:pBdr>
        <w:tabs>
          <w:tab w:val="clear" w:pos="850"/>
          <w:tab w:val="clear" w:pos="1191"/>
          <w:tab w:val="clear" w:pos="1531"/>
          <w:tab w:val="left" w:pos="567"/>
          <w:tab w:val="left" w:pos="851"/>
        </w:tabs>
        <w:spacing w:after="120"/>
        <w:ind w:left="567" w:hanging="567"/>
        <w:rPr>
          <w:rFonts w:asciiTheme="minorHAnsi" w:hAnsiTheme="minorHAnsi" w:cs="Arial"/>
          <w:lang w:eastAsia="en-GB"/>
        </w:rPr>
      </w:pPr>
      <w:r w:rsidRPr="00BB1095">
        <w:rPr>
          <w:rFonts w:asciiTheme="minorHAnsi" w:hAnsiTheme="minorHAnsi" w:cs="Arial"/>
          <w:lang w:eastAsia="en-GB"/>
        </w:rPr>
        <w:t>•</w:t>
      </w:r>
      <w:r>
        <w:rPr>
          <w:rFonts w:asciiTheme="minorHAnsi" w:hAnsiTheme="minorHAnsi" w:cs="Arial"/>
          <w:lang w:eastAsia="en-GB"/>
        </w:rPr>
        <w:tab/>
      </w:r>
      <w:r w:rsidRPr="00BB1095">
        <w:rPr>
          <w:rFonts w:asciiTheme="minorHAnsi" w:hAnsiTheme="minorHAnsi" w:cs="Arial"/>
          <w:lang w:eastAsia="en-GB"/>
        </w:rPr>
        <w:t>Hold goal leaders accountable for knowing the quality of their data, for having a plan to improve it if</w:t>
      </w:r>
      <w:r w:rsidRPr="00F520AD">
        <w:rPr>
          <w:rFonts w:asciiTheme="minorHAnsi" w:hAnsiTheme="minorHAnsi" w:cs="Arial"/>
          <w:lang w:eastAsia="en-GB"/>
        </w:rPr>
        <w:t xml:space="preserve"> </w:t>
      </w:r>
      <w:r w:rsidRPr="00BB1095">
        <w:rPr>
          <w:rFonts w:asciiTheme="minorHAnsi" w:hAnsiTheme="minorHAnsi" w:cs="Arial"/>
          <w:lang w:eastAsia="en-GB"/>
        </w:rPr>
        <w:t>necessary, and for filling critical evidence or other information gaps.</w:t>
      </w:r>
    </w:p>
    <w:p w:rsidR="00D6785F" w:rsidRPr="00BB1095" w:rsidRDefault="00D6785F" w:rsidP="00D6785F">
      <w:pPr>
        <w:pBdr>
          <w:top w:val="single" w:sz="4" w:space="1" w:color="auto"/>
          <w:left w:val="single" w:sz="4" w:space="4" w:color="auto"/>
          <w:bottom w:val="single" w:sz="4" w:space="13" w:color="auto"/>
          <w:right w:val="single" w:sz="4" w:space="4" w:color="auto"/>
        </w:pBdr>
        <w:tabs>
          <w:tab w:val="clear" w:pos="850"/>
          <w:tab w:val="clear" w:pos="1191"/>
          <w:tab w:val="clear" w:pos="1531"/>
          <w:tab w:val="left" w:pos="567"/>
          <w:tab w:val="left" w:pos="851"/>
        </w:tabs>
        <w:spacing w:after="120"/>
        <w:ind w:left="567" w:hanging="567"/>
        <w:rPr>
          <w:rFonts w:asciiTheme="minorHAnsi" w:hAnsiTheme="minorHAnsi" w:cs="Arial"/>
          <w:lang w:eastAsia="en-GB"/>
        </w:rPr>
      </w:pPr>
      <w:r w:rsidRPr="00BB1095">
        <w:rPr>
          <w:rFonts w:asciiTheme="minorHAnsi" w:hAnsiTheme="minorHAnsi" w:cs="Arial"/>
          <w:lang w:eastAsia="en-GB"/>
        </w:rPr>
        <w:t>•</w:t>
      </w:r>
      <w:r>
        <w:rPr>
          <w:rFonts w:asciiTheme="minorHAnsi" w:hAnsiTheme="minorHAnsi" w:cs="Arial"/>
          <w:lang w:eastAsia="en-GB"/>
        </w:rPr>
        <w:tab/>
      </w:r>
      <w:r w:rsidRPr="00BB1095">
        <w:rPr>
          <w:rFonts w:asciiTheme="minorHAnsi" w:hAnsiTheme="minorHAnsi" w:cs="Arial"/>
          <w:lang w:eastAsia="en-GB"/>
        </w:rPr>
        <w:t xml:space="preserve">Hold goal leaders accountable for identifying effective practices by searching the literature, looking for benchmarks, and </w:t>
      </w:r>
      <w:proofErr w:type="spellStart"/>
      <w:r w:rsidRPr="00BB1095">
        <w:rPr>
          <w:rFonts w:asciiTheme="minorHAnsi" w:hAnsiTheme="minorHAnsi" w:cs="Arial"/>
          <w:lang w:eastAsia="en-GB"/>
        </w:rPr>
        <w:t>analyzing</w:t>
      </w:r>
      <w:proofErr w:type="spellEnd"/>
      <w:r w:rsidRPr="00BB1095">
        <w:rPr>
          <w:rFonts w:asciiTheme="minorHAnsi" w:hAnsiTheme="minorHAnsi" w:cs="Arial"/>
          <w:lang w:eastAsia="en-GB"/>
        </w:rPr>
        <w:t xml:space="preserve"> disaggregated data to find positive outliers among performance units.</w:t>
      </w:r>
    </w:p>
    <w:p w:rsidR="00D6785F" w:rsidRPr="00BB1095" w:rsidRDefault="00D6785F" w:rsidP="00D6785F">
      <w:pPr>
        <w:pBdr>
          <w:top w:val="single" w:sz="4" w:space="1" w:color="auto"/>
          <w:left w:val="single" w:sz="4" w:space="4" w:color="auto"/>
          <w:bottom w:val="single" w:sz="4" w:space="13" w:color="auto"/>
          <w:right w:val="single" w:sz="4" w:space="4" w:color="auto"/>
        </w:pBdr>
        <w:tabs>
          <w:tab w:val="clear" w:pos="850"/>
          <w:tab w:val="clear" w:pos="1191"/>
          <w:tab w:val="clear" w:pos="1531"/>
          <w:tab w:val="left" w:pos="567"/>
          <w:tab w:val="left" w:pos="851"/>
        </w:tabs>
        <w:spacing w:after="120"/>
        <w:ind w:left="567" w:hanging="567"/>
        <w:rPr>
          <w:rFonts w:asciiTheme="minorHAnsi" w:hAnsiTheme="minorHAnsi" w:cs="Arial"/>
          <w:lang w:eastAsia="en-GB"/>
        </w:rPr>
      </w:pPr>
      <w:r w:rsidRPr="00BB1095">
        <w:rPr>
          <w:rFonts w:asciiTheme="minorHAnsi" w:hAnsiTheme="minorHAnsi" w:cs="Arial"/>
          <w:lang w:eastAsia="en-GB"/>
        </w:rPr>
        <w:t>•</w:t>
      </w:r>
      <w:r>
        <w:rPr>
          <w:rFonts w:asciiTheme="minorHAnsi" w:hAnsiTheme="minorHAnsi" w:cs="Arial"/>
          <w:lang w:eastAsia="en-GB"/>
        </w:rPr>
        <w:tab/>
      </w:r>
      <w:r w:rsidRPr="00BB1095">
        <w:rPr>
          <w:rFonts w:asciiTheme="minorHAnsi" w:hAnsiTheme="minorHAnsi" w:cs="Arial"/>
          <w:lang w:eastAsia="en-GB"/>
        </w:rPr>
        <w:t>Hold goal leaders accountable for validating promising practices with replication demonstrations or other evidence-based methods.</w:t>
      </w:r>
    </w:p>
    <w:p w:rsidR="00D6785F" w:rsidRPr="00BB1095" w:rsidRDefault="00D6785F" w:rsidP="00D6785F">
      <w:pPr>
        <w:pBdr>
          <w:top w:val="single" w:sz="4" w:space="1" w:color="auto"/>
          <w:left w:val="single" w:sz="4" w:space="4" w:color="auto"/>
          <w:bottom w:val="single" w:sz="4" w:space="13" w:color="auto"/>
          <w:right w:val="single" w:sz="4" w:space="4" w:color="auto"/>
        </w:pBdr>
        <w:tabs>
          <w:tab w:val="clear" w:pos="850"/>
          <w:tab w:val="clear" w:pos="1191"/>
          <w:tab w:val="clear" w:pos="1531"/>
          <w:tab w:val="left" w:pos="567"/>
          <w:tab w:val="left" w:pos="851"/>
        </w:tabs>
        <w:spacing w:after="120"/>
        <w:ind w:left="567" w:hanging="567"/>
        <w:rPr>
          <w:rFonts w:asciiTheme="minorHAnsi" w:hAnsiTheme="minorHAnsi" w:cs="Arial"/>
          <w:lang w:eastAsia="en-GB"/>
        </w:rPr>
      </w:pPr>
      <w:r w:rsidRPr="00BB1095">
        <w:rPr>
          <w:rFonts w:asciiTheme="minorHAnsi" w:hAnsiTheme="minorHAnsi" w:cs="Arial"/>
          <w:lang w:eastAsia="en-GB"/>
        </w:rPr>
        <w:t>•</w:t>
      </w:r>
      <w:r>
        <w:rPr>
          <w:rFonts w:asciiTheme="minorHAnsi" w:hAnsiTheme="minorHAnsi" w:cs="Arial"/>
          <w:lang w:eastAsia="en-GB"/>
        </w:rPr>
        <w:tab/>
      </w:r>
      <w:r w:rsidRPr="00BB1095">
        <w:rPr>
          <w:rFonts w:asciiTheme="minorHAnsi" w:hAnsiTheme="minorHAnsi" w:cs="Arial"/>
          <w:lang w:eastAsia="en-GB"/>
        </w:rPr>
        <w:t>Review variations in performance trends across the organization and delivery partners, identify possible reasons for each variance, and understand whether the variance points to promising practices or problems needing more attention.</w:t>
      </w:r>
    </w:p>
    <w:p w:rsidR="00D6785F" w:rsidRPr="00BB1095" w:rsidRDefault="00D6785F" w:rsidP="00D6785F">
      <w:pPr>
        <w:pBdr>
          <w:top w:val="single" w:sz="4" w:space="1" w:color="auto"/>
          <w:left w:val="single" w:sz="4" w:space="4" w:color="auto"/>
          <w:bottom w:val="single" w:sz="4" w:space="13" w:color="auto"/>
          <w:right w:val="single" w:sz="4" w:space="4" w:color="auto"/>
        </w:pBdr>
        <w:tabs>
          <w:tab w:val="clear" w:pos="850"/>
          <w:tab w:val="clear" w:pos="1191"/>
          <w:tab w:val="clear" w:pos="1531"/>
          <w:tab w:val="left" w:pos="567"/>
          <w:tab w:val="left" w:pos="851"/>
        </w:tabs>
        <w:spacing w:after="120"/>
        <w:ind w:left="567" w:hanging="567"/>
        <w:rPr>
          <w:rFonts w:asciiTheme="minorHAnsi" w:hAnsiTheme="minorHAnsi" w:cs="Arial"/>
          <w:lang w:eastAsia="en-GB"/>
        </w:rPr>
      </w:pPr>
      <w:r w:rsidRPr="00BB1095">
        <w:rPr>
          <w:rFonts w:asciiTheme="minorHAnsi" w:hAnsiTheme="minorHAnsi" w:cs="Arial"/>
          <w:lang w:eastAsia="en-GB"/>
        </w:rPr>
        <w:t>•</w:t>
      </w:r>
      <w:r>
        <w:rPr>
          <w:rFonts w:asciiTheme="minorHAnsi" w:hAnsiTheme="minorHAnsi" w:cs="Arial"/>
          <w:lang w:eastAsia="en-GB"/>
        </w:rPr>
        <w:tab/>
      </w:r>
      <w:r w:rsidRPr="00BB1095">
        <w:rPr>
          <w:rFonts w:asciiTheme="minorHAnsi" w:hAnsiTheme="minorHAnsi" w:cs="Arial"/>
          <w:lang w:eastAsia="en-GB"/>
        </w:rPr>
        <w:t>Include evaluation staff to share and review perf</w:t>
      </w:r>
      <w:r w:rsidRPr="00F520AD">
        <w:rPr>
          <w:rFonts w:asciiTheme="minorHAnsi" w:hAnsiTheme="minorHAnsi" w:cs="Arial"/>
          <w:lang w:eastAsia="en-GB"/>
        </w:rPr>
        <w:t>o</w:t>
      </w:r>
      <w:r w:rsidRPr="00BB1095">
        <w:rPr>
          <w:rFonts w:asciiTheme="minorHAnsi" w:hAnsiTheme="minorHAnsi" w:cs="Arial"/>
          <w:lang w:eastAsia="en-GB"/>
        </w:rPr>
        <w:t>rmance information and evaluation findings; better understand performance issues that evaluation and research studies can help to address; and refine performance measures and indicators.</w:t>
      </w:r>
    </w:p>
    <w:p w:rsidR="00D6785F" w:rsidRPr="00447956" w:rsidRDefault="00D6785F" w:rsidP="00D6785F">
      <w:pPr>
        <w:pBdr>
          <w:top w:val="single" w:sz="4" w:space="1" w:color="auto"/>
          <w:left w:val="single" w:sz="4" w:space="4" w:color="auto"/>
          <w:bottom w:val="single" w:sz="4" w:space="13" w:color="auto"/>
          <w:right w:val="single" w:sz="4" w:space="4" w:color="auto"/>
        </w:pBdr>
        <w:tabs>
          <w:tab w:val="clear" w:pos="850"/>
          <w:tab w:val="clear" w:pos="1191"/>
          <w:tab w:val="clear" w:pos="1531"/>
          <w:tab w:val="left" w:pos="567"/>
          <w:tab w:val="left" w:pos="851"/>
        </w:tabs>
        <w:spacing w:after="120"/>
        <w:ind w:left="567" w:hanging="567"/>
        <w:rPr>
          <w:rFonts w:asciiTheme="minorHAnsi" w:hAnsiTheme="minorHAnsi" w:cs="Arial"/>
          <w:lang w:eastAsia="en-GB"/>
        </w:rPr>
      </w:pPr>
      <w:r w:rsidRPr="00BB1095">
        <w:rPr>
          <w:rFonts w:asciiTheme="minorHAnsi" w:hAnsiTheme="minorHAnsi" w:cs="Arial"/>
          <w:lang w:eastAsia="en-GB"/>
        </w:rPr>
        <w:t>•</w:t>
      </w:r>
      <w:r>
        <w:rPr>
          <w:rFonts w:asciiTheme="minorHAnsi" w:hAnsiTheme="minorHAnsi" w:cs="Arial"/>
          <w:lang w:eastAsia="en-GB"/>
        </w:rPr>
        <w:tab/>
      </w:r>
      <w:r w:rsidRPr="00447956">
        <w:rPr>
          <w:rFonts w:asciiTheme="minorHAnsi" w:hAnsiTheme="minorHAnsi" w:cs="Arial"/>
          <w:lang w:eastAsia="en-GB"/>
        </w:rPr>
        <w:t>Include, as appropriate, relevant personnel within and outside the agency who contribute to the accomplishment of each Agency Priority Goal (or other priority).</w:t>
      </w:r>
    </w:p>
    <w:p w:rsidR="00D6785F" w:rsidRPr="00447956" w:rsidRDefault="00D6785F" w:rsidP="00D6785F">
      <w:pPr>
        <w:pBdr>
          <w:top w:val="single" w:sz="4" w:space="1" w:color="auto"/>
          <w:left w:val="single" w:sz="4" w:space="4" w:color="auto"/>
          <w:bottom w:val="single" w:sz="4" w:space="13" w:color="auto"/>
          <w:right w:val="single" w:sz="4" w:space="4" w:color="auto"/>
        </w:pBdr>
        <w:tabs>
          <w:tab w:val="clear" w:pos="850"/>
          <w:tab w:val="clear" w:pos="1191"/>
          <w:tab w:val="clear" w:pos="1531"/>
          <w:tab w:val="left" w:pos="567"/>
          <w:tab w:val="left" w:pos="851"/>
        </w:tabs>
        <w:spacing w:after="120"/>
        <w:ind w:left="567" w:hanging="567"/>
        <w:rPr>
          <w:rFonts w:asciiTheme="minorHAnsi" w:hAnsiTheme="minorHAnsi" w:cs="Arial"/>
          <w:lang w:eastAsia="en-GB"/>
        </w:rPr>
      </w:pPr>
      <w:r w:rsidRPr="00BB1095">
        <w:rPr>
          <w:rFonts w:asciiTheme="minorHAnsi" w:hAnsiTheme="minorHAnsi" w:cs="Arial"/>
          <w:lang w:eastAsia="en-GB"/>
        </w:rPr>
        <w:t>•</w:t>
      </w:r>
      <w:r>
        <w:rPr>
          <w:rFonts w:asciiTheme="minorHAnsi" w:hAnsiTheme="minorHAnsi" w:cs="Arial"/>
          <w:lang w:eastAsia="en-GB"/>
        </w:rPr>
        <w:tab/>
      </w:r>
      <w:r w:rsidRPr="00447956">
        <w:rPr>
          <w:rFonts w:asciiTheme="minorHAnsi" w:hAnsiTheme="minorHAnsi" w:cs="Arial"/>
          <w:lang w:eastAsia="en-GB"/>
        </w:rPr>
        <w:t>Support the goal leaders in assuring other organizations and programs are contributing as expected to Agency Priority Goals (or other priorities).</w:t>
      </w:r>
    </w:p>
    <w:p w:rsidR="00D6785F" w:rsidRPr="00447956" w:rsidRDefault="00D6785F" w:rsidP="00D6785F">
      <w:pPr>
        <w:pBdr>
          <w:top w:val="single" w:sz="4" w:space="1" w:color="auto"/>
          <w:left w:val="single" w:sz="4" w:space="4" w:color="auto"/>
          <w:bottom w:val="single" w:sz="4" w:space="13" w:color="auto"/>
          <w:right w:val="single" w:sz="4" w:space="4" w:color="auto"/>
        </w:pBdr>
        <w:tabs>
          <w:tab w:val="clear" w:pos="850"/>
          <w:tab w:val="clear" w:pos="1191"/>
          <w:tab w:val="clear" w:pos="1531"/>
          <w:tab w:val="left" w:pos="567"/>
          <w:tab w:val="left" w:pos="851"/>
        </w:tabs>
        <w:spacing w:after="120"/>
        <w:ind w:left="567" w:hanging="567"/>
        <w:rPr>
          <w:rFonts w:asciiTheme="minorHAnsi" w:hAnsiTheme="minorHAnsi" w:cs="Arial"/>
          <w:lang w:eastAsia="en-GB"/>
        </w:rPr>
      </w:pPr>
      <w:r w:rsidRPr="00BB1095">
        <w:rPr>
          <w:rFonts w:asciiTheme="minorHAnsi" w:hAnsiTheme="minorHAnsi" w:cs="Arial"/>
          <w:lang w:eastAsia="en-GB"/>
        </w:rPr>
        <w:t>•</w:t>
      </w:r>
      <w:r>
        <w:rPr>
          <w:rFonts w:asciiTheme="minorHAnsi" w:hAnsiTheme="minorHAnsi" w:cs="Arial"/>
          <w:lang w:eastAsia="en-GB"/>
        </w:rPr>
        <w:tab/>
      </w:r>
      <w:r w:rsidRPr="00447956">
        <w:rPr>
          <w:rFonts w:asciiTheme="minorHAnsi" w:hAnsiTheme="minorHAnsi" w:cs="Arial"/>
          <w:lang w:eastAsia="en-GB"/>
        </w:rPr>
        <w:t>Identify Agency Priority Goals (or other priorities) at risk of not achieving the planned level of performance and work with goal leaders to identify strategies that support performance improvement.</w:t>
      </w:r>
    </w:p>
    <w:p w:rsidR="00D6785F" w:rsidRPr="00447956" w:rsidRDefault="00D6785F" w:rsidP="00D6785F">
      <w:pPr>
        <w:pBdr>
          <w:top w:val="single" w:sz="4" w:space="1" w:color="auto"/>
          <w:left w:val="single" w:sz="4" w:space="4" w:color="auto"/>
          <w:bottom w:val="single" w:sz="4" w:space="13" w:color="auto"/>
          <w:right w:val="single" w:sz="4" w:space="4" w:color="auto"/>
        </w:pBdr>
        <w:tabs>
          <w:tab w:val="clear" w:pos="850"/>
          <w:tab w:val="clear" w:pos="1191"/>
          <w:tab w:val="clear" w:pos="1531"/>
          <w:tab w:val="left" w:pos="567"/>
          <w:tab w:val="left" w:pos="851"/>
        </w:tabs>
        <w:spacing w:after="120"/>
        <w:ind w:left="567" w:hanging="567"/>
        <w:rPr>
          <w:rFonts w:asciiTheme="minorHAnsi" w:hAnsiTheme="minorHAnsi" w:cs="Arial"/>
          <w:lang w:eastAsia="en-GB"/>
        </w:rPr>
      </w:pPr>
      <w:r w:rsidRPr="00BB1095">
        <w:rPr>
          <w:rFonts w:asciiTheme="minorHAnsi" w:hAnsiTheme="minorHAnsi" w:cs="Arial"/>
          <w:lang w:eastAsia="en-GB"/>
        </w:rPr>
        <w:t>•</w:t>
      </w:r>
      <w:r>
        <w:rPr>
          <w:rFonts w:asciiTheme="minorHAnsi" w:hAnsiTheme="minorHAnsi" w:cs="Arial"/>
          <w:lang w:eastAsia="en-GB"/>
        </w:rPr>
        <w:tab/>
      </w:r>
      <w:r w:rsidRPr="00447956">
        <w:rPr>
          <w:rFonts w:asciiTheme="minorHAnsi" w:hAnsiTheme="minorHAnsi" w:cs="Arial"/>
          <w:lang w:eastAsia="en-GB"/>
        </w:rPr>
        <w:t>Encourage a meaningful dialogue around what works, what does not, and the best way to move forward on the organization’s top priorities, using a variety of appropriate analytical and evaluation methods.</w:t>
      </w:r>
    </w:p>
    <w:p w:rsidR="00D6785F" w:rsidRPr="00447956" w:rsidRDefault="00D6785F" w:rsidP="00D6785F">
      <w:pPr>
        <w:pBdr>
          <w:top w:val="single" w:sz="4" w:space="1" w:color="auto"/>
          <w:left w:val="single" w:sz="4" w:space="4" w:color="auto"/>
          <w:bottom w:val="single" w:sz="4" w:space="13" w:color="auto"/>
          <w:right w:val="single" w:sz="4" w:space="4" w:color="auto"/>
        </w:pBdr>
        <w:tabs>
          <w:tab w:val="clear" w:pos="850"/>
          <w:tab w:val="clear" w:pos="1191"/>
          <w:tab w:val="clear" w:pos="1531"/>
          <w:tab w:val="left" w:pos="567"/>
          <w:tab w:val="left" w:pos="851"/>
        </w:tabs>
        <w:spacing w:after="120"/>
        <w:ind w:left="567" w:hanging="567"/>
        <w:rPr>
          <w:rFonts w:asciiTheme="minorHAnsi" w:hAnsiTheme="minorHAnsi" w:cs="Arial"/>
          <w:lang w:eastAsia="en-GB"/>
        </w:rPr>
      </w:pPr>
      <w:r w:rsidRPr="00BB1095">
        <w:rPr>
          <w:rFonts w:asciiTheme="minorHAnsi" w:hAnsiTheme="minorHAnsi" w:cs="Arial"/>
          <w:lang w:eastAsia="en-GB"/>
        </w:rPr>
        <w:t>•</w:t>
      </w:r>
      <w:r>
        <w:rPr>
          <w:rFonts w:asciiTheme="minorHAnsi" w:hAnsiTheme="minorHAnsi" w:cs="Arial"/>
          <w:lang w:eastAsia="en-GB"/>
        </w:rPr>
        <w:tab/>
      </w:r>
      <w:r w:rsidRPr="00447956">
        <w:rPr>
          <w:rFonts w:asciiTheme="minorHAnsi" w:hAnsiTheme="minorHAnsi" w:cs="Arial"/>
          <w:lang w:eastAsia="en-GB"/>
        </w:rPr>
        <w:t>Establish an environment that promotes learning and sharing openly about successes and challenges.</w:t>
      </w:r>
    </w:p>
    <w:p w:rsidR="00D6785F" w:rsidRPr="00D6785F" w:rsidRDefault="00D6785F" w:rsidP="00D6785F">
      <w:pPr>
        <w:pBdr>
          <w:top w:val="single" w:sz="4" w:space="1" w:color="auto"/>
          <w:left w:val="single" w:sz="4" w:space="4" w:color="auto"/>
          <w:bottom w:val="single" w:sz="4" w:space="13" w:color="auto"/>
          <w:right w:val="single" w:sz="4" w:space="4" w:color="auto"/>
        </w:pBdr>
        <w:tabs>
          <w:tab w:val="clear" w:pos="1191"/>
          <w:tab w:val="clear" w:pos="1531"/>
          <w:tab w:val="left" w:pos="567"/>
        </w:tabs>
        <w:spacing w:after="120"/>
        <w:ind w:left="567" w:hanging="567"/>
        <w:rPr>
          <w:rFonts w:asciiTheme="minorHAnsi" w:hAnsiTheme="minorHAnsi" w:cs="Arial"/>
          <w:lang w:eastAsia="en-GB"/>
        </w:rPr>
      </w:pPr>
      <w:r w:rsidRPr="00BB1095">
        <w:rPr>
          <w:rFonts w:asciiTheme="minorHAnsi" w:hAnsiTheme="minorHAnsi" w:cs="Arial"/>
          <w:lang w:eastAsia="en-GB"/>
        </w:rPr>
        <w:t>•</w:t>
      </w:r>
      <w:r>
        <w:rPr>
          <w:rFonts w:asciiTheme="minorHAnsi" w:hAnsiTheme="minorHAnsi" w:cs="Arial"/>
          <w:lang w:eastAsia="en-GB"/>
        </w:rPr>
        <w:tab/>
      </w:r>
      <w:r w:rsidRPr="00447956">
        <w:rPr>
          <w:rFonts w:asciiTheme="minorHAnsi" w:hAnsiTheme="minorHAnsi" w:cs="Arial"/>
          <w:lang w:eastAsia="en-GB"/>
        </w:rPr>
        <w:t>Agree on follow-up actions at each meeting and track timely follow-through.</w:t>
      </w:r>
    </w:p>
    <w:p w:rsidR="00D6785F" w:rsidRDefault="00D6785F" w:rsidP="00D6785F">
      <w:pPr>
        <w:pBdr>
          <w:top w:val="single" w:sz="4" w:space="1" w:color="auto"/>
          <w:left w:val="single" w:sz="4" w:space="4" w:color="auto"/>
          <w:bottom w:val="single" w:sz="4" w:space="14" w:color="auto"/>
          <w:right w:val="single" w:sz="4" w:space="4" w:color="auto"/>
        </w:pBdr>
        <w:spacing w:before="120" w:after="240"/>
        <w:jc w:val="center"/>
        <w:rPr>
          <w:rFonts w:asciiTheme="minorHAnsi" w:hAnsiTheme="minorHAnsi"/>
          <w:b/>
        </w:rPr>
      </w:pPr>
      <w:r>
        <w:rPr>
          <w:rFonts w:asciiTheme="minorHAnsi" w:hAnsiTheme="minorHAnsi"/>
          <w:b/>
        </w:rPr>
        <w:lastRenderedPageBreak/>
        <w:t>Box 22</w:t>
      </w:r>
      <w:r w:rsidRPr="00B06A35">
        <w:rPr>
          <w:rFonts w:asciiTheme="minorHAnsi" w:hAnsiTheme="minorHAnsi"/>
          <w:b/>
        </w:rPr>
        <w:t>: New</w:t>
      </w:r>
      <w:r>
        <w:rPr>
          <w:rFonts w:asciiTheme="minorHAnsi" w:hAnsiTheme="minorHAnsi"/>
          <w:b/>
        </w:rPr>
        <w:t xml:space="preserve"> Zealand -</w:t>
      </w:r>
      <w:r w:rsidRPr="00A4255D">
        <w:rPr>
          <w:rFonts w:asciiTheme="minorHAnsi" w:hAnsiTheme="minorHAnsi"/>
          <w:b/>
        </w:rPr>
        <w:t xml:space="preserve"> Creating Incentives to Achieve Cross-cutting Goals</w:t>
      </w:r>
    </w:p>
    <w:p w:rsidR="00D6785F" w:rsidRPr="004D567C" w:rsidRDefault="00D6785F" w:rsidP="00D6785F">
      <w:pPr>
        <w:pBdr>
          <w:top w:val="single" w:sz="4" w:space="1" w:color="auto"/>
          <w:left w:val="single" w:sz="4" w:space="4" w:color="auto"/>
          <w:bottom w:val="single" w:sz="4" w:space="14" w:color="auto"/>
          <w:right w:val="single" w:sz="4" w:space="4" w:color="auto"/>
        </w:pBdr>
        <w:spacing w:before="240" w:after="240"/>
        <w:rPr>
          <w:rFonts w:asciiTheme="minorHAnsi" w:hAnsiTheme="minorHAnsi"/>
          <w:b/>
        </w:rPr>
      </w:pPr>
      <w:r w:rsidRPr="004D567C">
        <w:rPr>
          <w:rFonts w:asciiTheme="minorHAnsi" w:hAnsiTheme="minorHAnsi"/>
        </w:rPr>
        <w:t>Recent research from New Zealand shows that when it comes to tackling issues that cut across agency responsibilities holding public service executives collectively responsible for improvements is more effective than focus</w:t>
      </w:r>
      <w:r>
        <w:rPr>
          <w:rFonts w:asciiTheme="minorHAnsi" w:hAnsiTheme="minorHAnsi"/>
        </w:rPr>
        <w:t xml:space="preserve">ing on individual performance. </w:t>
      </w:r>
      <w:r w:rsidRPr="004D567C">
        <w:rPr>
          <w:rFonts w:asciiTheme="minorHAnsi" w:hAnsiTheme="minorHAnsi"/>
        </w:rPr>
        <w:t>From 2012 to 2017 New Zealand implemented a Better Public Service Results program, with ten key goals related to reducing welfare dependence, protecting vulnerable children, boosting skills and employment, reducing crime and improvin</w:t>
      </w:r>
      <w:r>
        <w:rPr>
          <w:rFonts w:asciiTheme="minorHAnsi" w:hAnsiTheme="minorHAnsi"/>
        </w:rPr>
        <w:t xml:space="preserve">g interaction with government. </w:t>
      </w:r>
      <w:r w:rsidRPr="004D567C">
        <w:rPr>
          <w:rFonts w:asciiTheme="minorHAnsi" w:hAnsiTheme="minorHAnsi"/>
        </w:rPr>
        <w:t>NZ’s experience shows that appointing a lead individual to each of five groups set up to pursue clearly articulated social outcome improvements put too much emphasis on the person in charge, resulting in weaker feelings of co</w:t>
      </w:r>
      <w:r>
        <w:rPr>
          <w:rFonts w:asciiTheme="minorHAnsi" w:hAnsiTheme="minorHAnsi"/>
        </w:rPr>
        <w:t>mmitment by other team members.</w:t>
      </w:r>
      <w:r w:rsidRPr="004D567C">
        <w:rPr>
          <w:rFonts w:asciiTheme="minorHAnsi" w:hAnsiTheme="minorHAnsi"/>
        </w:rPr>
        <w:t xml:space="preserve"> A shi</w:t>
      </w:r>
      <w:r>
        <w:rPr>
          <w:rFonts w:asciiTheme="minorHAnsi" w:hAnsiTheme="minorHAnsi"/>
        </w:rPr>
        <w:t>ft to collective responsibility </w:t>
      </w:r>
      <w:r w:rsidRPr="004D567C">
        <w:rPr>
          <w:rFonts w:asciiTheme="minorHAnsi" w:hAnsiTheme="minorHAnsi"/>
        </w:rPr>
        <w:t>— including the awarding of bon</w:t>
      </w:r>
      <w:r>
        <w:rPr>
          <w:rFonts w:asciiTheme="minorHAnsi" w:hAnsiTheme="minorHAnsi"/>
        </w:rPr>
        <w:t>uses based on collective effort </w:t>
      </w:r>
      <w:r w:rsidRPr="004D567C">
        <w:rPr>
          <w:rFonts w:asciiTheme="minorHAnsi" w:hAnsiTheme="minorHAnsi"/>
        </w:rPr>
        <w:t>— in theory made freeloading easier, but produced better outcomes, pushing staff to ensure the group achieved something of value.  On recent completion of the first five-year period there were dramatic improvements for all 10 results, despite s</w:t>
      </w:r>
      <w:r>
        <w:rPr>
          <w:rFonts w:asciiTheme="minorHAnsi" w:hAnsiTheme="minorHAnsi"/>
        </w:rPr>
        <w:t xml:space="preserve">ome targets not being reached. </w:t>
      </w:r>
      <w:r w:rsidRPr="004D567C">
        <w:rPr>
          <w:rFonts w:asciiTheme="minorHAnsi" w:hAnsiTheme="minorHAnsi"/>
        </w:rPr>
        <w:t>The number of infants not receiving vaccinations fell by two-thirds, for example. Other problems were cut in half, such as the number of children not enrolled in early childhood education and the number suffering from rheumatic fever.  40,000 fewer working age people received welfare payments over a three year period, thanks to more intensive and individualised case management and bureaucrats actively developing partnerships with local businesses.</w:t>
      </w:r>
    </w:p>
    <w:p w:rsidR="00447956" w:rsidRPr="00447956" w:rsidRDefault="00447956" w:rsidP="00447956">
      <w:pPr>
        <w:pBdr>
          <w:top w:val="single" w:sz="4" w:space="1" w:color="auto"/>
          <w:left w:val="single" w:sz="4" w:space="4" w:color="auto"/>
          <w:bottom w:val="single" w:sz="4" w:space="13" w:color="auto"/>
          <w:right w:val="single" w:sz="4" w:space="4" w:color="auto"/>
        </w:pBdr>
        <w:tabs>
          <w:tab w:val="clear" w:pos="1191"/>
          <w:tab w:val="clear" w:pos="1531"/>
          <w:tab w:val="left" w:pos="567"/>
        </w:tabs>
        <w:spacing w:after="120"/>
        <w:ind w:left="567" w:hanging="567"/>
        <w:rPr>
          <w:rFonts w:asciiTheme="minorHAnsi" w:hAnsiTheme="minorHAnsi" w:cs="Arial"/>
          <w:lang w:eastAsia="en-GB"/>
        </w:rPr>
      </w:pPr>
      <w:r w:rsidRPr="00447956">
        <w:rPr>
          <w:color w:val="1E63AE"/>
          <w:bdr w:val="single" w:sz="4" w:space="0" w:color="auto"/>
        </w:rPr>
        <w:br w:type="page"/>
      </w:r>
    </w:p>
    <w:p w:rsidR="00DC2C2F" w:rsidRPr="00DC2C2F" w:rsidRDefault="00DC2C2F" w:rsidP="00DC2C2F">
      <w:pPr>
        <w:pStyle w:val="Heading1"/>
        <w:rPr>
          <w:color w:val="1E63AE"/>
        </w:rPr>
      </w:pPr>
      <w:r>
        <w:rPr>
          <w:color w:val="1E63AE"/>
        </w:rPr>
        <w:lastRenderedPageBreak/>
        <w:t>Bibliography</w:t>
      </w:r>
    </w:p>
    <w:p w:rsidR="00DC2C2F" w:rsidRPr="00C73B89" w:rsidRDefault="00DC2C2F" w:rsidP="00DC2C2F">
      <w:pPr>
        <w:pStyle w:val="Biblio-Entry"/>
        <w:jc w:val="both"/>
        <w:rPr>
          <w:rFonts w:asciiTheme="minorHAnsi" w:hAnsiTheme="minorHAnsi"/>
        </w:rPr>
      </w:pPr>
      <w:proofErr w:type="gramStart"/>
      <w:r w:rsidRPr="00C73B89">
        <w:rPr>
          <w:rFonts w:asciiTheme="minorHAnsi" w:hAnsiTheme="minorHAnsi"/>
        </w:rPr>
        <w:t>Australian Government, Department of Finance and Deregulation.</w:t>
      </w:r>
      <w:proofErr w:type="gramEnd"/>
      <w:r w:rsidRPr="00C73B89">
        <w:rPr>
          <w:rFonts w:asciiTheme="minorHAnsi" w:hAnsiTheme="minorHAnsi"/>
        </w:rPr>
        <w:t xml:space="preserve"> 2012. Is Less </w:t>
      </w:r>
      <w:proofErr w:type="gramStart"/>
      <w:r w:rsidRPr="00C73B89">
        <w:rPr>
          <w:rFonts w:asciiTheme="minorHAnsi" w:hAnsiTheme="minorHAnsi"/>
        </w:rPr>
        <w:t>More</w:t>
      </w:r>
      <w:proofErr w:type="gramEnd"/>
      <w:r w:rsidRPr="00C73B89">
        <w:rPr>
          <w:rFonts w:asciiTheme="minorHAnsi" w:hAnsiTheme="minorHAnsi"/>
        </w:rPr>
        <w:t xml:space="preserve">? </w:t>
      </w:r>
      <w:proofErr w:type="gramStart"/>
      <w:r w:rsidRPr="00C73B89">
        <w:rPr>
          <w:rFonts w:asciiTheme="minorHAnsi" w:hAnsiTheme="minorHAnsi"/>
        </w:rPr>
        <w:t>Towards Better Commonwealth Performance.</w:t>
      </w:r>
      <w:proofErr w:type="gramEnd"/>
      <w:r w:rsidRPr="00C73B89">
        <w:rPr>
          <w:rFonts w:asciiTheme="minorHAnsi" w:hAnsiTheme="minorHAnsi"/>
        </w:rPr>
        <w:t xml:space="preserve"> Canberra: Commonwealth of Australia.</w:t>
      </w:r>
    </w:p>
    <w:p w:rsidR="00DC2C2F" w:rsidRPr="00C73B89" w:rsidRDefault="00DC2C2F" w:rsidP="00DC2C2F">
      <w:pPr>
        <w:pStyle w:val="Biblio-Entry"/>
        <w:jc w:val="both"/>
        <w:rPr>
          <w:rFonts w:asciiTheme="minorHAnsi" w:hAnsiTheme="minorHAnsi"/>
        </w:rPr>
      </w:pPr>
      <w:proofErr w:type="spellStart"/>
      <w:r w:rsidRPr="00C73B89">
        <w:rPr>
          <w:rFonts w:asciiTheme="minorHAnsi" w:hAnsiTheme="minorHAnsi"/>
        </w:rPr>
        <w:t>Behn</w:t>
      </w:r>
      <w:proofErr w:type="spellEnd"/>
      <w:r w:rsidRPr="00C73B89">
        <w:rPr>
          <w:rFonts w:asciiTheme="minorHAnsi" w:hAnsiTheme="minorHAnsi"/>
        </w:rPr>
        <w:t xml:space="preserve">, Robert. 2007. What All Mayors </w:t>
      </w:r>
      <w:proofErr w:type="gramStart"/>
      <w:r w:rsidRPr="00C73B89">
        <w:rPr>
          <w:rFonts w:asciiTheme="minorHAnsi" w:hAnsiTheme="minorHAnsi"/>
        </w:rPr>
        <w:t>Would</w:t>
      </w:r>
      <w:proofErr w:type="gramEnd"/>
      <w:r w:rsidRPr="00C73B89">
        <w:rPr>
          <w:rFonts w:asciiTheme="minorHAnsi" w:hAnsiTheme="minorHAnsi"/>
        </w:rPr>
        <w:t xml:space="preserve"> Like to Know about Baltimore’s </w:t>
      </w:r>
      <w:proofErr w:type="spellStart"/>
      <w:r w:rsidRPr="00C73B89">
        <w:rPr>
          <w:rFonts w:asciiTheme="minorHAnsi" w:hAnsiTheme="minorHAnsi"/>
        </w:rPr>
        <w:t>CitiState</w:t>
      </w:r>
      <w:proofErr w:type="spellEnd"/>
      <w:r w:rsidRPr="00C73B89">
        <w:rPr>
          <w:rFonts w:asciiTheme="minorHAnsi" w:hAnsiTheme="minorHAnsi"/>
        </w:rPr>
        <w:t xml:space="preserve"> Performance Strategy. Washington, DC: IBM </w:t>
      </w:r>
      <w:proofErr w:type="spellStart"/>
      <w:r w:rsidRPr="00C73B89">
        <w:rPr>
          <w:rFonts w:asciiTheme="minorHAnsi" w:hAnsiTheme="minorHAnsi"/>
        </w:rPr>
        <w:t>Center</w:t>
      </w:r>
      <w:proofErr w:type="spellEnd"/>
      <w:r w:rsidRPr="00C73B89">
        <w:rPr>
          <w:rFonts w:asciiTheme="minorHAnsi" w:hAnsiTheme="minorHAnsi"/>
        </w:rPr>
        <w:t xml:space="preserve"> for the Business of Government</w:t>
      </w:r>
    </w:p>
    <w:p w:rsidR="00DC2C2F" w:rsidRPr="00C73B89" w:rsidRDefault="00DC2C2F" w:rsidP="00DC2C2F">
      <w:pPr>
        <w:pStyle w:val="Biblio-Entry"/>
        <w:jc w:val="both"/>
        <w:rPr>
          <w:rFonts w:asciiTheme="minorHAnsi" w:hAnsiTheme="minorHAnsi"/>
        </w:rPr>
      </w:pPr>
      <w:r w:rsidRPr="00C73B89">
        <w:rPr>
          <w:rFonts w:asciiTheme="minorHAnsi" w:hAnsiTheme="minorHAnsi"/>
        </w:rPr>
        <w:t>Curristine, T. (2005a), “Performance Information in the Budget Process: Results of the OECD 2005 Questionnaire”, OECD Journal on Budgeting, 5(2)</w:t>
      </w:r>
    </w:p>
    <w:p w:rsidR="00DC2C2F" w:rsidRPr="00C73B89" w:rsidRDefault="00DC2C2F" w:rsidP="00DC2C2F">
      <w:pPr>
        <w:pStyle w:val="Biblio-Entry"/>
        <w:jc w:val="both"/>
        <w:rPr>
          <w:rFonts w:asciiTheme="minorHAnsi" w:hAnsiTheme="minorHAnsi"/>
        </w:rPr>
      </w:pPr>
      <w:r w:rsidRPr="00C73B89">
        <w:rPr>
          <w:rFonts w:asciiTheme="minorHAnsi" w:hAnsiTheme="minorHAnsi"/>
        </w:rPr>
        <w:t>Curristine, T. (2005b), “Government Performance: Lessons and Challenges”, OECD Journal on Budgeting, 5(1)</w:t>
      </w:r>
    </w:p>
    <w:p w:rsidR="00DC2C2F" w:rsidRPr="00C73B89" w:rsidRDefault="00DC2C2F" w:rsidP="00DC2C2F">
      <w:pPr>
        <w:pStyle w:val="Biblio-Entry"/>
        <w:jc w:val="both"/>
        <w:rPr>
          <w:rFonts w:asciiTheme="minorHAnsi" w:hAnsiTheme="minorHAnsi"/>
        </w:rPr>
      </w:pPr>
      <w:proofErr w:type="gramStart"/>
      <w:r w:rsidRPr="00C73B89">
        <w:rPr>
          <w:rFonts w:asciiTheme="minorHAnsi" w:hAnsiTheme="minorHAnsi"/>
        </w:rPr>
        <w:t xml:space="preserve">De Jong, M., I. Van </w:t>
      </w:r>
      <w:proofErr w:type="spellStart"/>
      <w:r w:rsidRPr="00C73B89">
        <w:rPr>
          <w:rFonts w:asciiTheme="minorHAnsi" w:hAnsiTheme="minorHAnsi"/>
        </w:rPr>
        <w:t>Beek</w:t>
      </w:r>
      <w:proofErr w:type="spellEnd"/>
      <w:r w:rsidRPr="00C73B89">
        <w:rPr>
          <w:rFonts w:asciiTheme="minorHAnsi" w:hAnsiTheme="minorHAnsi"/>
        </w:rPr>
        <w:t xml:space="preserve">, and R. </w:t>
      </w:r>
      <w:proofErr w:type="spellStart"/>
      <w:r w:rsidRPr="00C73B89">
        <w:rPr>
          <w:rFonts w:asciiTheme="minorHAnsi" w:hAnsiTheme="minorHAnsi"/>
        </w:rPr>
        <w:t>Posthumus</w:t>
      </w:r>
      <w:proofErr w:type="spellEnd"/>
      <w:r w:rsidRPr="00C73B89">
        <w:rPr>
          <w:rFonts w:asciiTheme="minorHAnsi" w:hAnsiTheme="minorHAnsi"/>
        </w:rPr>
        <w:t>.</w:t>
      </w:r>
      <w:proofErr w:type="gramEnd"/>
      <w:r w:rsidRPr="00C73B89">
        <w:rPr>
          <w:rFonts w:asciiTheme="minorHAnsi" w:hAnsiTheme="minorHAnsi"/>
        </w:rPr>
        <w:t xml:space="preserve"> “Introducing Accountable Budgeting: Lessons from a Decade of Performance-based Budgeting in the Netherlands.” OECD (2016b),</w:t>
      </w:r>
    </w:p>
    <w:p w:rsidR="00DC2C2F" w:rsidRPr="00C73B89" w:rsidRDefault="00DC2C2F" w:rsidP="00DC2C2F">
      <w:pPr>
        <w:pStyle w:val="Biblio-Entry"/>
        <w:jc w:val="both"/>
        <w:rPr>
          <w:rFonts w:asciiTheme="minorHAnsi" w:hAnsiTheme="minorHAnsi"/>
          <w:lang w:val="fr-FR"/>
        </w:rPr>
      </w:pPr>
      <w:r w:rsidRPr="00C73B89">
        <w:rPr>
          <w:rFonts w:asciiTheme="minorHAnsi" w:hAnsiTheme="minorHAnsi"/>
        </w:rPr>
        <w:t xml:space="preserve">France: Ministry of Finance website on performance (managed by the Budget Directorate). </w:t>
      </w:r>
      <w:r w:rsidRPr="00C73B89">
        <w:rPr>
          <w:rFonts w:asciiTheme="minorHAnsi" w:hAnsiTheme="minorHAnsi"/>
          <w:lang w:val="fr-FR"/>
        </w:rPr>
        <w:t xml:space="preserve">2015. </w:t>
      </w:r>
      <w:proofErr w:type="spellStart"/>
      <w:r w:rsidRPr="00C73B89">
        <w:rPr>
          <w:rFonts w:asciiTheme="minorHAnsi" w:hAnsiTheme="minorHAnsi"/>
          <w:lang w:val="fr-FR"/>
        </w:rPr>
        <w:t>Some</w:t>
      </w:r>
      <w:proofErr w:type="spellEnd"/>
      <w:r w:rsidRPr="00C73B89">
        <w:rPr>
          <w:rFonts w:asciiTheme="minorHAnsi" w:hAnsiTheme="minorHAnsi"/>
          <w:lang w:val="fr-FR"/>
        </w:rPr>
        <w:t xml:space="preserve"> documents in English. www.performance.gouv.fr. http://www.performance -publique.budget.gouv.fr/ressources-documentaires/documentation-en-anglais# .VKAt6ACk</w:t>
      </w:r>
    </w:p>
    <w:p w:rsidR="00DC2C2F" w:rsidRPr="00C73B89" w:rsidRDefault="00DC2C2F" w:rsidP="00DC2C2F">
      <w:pPr>
        <w:pStyle w:val="Biblio-Entry"/>
        <w:jc w:val="both"/>
        <w:rPr>
          <w:rFonts w:asciiTheme="minorHAnsi" w:hAnsiTheme="minorHAnsi"/>
        </w:rPr>
      </w:pPr>
      <w:proofErr w:type="spellStart"/>
      <w:proofErr w:type="gramStart"/>
      <w:r w:rsidRPr="00C73B89">
        <w:rPr>
          <w:rFonts w:asciiTheme="minorHAnsi" w:hAnsiTheme="minorHAnsi"/>
        </w:rPr>
        <w:t>CA.Gilmour</w:t>
      </w:r>
      <w:proofErr w:type="spellEnd"/>
      <w:r w:rsidRPr="00C73B89">
        <w:rPr>
          <w:rFonts w:asciiTheme="minorHAnsi" w:hAnsiTheme="minorHAnsi"/>
        </w:rPr>
        <w:t>, John B. 2006.</w:t>
      </w:r>
      <w:proofErr w:type="gramEnd"/>
      <w:r w:rsidRPr="00C73B89">
        <w:rPr>
          <w:rFonts w:asciiTheme="minorHAnsi" w:hAnsiTheme="minorHAnsi"/>
        </w:rPr>
        <w:t xml:space="preserve"> Implementing OMB’s </w:t>
      </w:r>
      <w:r w:rsidR="00DA0272">
        <w:rPr>
          <w:rFonts w:asciiTheme="minorHAnsi" w:hAnsiTheme="minorHAnsi"/>
        </w:rPr>
        <w:t xml:space="preserve">Programme </w:t>
      </w:r>
      <w:r w:rsidRPr="00C73B89">
        <w:rPr>
          <w:rFonts w:asciiTheme="minorHAnsi" w:hAnsiTheme="minorHAnsi"/>
        </w:rPr>
        <w:t xml:space="preserve">Assessment Rating Tool (PART): Meeting the Challenges of Integrating Budget and Performance. Washington, DC: IBM </w:t>
      </w:r>
      <w:proofErr w:type="spellStart"/>
      <w:r w:rsidRPr="00C73B89">
        <w:rPr>
          <w:rFonts w:asciiTheme="minorHAnsi" w:hAnsiTheme="minorHAnsi"/>
        </w:rPr>
        <w:t>Center</w:t>
      </w:r>
      <w:proofErr w:type="spellEnd"/>
      <w:r w:rsidRPr="00C73B89">
        <w:rPr>
          <w:rFonts w:asciiTheme="minorHAnsi" w:hAnsiTheme="minorHAnsi"/>
        </w:rPr>
        <w:t xml:space="preserve"> for the Business of Government.</w:t>
      </w:r>
    </w:p>
    <w:p w:rsidR="00DC2C2F" w:rsidRPr="00C73B89" w:rsidRDefault="00DC2C2F" w:rsidP="00DC2C2F">
      <w:pPr>
        <w:pStyle w:val="Biblio-Entry"/>
        <w:jc w:val="both"/>
        <w:rPr>
          <w:rFonts w:asciiTheme="minorHAnsi" w:hAnsiTheme="minorHAnsi"/>
        </w:rPr>
      </w:pPr>
      <w:r w:rsidRPr="00C73B89">
        <w:rPr>
          <w:rFonts w:asciiTheme="minorHAnsi" w:hAnsiTheme="minorHAnsi"/>
        </w:rPr>
        <w:t xml:space="preserve">Hawke, Lewis. 2007. “Performance Budgeting in Australia.” </w:t>
      </w:r>
      <w:proofErr w:type="gramStart"/>
      <w:r w:rsidRPr="00C73B89">
        <w:rPr>
          <w:rFonts w:asciiTheme="minorHAnsi" w:hAnsiTheme="minorHAnsi"/>
        </w:rPr>
        <w:t>OECD Journal on Budgeting 7 (3).</w:t>
      </w:r>
      <w:proofErr w:type="gramEnd"/>
      <w:r w:rsidRPr="00C73B89">
        <w:rPr>
          <w:rFonts w:asciiTheme="minorHAnsi" w:hAnsiTheme="minorHAnsi"/>
        </w:rPr>
        <w:t xml:space="preserve"> </w:t>
      </w:r>
      <w:hyperlink r:id="rId32" w:history="1">
        <w:r w:rsidRPr="00C73B89">
          <w:rPr>
            <w:rStyle w:val="Hyperlink"/>
            <w:rFonts w:asciiTheme="minorHAnsi" w:hAnsiTheme="minorHAnsi"/>
          </w:rPr>
          <w:t>http://www.oecd.org/australia/43411866.pdf</w:t>
        </w:r>
      </w:hyperlink>
      <w:r w:rsidRPr="00C73B89">
        <w:rPr>
          <w:rFonts w:asciiTheme="minorHAnsi" w:hAnsiTheme="minorHAnsi"/>
        </w:rPr>
        <w:t>.</w:t>
      </w:r>
    </w:p>
    <w:p w:rsidR="00DC2C2F" w:rsidRPr="00C73B89" w:rsidRDefault="00DC2C2F" w:rsidP="00DC2C2F">
      <w:pPr>
        <w:pStyle w:val="Biblio-Entry"/>
        <w:jc w:val="both"/>
        <w:rPr>
          <w:rFonts w:asciiTheme="minorHAnsi" w:hAnsiTheme="minorHAnsi"/>
        </w:rPr>
      </w:pPr>
      <w:r w:rsidRPr="00C73B89">
        <w:rPr>
          <w:rFonts w:asciiTheme="minorHAnsi" w:hAnsiTheme="minorHAnsi"/>
        </w:rPr>
        <w:t xml:space="preserve">Kroll, Alexander. 2015. “Drivers of Performance Information Use: Systematic Literature Review and Directions for Future Research.” Public Performance and Management Review 38 (3): 459–86. </w:t>
      </w:r>
    </w:p>
    <w:p w:rsidR="00DC2C2F" w:rsidRPr="00E44167" w:rsidRDefault="00DC2C2F" w:rsidP="00DC2C2F">
      <w:pPr>
        <w:pStyle w:val="Biblio-Entry"/>
        <w:jc w:val="both"/>
        <w:rPr>
          <w:rFonts w:asciiTheme="minorHAnsi" w:hAnsiTheme="minorHAnsi"/>
          <w:lang w:val="fr-FR"/>
        </w:rPr>
      </w:pPr>
      <w:proofErr w:type="gramStart"/>
      <w:r w:rsidRPr="00C73B89">
        <w:rPr>
          <w:rFonts w:asciiTheme="minorHAnsi" w:hAnsiTheme="minorHAnsi"/>
        </w:rPr>
        <w:t>Kroll, Alexander, and Donald P. Moynihan.</w:t>
      </w:r>
      <w:proofErr w:type="gramEnd"/>
      <w:r w:rsidRPr="00C73B89">
        <w:rPr>
          <w:rFonts w:asciiTheme="minorHAnsi" w:hAnsiTheme="minorHAnsi"/>
        </w:rPr>
        <w:t xml:space="preserve"> 2015. “Does Training Matter: Evidence from Performance Management Reforms.” </w:t>
      </w:r>
      <w:r w:rsidRPr="00E44167">
        <w:rPr>
          <w:rFonts w:asciiTheme="minorHAnsi" w:hAnsiTheme="minorHAnsi"/>
          <w:lang w:val="fr-FR"/>
        </w:rPr>
        <w:t xml:space="preserve">Public Administration </w:t>
      </w:r>
      <w:proofErr w:type="spellStart"/>
      <w:r w:rsidRPr="00E44167">
        <w:rPr>
          <w:rFonts w:asciiTheme="minorHAnsi" w:hAnsiTheme="minorHAnsi"/>
          <w:lang w:val="fr-FR"/>
        </w:rPr>
        <w:t>Review</w:t>
      </w:r>
      <w:proofErr w:type="spellEnd"/>
      <w:r w:rsidRPr="00E44167">
        <w:rPr>
          <w:rFonts w:asciiTheme="minorHAnsi" w:hAnsiTheme="minorHAnsi"/>
          <w:lang w:val="fr-FR"/>
        </w:rPr>
        <w:t xml:space="preserve"> 75 (3): 411–20.</w:t>
      </w:r>
    </w:p>
    <w:p w:rsidR="00DC2C2F" w:rsidRPr="00C73B89" w:rsidRDefault="00DC2C2F" w:rsidP="00DC2C2F">
      <w:pPr>
        <w:pStyle w:val="Biblio-Entry"/>
        <w:jc w:val="both"/>
        <w:rPr>
          <w:rFonts w:asciiTheme="minorHAnsi" w:hAnsiTheme="minorHAnsi"/>
        </w:rPr>
      </w:pPr>
      <w:r w:rsidRPr="00E44167">
        <w:rPr>
          <w:rFonts w:asciiTheme="minorHAnsi" w:hAnsiTheme="minorHAnsi"/>
          <w:lang w:val="fr-FR"/>
        </w:rPr>
        <w:t xml:space="preserve">Mordacq, Frank. 2011. </w:t>
      </w:r>
      <w:r w:rsidRPr="00C73B89">
        <w:rPr>
          <w:rFonts w:asciiTheme="minorHAnsi" w:hAnsiTheme="minorHAnsi"/>
          <w:lang w:val="fr-FR"/>
        </w:rPr>
        <w:t>“Premier bilan de la LOLF 5 ans après sa mise en œuvre.” Revue Française de Finances Publiques, numéro 116, Mordacq, Frank. 2006. La LOLF: un nouveau cadre pour réformer l’</w:t>
      </w:r>
      <w:proofErr w:type="spellStart"/>
      <w:r w:rsidRPr="00C73B89">
        <w:rPr>
          <w:rFonts w:asciiTheme="minorHAnsi" w:hAnsiTheme="minorHAnsi"/>
          <w:lang w:val="fr-FR"/>
        </w:rPr>
        <w:t>Etat</w:t>
      </w:r>
      <w:proofErr w:type="spellEnd"/>
      <w:r w:rsidRPr="00C73B89">
        <w:rPr>
          <w:rFonts w:asciiTheme="minorHAnsi" w:hAnsiTheme="minorHAnsi"/>
          <w:lang w:val="fr-FR"/>
        </w:rPr>
        <w:t xml:space="preserve">. </w:t>
      </w:r>
      <w:r w:rsidRPr="00C73B89">
        <w:rPr>
          <w:rFonts w:asciiTheme="minorHAnsi" w:hAnsiTheme="minorHAnsi"/>
        </w:rPr>
        <w:t xml:space="preserve">Paris: LGDJ, </w:t>
      </w:r>
      <w:proofErr w:type="spellStart"/>
      <w:r w:rsidRPr="00C73B89">
        <w:rPr>
          <w:rFonts w:asciiTheme="minorHAnsi" w:hAnsiTheme="minorHAnsi"/>
        </w:rPr>
        <w:t>Lextenso</w:t>
      </w:r>
      <w:proofErr w:type="spellEnd"/>
      <w:r w:rsidRPr="00C73B89">
        <w:rPr>
          <w:rFonts w:asciiTheme="minorHAnsi" w:hAnsiTheme="minorHAnsi"/>
        </w:rPr>
        <w:t xml:space="preserve"> Editions.</w:t>
      </w:r>
    </w:p>
    <w:p w:rsidR="00DC2C2F" w:rsidRPr="00C73B89" w:rsidRDefault="00DC2C2F" w:rsidP="00DC2C2F">
      <w:pPr>
        <w:pStyle w:val="Biblio-Entry"/>
        <w:jc w:val="both"/>
        <w:rPr>
          <w:rFonts w:asciiTheme="minorHAnsi" w:hAnsiTheme="minorHAnsi"/>
        </w:rPr>
      </w:pPr>
      <w:proofErr w:type="gramStart"/>
      <w:r w:rsidRPr="00C73B89">
        <w:rPr>
          <w:rFonts w:asciiTheme="minorHAnsi" w:hAnsiTheme="minorHAnsi"/>
        </w:rPr>
        <w:t>Moynihan, Donald P., and Alexander Kroll.</w:t>
      </w:r>
      <w:proofErr w:type="gramEnd"/>
      <w:r w:rsidRPr="00C73B89">
        <w:rPr>
          <w:rFonts w:asciiTheme="minorHAnsi" w:hAnsiTheme="minorHAnsi"/>
        </w:rPr>
        <w:t xml:space="preserve"> 2016. “Performance Management Routines that Work: An Early Assessment of the GPRA Modernization Act.” Public Administration Review 76 (2): 314–23. </w:t>
      </w:r>
    </w:p>
    <w:p w:rsidR="00DC2C2F" w:rsidRPr="00C73B89" w:rsidRDefault="00DC2C2F" w:rsidP="00DC2C2F">
      <w:pPr>
        <w:pStyle w:val="Biblio-Entry"/>
        <w:jc w:val="both"/>
        <w:rPr>
          <w:rFonts w:asciiTheme="minorHAnsi" w:hAnsiTheme="minorHAnsi"/>
        </w:rPr>
      </w:pPr>
      <w:proofErr w:type="gramStart"/>
      <w:r w:rsidRPr="00C73B89">
        <w:rPr>
          <w:rFonts w:asciiTheme="minorHAnsi" w:hAnsiTheme="minorHAnsi"/>
        </w:rPr>
        <w:t xml:space="preserve">Moynihan, Donald P., and Stéphane </w:t>
      </w:r>
      <w:proofErr w:type="spellStart"/>
      <w:r w:rsidRPr="00C73B89">
        <w:rPr>
          <w:rFonts w:asciiTheme="minorHAnsi" w:hAnsiTheme="minorHAnsi"/>
        </w:rPr>
        <w:t>Lavertu</w:t>
      </w:r>
      <w:proofErr w:type="spellEnd"/>
      <w:r w:rsidRPr="00C73B89">
        <w:rPr>
          <w:rFonts w:asciiTheme="minorHAnsi" w:hAnsiTheme="minorHAnsi"/>
        </w:rPr>
        <w:t>.</w:t>
      </w:r>
      <w:proofErr w:type="gramEnd"/>
      <w:r w:rsidRPr="00C73B89">
        <w:rPr>
          <w:rFonts w:asciiTheme="minorHAnsi" w:hAnsiTheme="minorHAnsi"/>
        </w:rPr>
        <w:t xml:space="preserve"> 2012. “Does Involvement in Performance Reforms Encourage Performance Information Use? </w:t>
      </w:r>
      <w:proofErr w:type="gramStart"/>
      <w:r w:rsidRPr="00C73B89">
        <w:rPr>
          <w:rFonts w:asciiTheme="minorHAnsi" w:hAnsiTheme="minorHAnsi"/>
        </w:rPr>
        <w:t>Evaluating GPRA and PART.”</w:t>
      </w:r>
      <w:proofErr w:type="gramEnd"/>
      <w:r w:rsidRPr="00C73B89">
        <w:rPr>
          <w:rFonts w:asciiTheme="minorHAnsi" w:hAnsiTheme="minorHAnsi"/>
        </w:rPr>
        <w:t xml:space="preserve"> Public Administration Review 72 (4): 592–602.</w:t>
      </w:r>
    </w:p>
    <w:p w:rsidR="00DC2C2F" w:rsidRPr="00C73B89" w:rsidRDefault="00DC2C2F" w:rsidP="00DC2C2F">
      <w:pPr>
        <w:pStyle w:val="Biblio-Entry"/>
        <w:jc w:val="both"/>
        <w:rPr>
          <w:rFonts w:asciiTheme="minorHAnsi" w:hAnsiTheme="minorHAnsi"/>
        </w:rPr>
      </w:pPr>
      <w:r w:rsidRPr="00C73B89">
        <w:rPr>
          <w:rFonts w:asciiTheme="minorHAnsi" w:hAnsiTheme="minorHAnsi"/>
        </w:rPr>
        <w:t>Moynihan D, Beazley I, Toward Next Generation Performance Budgeting, World Bank, 2016</w:t>
      </w:r>
    </w:p>
    <w:p w:rsidR="00DC2C2F" w:rsidRPr="00C73B89" w:rsidRDefault="00DC2C2F" w:rsidP="00DC2C2F">
      <w:pPr>
        <w:pStyle w:val="Biblio-Entry"/>
        <w:jc w:val="both"/>
        <w:rPr>
          <w:rFonts w:asciiTheme="minorHAnsi" w:hAnsiTheme="minorHAnsi"/>
        </w:rPr>
      </w:pPr>
      <w:proofErr w:type="gramStart"/>
      <w:r w:rsidRPr="00C73B89">
        <w:rPr>
          <w:rFonts w:asciiTheme="minorHAnsi" w:hAnsiTheme="minorHAnsi"/>
        </w:rPr>
        <w:t>OECD.</w:t>
      </w:r>
      <w:proofErr w:type="gramEnd"/>
      <w:r w:rsidRPr="00C73B89">
        <w:rPr>
          <w:rFonts w:asciiTheme="minorHAnsi" w:hAnsiTheme="minorHAnsi"/>
        </w:rPr>
        <w:t xml:space="preserve"> 2008. Performance Budgeting: A User’s Guide</w:t>
      </w:r>
    </w:p>
    <w:p w:rsidR="00DC2C2F" w:rsidRPr="00C73B89" w:rsidRDefault="00DC2C2F" w:rsidP="00DC2C2F">
      <w:pPr>
        <w:pStyle w:val="Biblio-Entry"/>
        <w:jc w:val="both"/>
        <w:rPr>
          <w:rFonts w:asciiTheme="minorHAnsi" w:hAnsiTheme="minorHAnsi"/>
        </w:rPr>
      </w:pPr>
      <w:r w:rsidRPr="00C73B89">
        <w:rPr>
          <w:rFonts w:asciiTheme="minorHAnsi" w:hAnsiTheme="minorHAnsi"/>
        </w:rPr>
        <w:lastRenderedPageBreak/>
        <w:t>OECD (2014a) Budgeting Practices and Procedures in OECD Countries</w:t>
      </w:r>
    </w:p>
    <w:p w:rsidR="00DC2C2F" w:rsidRPr="00C73B89" w:rsidRDefault="00DC2C2F" w:rsidP="00DC2C2F">
      <w:pPr>
        <w:pStyle w:val="Biblio-Entry"/>
        <w:jc w:val="both"/>
        <w:rPr>
          <w:rFonts w:asciiTheme="minorHAnsi" w:hAnsiTheme="minorHAnsi"/>
        </w:rPr>
      </w:pPr>
      <w:r w:rsidRPr="00C73B89">
        <w:rPr>
          <w:rFonts w:asciiTheme="minorHAnsi" w:hAnsiTheme="minorHAnsi"/>
        </w:rPr>
        <w:t xml:space="preserve">OECD (2015e), Recommendation of the Council on Budgetary Governance </w:t>
      </w:r>
    </w:p>
    <w:p w:rsidR="00DC2C2F" w:rsidRPr="00C73B89" w:rsidRDefault="00DC2C2F" w:rsidP="00DC2C2F">
      <w:pPr>
        <w:pStyle w:val="Biblio-Entry"/>
        <w:jc w:val="both"/>
        <w:rPr>
          <w:rFonts w:asciiTheme="minorHAnsi" w:hAnsiTheme="minorHAnsi"/>
        </w:rPr>
      </w:pPr>
      <w:r w:rsidRPr="00C73B89">
        <w:rPr>
          <w:rFonts w:asciiTheme="minorHAnsi" w:hAnsiTheme="minorHAnsi"/>
        </w:rPr>
        <w:t>OECD Journal on Budgeting (2016/3), Review of budget oversight by parliament: Ireland</w:t>
      </w:r>
    </w:p>
    <w:p w:rsidR="00DC2C2F" w:rsidRPr="00C73B89" w:rsidRDefault="00DC2C2F" w:rsidP="00DC2C2F">
      <w:pPr>
        <w:pStyle w:val="Biblio-Entry"/>
        <w:jc w:val="both"/>
        <w:rPr>
          <w:rFonts w:asciiTheme="minorHAnsi" w:hAnsiTheme="minorHAnsi"/>
        </w:rPr>
      </w:pPr>
      <w:r w:rsidRPr="00C73B89">
        <w:rPr>
          <w:rFonts w:asciiTheme="minorHAnsi" w:hAnsiTheme="minorHAnsi"/>
        </w:rPr>
        <w:t>OECD International Performance Budgeting Database</w:t>
      </w:r>
    </w:p>
    <w:p w:rsidR="00DC2C2F" w:rsidRPr="00C73B89" w:rsidRDefault="00DC2C2F" w:rsidP="00DC2C2F">
      <w:pPr>
        <w:pStyle w:val="Biblio-Entry"/>
        <w:jc w:val="both"/>
        <w:rPr>
          <w:rFonts w:asciiTheme="minorHAnsi" w:hAnsiTheme="minorHAnsi"/>
        </w:rPr>
      </w:pPr>
      <w:r w:rsidRPr="00C73B89">
        <w:rPr>
          <w:rFonts w:asciiTheme="minorHAnsi" w:hAnsiTheme="minorHAnsi"/>
        </w:rPr>
        <w:t>OECD (2017), Performance Budgeting, Evaluation and Spending Review in OECD Countries</w:t>
      </w:r>
    </w:p>
    <w:p w:rsidR="00DC2C2F" w:rsidRPr="00C73B89" w:rsidRDefault="00DC2C2F" w:rsidP="00DC2C2F">
      <w:pPr>
        <w:pStyle w:val="Biblio-Entry"/>
        <w:jc w:val="both"/>
        <w:rPr>
          <w:rFonts w:asciiTheme="minorHAnsi" w:hAnsiTheme="minorHAnsi"/>
        </w:rPr>
      </w:pPr>
      <w:r w:rsidRPr="00C73B89">
        <w:rPr>
          <w:rFonts w:asciiTheme="minorHAnsi" w:hAnsiTheme="minorHAnsi"/>
        </w:rPr>
        <w:t xml:space="preserve">Robinson, Marc. (2013). “Spending Reviews.” Paper prepared for the 34th Annual Meeting of OECD Senior Budget Officials, Paris, </w:t>
      </w:r>
      <w:proofErr w:type="gramStart"/>
      <w:r w:rsidRPr="00C73B89">
        <w:rPr>
          <w:rFonts w:asciiTheme="minorHAnsi" w:hAnsiTheme="minorHAnsi"/>
        </w:rPr>
        <w:t>June</w:t>
      </w:r>
      <w:proofErr w:type="gramEnd"/>
      <w:r w:rsidRPr="00C73B89">
        <w:rPr>
          <w:rFonts w:asciiTheme="minorHAnsi" w:hAnsiTheme="minorHAnsi"/>
        </w:rPr>
        <w:t xml:space="preserve"> 3–4.</w:t>
      </w:r>
    </w:p>
    <w:p w:rsidR="00DC2C2F" w:rsidRPr="00C73B89" w:rsidRDefault="00DC2C2F" w:rsidP="00DC2C2F">
      <w:pPr>
        <w:pStyle w:val="Biblio-Entry"/>
        <w:jc w:val="both"/>
        <w:rPr>
          <w:rFonts w:asciiTheme="minorHAnsi" w:hAnsiTheme="minorHAnsi"/>
        </w:rPr>
      </w:pPr>
      <w:r w:rsidRPr="00C73B89">
        <w:rPr>
          <w:rFonts w:asciiTheme="minorHAnsi" w:hAnsiTheme="minorHAnsi"/>
        </w:rPr>
        <w:t>Robinson M., Brumby J. (2005)</w:t>
      </w:r>
      <w:proofErr w:type="gramStart"/>
      <w:r w:rsidRPr="00C73B89">
        <w:rPr>
          <w:rFonts w:asciiTheme="minorHAnsi" w:hAnsiTheme="minorHAnsi"/>
        </w:rPr>
        <w:t>,  Does</w:t>
      </w:r>
      <w:proofErr w:type="gramEnd"/>
      <w:r w:rsidRPr="00C73B89">
        <w:rPr>
          <w:rFonts w:asciiTheme="minorHAnsi" w:hAnsiTheme="minorHAnsi"/>
        </w:rPr>
        <w:t xml:space="preserve"> Performance Budgeting Work? An Analytical Review of the Empirical Literature</w:t>
      </w:r>
      <w:proofErr w:type="gramStart"/>
      <w:r w:rsidRPr="00C73B89">
        <w:rPr>
          <w:rFonts w:asciiTheme="minorHAnsi" w:hAnsiTheme="minorHAnsi"/>
        </w:rPr>
        <w:t>,  IMF</w:t>
      </w:r>
      <w:proofErr w:type="gramEnd"/>
      <w:r w:rsidRPr="00C73B89">
        <w:rPr>
          <w:rFonts w:asciiTheme="minorHAnsi" w:hAnsiTheme="minorHAnsi"/>
        </w:rPr>
        <w:t xml:space="preserve"> Working Paper WP/05/210</w:t>
      </w:r>
    </w:p>
    <w:p w:rsidR="00DC2C2F" w:rsidRPr="00C73B89" w:rsidRDefault="00DC2C2F" w:rsidP="00DC2C2F">
      <w:pPr>
        <w:pStyle w:val="Biblio-Entry"/>
        <w:jc w:val="both"/>
        <w:rPr>
          <w:rFonts w:asciiTheme="minorHAnsi" w:hAnsiTheme="minorHAnsi"/>
        </w:rPr>
      </w:pPr>
      <w:r w:rsidRPr="00C73B89">
        <w:rPr>
          <w:rFonts w:asciiTheme="minorHAnsi" w:hAnsiTheme="minorHAnsi"/>
        </w:rPr>
        <w:t>Schick, A. (2014), "The metamorphoses of performance budgeting", OECD Journal on Budgeting, Vol13/2.</w:t>
      </w:r>
    </w:p>
    <w:p w:rsidR="00DC2C2F" w:rsidRPr="00C73B89" w:rsidRDefault="00DC2C2F" w:rsidP="00DC2C2F">
      <w:pPr>
        <w:pStyle w:val="Biblio-Entry"/>
        <w:ind w:left="0" w:firstLine="0"/>
        <w:jc w:val="both"/>
        <w:rPr>
          <w:rFonts w:asciiTheme="minorHAnsi" w:hAnsiTheme="minorHAnsi"/>
          <w:color w:val="333333"/>
          <w:lang w:val="en-US"/>
        </w:rPr>
      </w:pPr>
      <w:r w:rsidRPr="00C73B89">
        <w:rPr>
          <w:rFonts w:asciiTheme="minorHAnsi" w:hAnsiTheme="minorHAnsi"/>
          <w:color w:val="333333"/>
          <w:lang w:val="en-US"/>
        </w:rPr>
        <w:t xml:space="preserve">Scott R. and Boyd R. (2016), Results, Targets and Measures to Drive Collaboration: Lessons from the New Zealand Better Public Services Reforms, Australian National University Press,  </w:t>
      </w:r>
    </w:p>
    <w:p w:rsidR="00DC2C2F" w:rsidRPr="00C73B89" w:rsidRDefault="00DC2C2F" w:rsidP="00DC2C2F">
      <w:pPr>
        <w:pStyle w:val="Biblio-Entry"/>
        <w:ind w:left="0" w:firstLine="0"/>
        <w:jc w:val="both"/>
        <w:rPr>
          <w:rFonts w:asciiTheme="minorHAnsi" w:hAnsiTheme="minorHAnsi"/>
          <w:color w:val="333333"/>
          <w:lang w:val="en-US"/>
        </w:rPr>
      </w:pPr>
      <w:r w:rsidRPr="00C73B89">
        <w:rPr>
          <w:rFonts w:asciiTheme="minorHAnsi" w:hAnsiTheme="minorHAnsi"/>
          <w:color w:val="333333"/>
          <w:lang w:val="en-US"/>
        </w:rPr>
        <w:t>Steger, G. Austria’s Budget Reform: How to Create Consensus for a Decisive Change of Fiscal Rules, OECD Journal on Budgeting Volume 2010/1</w:t>
      </w:r>
    </w:p>
    <w:p w:rsidR="00DC2C2F" w:rsidRPr="00C73B89" w:rsidRDefault="00DC2C2F" w:rsidP="00DC2C2F">
      <w:pPr>
        <w:pStyle w:val="Biblio-Entry"/>
        <w:ind w:left="0" w:firstLine="0"/>
        <w:jc w:val="both"/>
        <w:rPr>
          <w:rFonts w:asciiTheme="minorHAnsi" w:hAnsiTheme="minorHAnsi"/>
        </w:rPr>
      </w:pPr>
    </w:p>
    <w:sectPr w:rsidR="00DC2C2F" w:rsidRPr="00C73B89" w:rsidSect="001F3F9F">
      <w:headerReference w:type="even" r:id="rId33"/>
      <w:footerReference w:type="even" r:id="rId34"/>
      <w:footerReference w:type="default" r:id="rId35"/>
      <w:footerReference w:type="first" r:id="rId36"/>
      <w:endnotePr>
        <w:numFmt w:val="decimal"/>
      </w:endnotePr>
      <w:pgSz w:w="11906" w:h="16838"/>
      <w:pgMar w:top="1984" w:right="1247" w:bottom="1814" w:left="1191" w:header="1247" w:footer="124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49C" w:rsidRDefault="007E549C">
      <w:r>
        <w:separator/>
      </w:r>
    </w:p>
  </w:endnote>
  <w:endnote w:type="continuationSeparator" w:id="0">
    <w:p w:rsidR="007E549C" w:rsidRDefault="007E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ernini Sans">
    <w:altName w:val="Arial"/>
    <w:panose1 w:val="00000000000000000000"/>
    <w:charset w:val="00"/>
    <w:family w:val="modern"/>
    <w:notTrueType/>
    <w:pitch w:val="variable"/>
    <w:sig w:usb0="A00000FF" w:usb1="0000007B" w:usb2="00000000" w:usb3="00000000" w:csb0="00000093" w:csb1="00000000"/>
  </w:font>
  <w:font w:name="CaeciliaLTStd-Bold">
    <w:panose1 w:val="00000000000000000000"/>
    <w:charset w:val="00"/>
    <w:family w:val="roman"/>
    <w:notTrueType/>
    <w:pitch w:val="default"/>
    <w:sig w:usb0="00000003" w:usb1="00000000" w:usb2="00000000" w:usb3="00000000" w:csb0="00000001" w:csb1="00000000"/>
  </w:font>
  <w:font w:name="CaeciliaLTStd-Italic">
    <w:panose1 w:val="00000000000000000000"/>
    <w:charset w:val="00"/>
    <w:family w:val="roman"/>
    <w:notTrueType/>
    <w:pitch w:val="default"/>
    <w:sig w:usb0="00000003" w:usb1="00000000" w:usb2="00000000" w:usb3="00000000" w:csb0="00000001" w:csb1="00000000"/>
  </w:font>
  <w:font w:name="CaeciliaLTStd-Heavy">
    <w:panose1 w:val="00000000000000000000"/>
    <w:charset w:val="00"/>
    <w:family w:val="roman"/>
    <w:notTrueType/>
    <w:pitch w:val="default"/>
    <w:sig w:usb0="00000003" w:usb1="00000000" w:usb2="00000000" w:usb3="00000000" w:csb0="00000001" w:csb1="00000000"/>
  </w:font>
  <w:font w:name="CaeciliaLTStd-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D9" w:rsidRDefault="009636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11159"/>
      <w:docPartObj>
        <w:docPartGallery w:val="Page Numbers (Bottom of Page)"/>
        <w:docPartUnique/>
      </w:docPartObj>
    </w:sdtPr>
    <w:sdtEndPr>
      <w:rPr>
        <w:rStyle w:val="PageNumber"/>
      </w:rPr>
    </w:sdtEndPr>
    <w:sdtContent>
      <w:p w:rsidR="00714563" w:rsidRPr="002B4931" w:rsidRDefault="00714563" w:rsidP="00F2596E">
        <w:pPr>
          <w:pStyle w:val="Footer"/>
          <w:rPr>
            <w:rStyle w:val="PageNumber"/>
          </w:rPr>
        </w:pPr>
        <w:r w:rsidRPr="002B4931">
          <w:rPr>
            <w:rStyle w:val="PageNumber"/>
          </w:rPr>
          <w:fldChar w:fldCharType="begin"/>
        </w:r>
        <w:r w:rsidRPr="002B4931">
          <w:rPr>
            <w:rStyle w:val="PageNumber"/>
          </w:rPr>
          <w:instrText xml:space="preserve"> PAGE   \* MERGEFORMAT </w:instrText>
        </w:r>
        <w:r w:rsidRPr="002B4931">
          <w:rPr>
            <w:rStyle w:val="PageNumber"/>
          </w:rPr>
          <w:fldChar w:fldCharType="separate"/>
        </w:r>
        <w:r w:rsidR="00115C58">
          <w:rPr>
            <w:rStyle w:val="PageNumber"/>
            <w:noProof/>
          </w:rPr>
          <w:t>44</w:t>
        </w:r>
        <w:r w:rsidRPr="002B4931">
          <w:rPr>
            <w:rStyle w:val="PageNumber"/>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D9" w:rsidRDefault="009636D9" w:rsidP="009636D9">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49C" w:rsidRDefault="007E549C" w:rsidP="00660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5C58">
      <w:rPr>
        <w:rStyle w:val="PageNumber"/>
        <w:noProof/>
      </w:rPr>
      <w:t>44</w:t>
    </w:r>
    <w:r>
      <w:rPr>
        <w:rStyle w:val="PageNumber"/>
      </w:rPr>
      <w:fldChar w:fldCharType="end"/>
    </w:r>
  </w:p>
  <w:p w:rsidR="007E549C" w:rsidRDefault="007E54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64019"/>
      <w:docPartObj>
        <w:docPartGallery w:val="Page Numbers (Bottom of Page)"/>
        <w:docPartUnique/>
      </w:docPartObj>
    </w:sdtPr>
    <w:sdtEndPr>
      <w:rPr>
        <w:rFonts w:asciiTheme="minorHAnsi" w:hAnsiTheme="minorHAnsi"/>
        <w:noProof/>
      </w:rPr>
    </w:sdtEndPr>
    <w:sdtContent>
      <w:p w:rsidR="007E549C" w:rsidRPr="001F3F9F" w:rsidRDefault="007E549C" w:rsidP="001F3F9F">
        <w:pPr>
          <w:pStyle w:val="Footer"/>
          <w:jc w:val="center"/>
          <w:rPr>
            <w:rFonts w:asciiTheme="minorHAnsi" w:hAnsiTheme="minorHAnsi"/>
          </w:rPr>
        </w:pPr>
        <w:r w:rsidRPr="001F3F9F">
          <w:rPr>
            <w:rFonts w:asciiTheme="minorHAnsi" w:hAnsiTheme="minorHAnsi"/>
          </w:rPr>
          <w:fldChar w:fldCharType="begin"/>
        </w:r>
        <w:r w:rsidRPr="001F3F9F">
          <w:rPr>
            <w:rFonts w:asciiTheme="minorHAnsi" w:hAnsiTheme="minorHAnsi"/>
          </w:rPr>
          <w:instrText xml:space="preserve"> PAGE   \* MERGEFORMAT </w:instrText>
        </w:r>
        <w:r w:rsidRPr="001F3F9F">
          <w:rPr>
            <w:rFonts w:asciiTheme="minorHAnsi" w:hAnsiTheme="minorHAnsi"/>
          </w:rPr>
          <w:fldChar w:fldCharType="separate"/>
        </w:r>
        <w:r w:rsidR="00115C58">
          <w:rPr>
            <w:rFonts w:asciiTheme="minorHAnsi" w:hAnsiTheme="minorHAnsi"/>
            <w:noProof/>
          </w:rPr>
          <w:t>44</w:t>
        </w:r>
        <w:r w:rsidRPr="001F3F9F">
          <w:rPr>
            <w:rFonts w:asciiTheme="minorHAnsi" w:hAnsiTheme="minorHAnsi"/>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D9" w:rsidRPr="009636D9" w:rsidRDefault="009636D9" w:rsidP="009636D9">
    <w:pPr>
      <w:pStyle w:val="Footer"/>
      <w:jc w:val="center"/>
      <w:rPr>
        <w:rFonts w:asciiTheme="minorHAnsi" w:hAnsiTheme="minorHAnsi"/>
        <w:lang w:val="fr-FR"/>
      </w:rPr>
    </w:pPr>
    <w:r w:rsidRPr="009636D9">
      <w:rPr>
        <w:rFonts w:asciiTheme="minorHAnsi" w:hAnsiTheme="minorHAnsi"/>
        <w:lang w:val="fr-FR"/>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49C" w:rsidRDefault="007E549C">
      <w:r>
        <w:separator/>
      </w:r>
    </w:p>
  </w:footnote>
  <w:footnote w:type="continuationSeparator" w:id="0">
    <w:p w:rsidR="007E549C" w:rsidRDefault="007E549C">
      <w:r>
        <w:continuationSeparator/>
      </w:r>
    </w:p>
  </w:footnote>
  <w:footnote w:id="1">
    <w:p w:rsidR="007E549C" w:rsidRPr="0046141F" w:rsidRDefault="007E549C" w:rsidP="00511281">
      <w:pPr>
        <w:pStyle w:val="FootnoteText"/>
        <w:tabs>
          <w:tab w:val="clear" w:pos="850"/>
          <w:tab w:val="left" w:pos="284"/>
        </w:tabs>
        <w:ind w:left="284" w:hanging="284"/>
        <w:rPr>
          <w:rFonts w:asciiTheme="minorHAnsi" w:hAnsiTheme="minorHAnsi"/>
        </w:rPr>
      </w:pPr>
      <w:r w:rsidRPr="0046141F">
        <w:rPr>
          <w:rStyle w:val="FootnoteReference"/>
          <w:rFonts w:asciiTheme="minorHAnsi" w:hAnsiTheme="minorHAnsi"/>
        </w:rPr>
        <w:footnoteRef/>
      </w:r>
      <w:r w:rsidRPr="0046141F">
        <w:rPr>
          <w:rFonts w:asciiTheme="minorHAnsi" w:hAnsiTheme="minorHAnsi"/>
        </w:rPr>
        <w:tab/>
        <w:t>SMART stands for Specific, Measurable, Achievable, Relevant and Timely.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563" w:rsidRDefault="00714563" w:rsidP="00A41A12">
    <w:pPr>
      <w:pStyle w:val="HeaderEven"/>
      <w:tabs>
        <w:tab w:val="right" w:pos="997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563" w:rsidRPr="00A41A12" w:rsidRDefault="00115C58" w:rsidP="00A41A12">
    <w:pPr>
      <w:pStyle w:val="HeaderOdd"/>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2769" type="#_x0000_t136" style="position:absolute;left:0;text-align:left;margin-left:0;margin-top:0;width:439.65pt;height:263.8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rPr>
          <w:rStyle w:val="HeaderTitle"/>
        </w:rPr>
        <w:alias w:val="HeaderClassif"/>
        <w:tag w:val="txtHeaderClassif"/>
        <w:id w:val="81349686"/>
        <w:lock w:val="contentLocked"/>
      </w:sdtPr>
      <w:sdtEndPr>
        <w:rPr>
          <w:rStyle w:val="DefaultParagraphFont"/>
          <w:sz w:val="2"/>
        </w:rPr>
      </w:sdtEndPr>
      <w:sdtContent>
        <w:r w:rsidR="00714563">
          <w:rPr>
            <w:rStyle w:val="HeaderTitle"/>
          </w:rPr>
          <w:t xml:space="preserve"> </w:t>
        </w:r>
      </w:sdtContent>
    </w:sdt>
    <w:r w:rsidR="00714563">
      <w:ptab w:relativeTo="margin" w:alignment="center" w:leader="none"/>
    </w:r>
    <w:r w:rsidR="00714563">
      <w:ptab w:relativeTo="margin" w:alignment="right" w:leader="none"/>
    </w:r>
    <w:sdt>
      <w:sdtPr>
        <w:alias w:val="Document Cote"/>
        <w:tag w:val="txtDocCoteHeader"/>
        <w:id w:val="87281234"/>
        <w:lock w:val="contentLocked"/>
        <w:showingPlcHdr/>
        <w:dataBinding w:prefixMappings="xmlns:ns0='http://purl.org/dc/elements/1.1/' xmlns:ns1='http://schemas.openxmlformats.org/package/2006/metadata/core-properties' " w:xpath="/ns1:coreProperties[1]/ns1:keywords[1]" w:storeItemID="{6C3C8BC8-F283-45AE-878A-BAB7291924A1}"/>
        <w:text/>
      </w:sdtPr>
      <w:sdtEndPr/>
      <w:sdtContent>
        <w:r w:rsidR="00714563">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D9" w:rsidRDefault="009636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49C" w:rsidRDefault="007E549C">
    <w:pPr>
      <w:pStyle w:val="Header"/>
    </w:pPr>
    <w:r>
      <w:t>AAA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0F62"/>
    <w:multiLevelType w:val="singleLevel"/>
    <w:tmpl w:val="41606694"/>
    <w:name w:val="templateBullet1"/>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1">
    <w:nsid w:val="0C4159E8"/>
    <w:multiLevelType w:val="hybridMultilevel"/>
    <w:tmpl w:val="99C6D41E"/>
    <w:lvl w:ilvl="0" w:tplc="885CB39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890C55"/>
    <w:multiLevelType w:val="singleLevel"/>
    <w:tmpl w:val="15B65924"/>
    <w:name w:val="templateBulletBox3"/>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3">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4">
    <w:nsid w:val="0DEA6B1D"/>
    <w:multiLevelType w:val="singleLevel"/>
    <w:tmpl w:val="D5A6E36A"/>
    <w:styleLink w:val="NumericNote"/>
    <w:lvl w:ilvl="0">
      <w:start w:val="1"/>
      <w:numFmt w:val="decimal"/>
      <w:lvlText w:val="%1."/>
      <w:lvlJc w:val="left"/>
      <w:pPr>
        <w:tabs>
          <w:tab w:val="num" w:pos="408"/>
        </w:tabs>
        <w:ind w:left="408" w:hanging="408"/>
      </w:pPr>
    </w:lvl>
  </w:abstractNum>
  <w:abstractNum w:abstractNumId="5">
    <w:nsid w:val="100B3367"/>
    <w:multiLevelType w:val="hybridMultilevel"/>
    <w:tmpl w:val="515218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7">
    <w:nsid w:val="133E5B6C"/>
    <w:multiLevelType w:val="hybridMultilevel"/>
    <w:tmpl w:val="65A02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7968A9"/>
    <w:multiLevelType w:val="singleLevel"/>
    <w:tmpl w:val="D5A6E36A"/>
    <w:name w:val="NumericNote"/>
    <w:lvl w:ilvl="0">
      <w:start w:val="1"/>
      <w:numFmt w:val="decimal"/>
      <w:lvlText w:val="%1."/>
      <w:lvlJc w:val="left"/>
      <w:pPr>
        <w:tabs>
          <w:tab w:val="num" w:pos="850"/>
        </w:tabs>
        <w:ind w:left="850" w:hanging="408"/>
      </w:pPr>
    </w:lvl>
  </w:abstractNum>
  <w:abstractNum w:abstractNumId="9">
    <w:nsid w:val="15D6697A"/>
    <w:multiLevelType w:val="hybridMultilevel"/>
    <w:tmpl w:val="8AC4032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173F7BBE"/>
    <w:multiLevelType w:val="hybridMultilevel"/>
    <w:tmpl w:val="DEB0BFFC"/>
    <w:lvl w:ilvl="0" w:tplc="885CB39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6C3BEB"/>
    <w:multiLevelType w:val="hybridMultilevel"/>
    <w:tmpl w:val="787A5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397F89"/>
    <w:multiLevelType w:val="singleLevel"/>
    <w:tmpl w:val="60A0508A"/>
    <w:name w:val="AlphaNote"/>
    <w:lvl w:ilvl="0">
      <w:start w:val="1"/>
      <w:numFmt w:val="lowerLetter"/>
      <w:lvlText w:val="%1."/>
      <w:lvlJc w:val="left"/>
      <w:pPr>
        <w:tabs>
          <w:tab w:val="num" w:pos="850"/>
        </w:tabs>
        <w:ind w:left="850" w:hanging="408"/>
      </w:pPr>
    </w:lvl>
  </w:abstractNum>
  <w:abstractNum w:abstractNumId="13">
    <w:nsid w:val="287F4955"/>
    <w:multiLevelType w:val="hybridMultilevel"/>
    <w:tmpl w:val="1CFA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CF6F84"/>
    <w:multiLevelType w:val="singleLevel"/>
    <w:tmpl w:val="D51E568A"/>
    <w:name w:val="templateBullet2"/>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15">
    <w:nsid w:val="2C394131"/>
    <w:multiLevelType w:val="hybridMultilevel"/>
    <w:tmpl w:val="8304A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49226F"/>
    <w:multiLevelType w:val="hybridMultilevel"/>
    <w:tmpl w:val="55A868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85D0A84"/>
    <w:multiLevelType w:val="multilevel"/>
    <w:tmpl w:val="7F148E5C"/>
    <w:name w:val="templateNumberBox"/>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8518"/>
        </w:tabs>
        <w:ind w:left="8518" w:hanging="360"/>
      </w:pPr>
    </w:lvl>
    <w:lvl w:ilvl="4">
      <w:start w:val="1"/>
      <w:numFmt w:val="lowerLetter"/>
      <w:lvlText w:val="(%5)"/>
      <w:lvlJc w:val="left"/>
      <w:pPr>
        <w:tabs>
          <w:tab w:val="num" w:pos="8878"/>
        </w:tabs>
        <w:ind w:left="8878" w:hanging="360"/>
      </w:pPr>
    </w:lvl>
    <w:lvl w:ilvl="5">
      <w:start w:val="1"/>
      <w:numFmt w:val="lowerRoman"/>
      <w:lvlText w:val="(%6)"/>
      <w:lvlJc w:val="left"/>
      <w:pPr>
        <w:tabs>
          <w:tab w:val="num" w:pos="9238"/>
        </w:tabs>
        <w:ind w:left="9238" w:hanging="360"/>
      </w:pPr>
    </w:lvl>
    <w:lvl w:ilvl="6">
      <w:start w:val="1"/>
      <w:numFmt w:val="decimal"/>
      <w:lvlText w:val="%7."/>
      <w:lvlJc w:val="left"/>
      <w:pPr>
        <w:tabs>
          <w:tab w:val="num" w:pos="9598"/>
        </w:tabs>
        <w:ind w:left="9598" w:hanging="360"/>
      </w:pPr>
    </w:lvl>
    <w:lvl w:ilvl="7">
      <w:start w:val="1"/>
      <w:numFmt w:val="lowerLetter"/>
      <w:lvlText w:val="%8."/>
      <w:lvlJc w:val="left"/>
      <w:pPr>
        <w:tabs>
          <w:tab w:val="num" w:pos="9958"/>
        </w:tabs>
        <w:ind w:left="9958" w:hanging="360"/>
      </w:pPr>
    </w:lvl>
    <w:lvl w:ilvl="8">
      <w:start w:val="1"/>
      <w:numFmt w:val="lowerRoman"/>
      <w:lvlText w:val="%9."/>
      <w:lvlJc w:val="left"/>
      <w:pPr>
        <w:tabs>
          <w:tab w:val="num" w:pos="10318"/>
        </w:tabs>
        <w:ind w:left="10318" w:hanging="360"/>
      </w:pPr>
    </w:lvl>
  </w:abstractNum>
  <w:abstractNum w:abstractNumId="18">
    <w:nsid w:val="3BC230DE"/>
    <w:multiLevelType w:val="multilevel"/>
    <w:tmpl w:val="F99EB0E0"/>
    <w:name w:val="templateNumber"/>
    <w:lvl w:ilvl="0">
      <w:start w:val="1"/>
      <w:numFmt w:val="decimal"/>
      <w:pStyle w:val="ListNumber"/>
      <w:lvlText w:val="%1."/>
      <w:lvlJc w:val="left"/>
      <w:pPr>
        <w:tabs>
          <w:tab w:val="num" w:pos="850"/>
        </w:tabs>
        <w:ind w:left="850" w:hanging="408"/>
      </w:pPr>
    </w:lvl>
    <w:lvl w:ilvl="1">
      <w:start w:val="1"/>
      <w:numFmt w:val="decimal"/>
      <w:pStyle w:val="ListNumber2"/>
      <w:lvlText w:val="%2."/>
      <w:lvlJc w:val="left"/>
      <w:pPr>
        <w:tabs>
          <w:tab w:val="num" w:pos="1191"/>
        </w:tabs>
        <w:ind w:left="1191" w:hanging="341"/>
      </w:pPr>
    </w:lvl>
    <w:lvl w:ilvl="2">
      <w:start w:val="1"/>
      <w:numFmt w:val="decimal"/>
      <w:pStyle w:val="ListNumber3"/>
      <w:lvlText w:val="%3."/>
      <w:lvlJc w:val="left"/>
      <w:pPr>
        <w:tabs>
          <w:tab w:val="num" w:pos="1474"/>
        </w:tabs>
        <w:ind w:left="1474" w:hanging="340"/>
      </w:pPr>
    </w:lvl>
    <w:lvl w:ilvl="3">
      <w:start w:val="1"/>
      <w:numFmt w:val="decimal"/>
      <w:pStyle w:val="ListNumber4"/>
      <w:lvlText w:val="%4."/>
      <w:lvlJc w:val="left"/>
      <w:pPr>
        <w:tabs>
          <w:tab w:val="num" w:pos="1757"/>
        </w:tabs>
        <w:ind w:left="1757" w:hanging="340"/>
      </w:pPr>
    </w:lvl>
    <w:lvl w:ilvl="4">
      <w:start w:val="1"/>
      <w:numFmt w:val="decimal"/>
      <w:pStyle w:val="ListNumber5"/>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ED93CD2"/>
    <w:multiLevelType w:val="hybridMultilevel"/>
    <w:tmpl w:val="19A8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A273AF"/>
    <w:multiLevelType w:val="hybridMultilevel"/>
    <w:tmpl w:val="B110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5D46F6"/>
    <w:multiLevelType w:val="hybridMultilevel"/>
    <w:tmpl w:val="F79494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481E709A"/>
    <w:multiLevelType w:val="hybridMultilevel"/>
    <w:tmpl w:val="2656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BB7503"/>
    <w:multiLevelType w:val="singleLevel"/>
    <w:tmpl w:val="60A0508A"/>
    <w:styleLink w:val="AlphaNote"/>
    <w:lvl w:ilvl="0">
      <w:start w:val="1"/>
      <w:numFmt w:val="lowerLetter"/>
      <w:lvlText w:val="%1."/>
      <w:lvlJc w:val="left"/>
      <w:pPr>
        <w:tabs>
          <w:tab w:val="num" w:pos="408"/>
        </w:tabs>
        <w:ind w:left="408" w:hanging="408"/>
      </w:pPr>
    </w:lvl>
  </w:abstractNum>
  <w:abstractNum w:abstractNumId="24">
    <w:nsid w:val="48EC55A8"/>
    <w:multiLevelType w:val="singleLevel"/>
    <w:tmpl w:val="EBBACA14"/>
    <w:name w:val="templateBullet3"/>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25">
    <w:nsid w:val="4AAE47B4"/>
    <w:multiLevelType w:val="singleLevel"/>
    <w:tmpl w:val="AB6CFFBC"/>
    <w:name w:val="templateBulletBox2"/>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6">
    <w:nsid w:val="4CEB0C0B"/>
    <w:multiLevelType w:val="hybridMultilevel"/>
    <w:tmpl w:val="87368B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nsid w:val="4F6814F9"/>
    <w:multiLevelType w:val="hybridMultilevel"/>
    <w:tmpl w:val="80E6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0FF1F4D"/>
    <w:multiLevelType w:val="hybridMultilevel"/>
    <w:tmpl w:val="046041A4"/>
    <w:lvl w:ilvl="0" w:tplc="08090001">
      <w:start w:val="1"/>
      <w:numFmt w:val="bullet"/>
      <w:lvlText w:val=""/>
      <w:lvlJc w:val="left"/>
      <w:pPr>
        <w:ind w:left="1162" w:hanging="360"/>
      </w:pPr>
      <w:rPr>
        <w:rFonts w:ascii="Symbol" w:hAnsi="Symbol" w:hint="default"/>
      </w:rPr>
    </w:lvl>
    <w:lvl w:ilvl="1" w:tplc="08090003" w:tentative="1">
      <w:start w:val="1"/>
      <w:numFmt w:val="bullet"/>
      <w:lvlText w:val="o"/>
      <w:lvlJc w:val="left"/>
      <w:pPr>
        <w:ind w:left="1882" w:hanging="360"/>
      </w:pPr>
      <w:rPr>
        <w:rFonts w:ascii="Courier New" w:hAnsi="Courier New" w:cs="Courier New" w:hint="default"/>
      </w:rPr>
    </w:lvl>
    <w:lvl w:ilvl="2" w:tplc="08090005" w:tentative="1">
      <w:start w:val="1"/>
      <w:numFmt w:val="bullet"/>
      <w:lvlText w:val=""/>
      <w:lvlJc w:val="left"/>
      <w:pPr>
        <w:ind w:left="2602" w:hanging="360"/>
      </w:pPr>
      <w:rPr>
        <w:rFonts w:ascii="Wingdings" w:hAnsi="Wingdings" w:hint="default"/>
      </w:rPr>
    </w:lvl>
    <w:lvl w:ilvl="3" w:tplc="08090001" w:tentative="1">
      <w:start w:val="1"/>
      <w:numFmt w:val="bullet"/>
      <w:lvlText w:val=""/>
      <w:lvlJc w:val="left"/>
      <w:pPr>
        <w:ind w:left="3322" w:hanging="360"/>
      </w:pPr>
      <w:rPr>
        <w:rFonts w:ascii="Symbol" w:hAnsi="Symbol" w:hint="default"/>
      </w:rPr>
    </w:lvl>
    <w:lvl w:ilvl="4" w:tplc="08090003" w:tentative="1">
      <w:start w:val="1"/>
      <w:numFmt w:val="bullet"/>
      <w:lvlText w:val="o"/>
      <w:lvlJc w:val="left"/>
      <w:pPr>
        <w:ind w:left="4042" w:hanging="360"/>
      </w:pPr>
      <w:rPr>
        <w:rFonts w:ascii="Courier New" w:hAnsi="Courier New" w:cs="Courier New" w:hint="default"/>
      </w:rPr>
    </w:lvl>
    <w:lvl w:ilvl="5" w:tplc="08090005" w:tentative="1">
      <w:start w:val="1"/>
      <w:numFmt w:val="bullet"/>
      <w:lvlText w:val=""/>
      <w:lvlJc w:val="left"/>
      <w:pPr>
        <w:ind w:left="4762" w:hanging="360"/>
      </w:pPr>
      <w:rPr>
        <w:rFonts w:ascii="Wingdings" w:hAnsi="Wingdings" w:hint="default"/>
      </w:rPr>
    </w:lvl>
    <w:lvl w:ilvl="6" w:tplc="08090001" w:tentative="1">
      <w:start w:val="1"/>
      <w:numFmt w:val="bullet"/>
      <w:lvlText w:val=""/>
      <w:lvlJc w:val="left"/>
      <w:pPr>
        <w:ind w:left="5482" w:hanging="360"/>
      </w:pPr>
      <w:rPr>
        <w:rFonts w:ascii="Symbol" w:hAnsi="Symbol" w:hint="default"/>
      </w:rPr>
    </w:lvl>
    <w:lvl w:ilvl="7" w:tplc="08090003" w:tentative="1">
      <w:start w:val="1"/>
      <w:numFmt w:val="bullet"/>
      <w:lvlText w:val="o"/>
      <w:lvlJc w:val="left"/>
      <w:pPr>
        <w:ind w:left="6202" w:hanging="360"/>
      </w:pPr>
      <w:rPr>
        <w:rFonts w:ascii="Courier New" w:hAnsi="Courier New" w:cs="Courier New" w:hint="default"/>
      </w:rPr>
    </w:lvl>
    <w:lvl w:ilvl="8" w:tplc="08090005" w:tentative="1">
      <w:start w:val="1"/>
      <w:numFmt w:val="bullet"/>
      <w:lvlText w:val=""/>
      <w:lvlJc w:val="left"/>
      <w:pPr>
        <w:ind w:left="6922" w:hanging="360"/>
      </w:pPr>
      <w:rPr>
        <w:rFonts w:ascii="Wingdings" w:hAnsi="Wingdings" w:hint="default"/>
      </w:rPr>
    </w:lvl>
  </w:abstractNum>
  <w:abstractNum w:abstractNumId="29">
    <w:nsid w:val="56BE6F79"/>
    <w:multiLevelType w:val="singleLevel"/>
    <w:tmpl w:val="F258D16A"/>
    <w:name w:val="templateBullet4"/>
    <w:lvl w:ilvl="0">
      <w:start w:val="1"/>
      <w:numFmt w:val="bullet"/>
      <w:pStyle w:val="ListBullet4"/>
      <w:lvlText w:val="-"/>
      <w:lvlJc w:val="left"/>
      <w:pPr>
        <w:tabs>
          <w:tab w:val="num" w:pos="1757"/>
        </w:tabs>
        <w:ind w:left="1757" w:hanging="340"/>
      </w:pPr>
      <w:rPr>
        <w:rFonts w:ascii="Symbol" w:hAnsi="Symbol" w:cs="Times New Roman" w:hint="default"/>
        <w:b w:val="0"/>
        <w:i w:val="0"/>
        <w:sz w:val="22"/>
      </w:rPr>
    </w:lvl>
  </w:abstractNum>
  <w:abstractNum w:abstractNumId="30">
    <w:nsid w:val="5A460B4D"/>
    <w:multiLevelType w:val="hybridMultilevel"/>
    <w:tmpl w:val="C4044B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nsid w:val="5BBD36AA"/>
    <w:multiLevelType w:val="hybridMultilevel"/>
    <w:tmpl w:val="97CC0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C8E0CA3"/>
    <w:multiLevelType w:val="singleLevel"/>
    <w:tmpl w:val="BCFCA2DE"/>
    <w:name w:val="templateBullet5"/>
    <w:lvl w:ilvl="0">
      <w:start w:val="1"/>
      <w:numFmt w:val="bullet"/>
      <w:pStyle w:val="ListBullet5"/>
      <w:lvlText w:val="-"/>
      <w:lvlJc w:val="left"/>
      <w:pPr>
        <w:tabs>
          <w:tab w:val="num" w:pos="2041"/>
        </w:tabs>
        <w:ind w:left="2041" w:hanging="340"/>
      </w:pPr>
      <w:rPr>
        <w:rFonts w:ascii="Symbol" w:hAnsi="Symbol" w:cs="Times New Roman" w:hint="default"/>
        <w:b w:val="0"/>
        <w:i w:val="0"/>
        <w:sz w:val="22"/>
      </w:rPr>
    </w:lvl>
  </w:abstractNum>
  <w:abstractNum w:abstractNumId="33">
    <w:nsid w:val="62D0234F"/>
    <w:multiLevelType w:val="hybridMultilevel"/>
    <w:tmpl w:val="9380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E515CF"/>
    <w:multiLevelType w:val="singleLevel"/>
    <w:tmpl w:val="7A00B8A4"/>
    <w:name w:val="templateBulletBox1"/>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5">
    <w:nsid w:val="76FE50F1"/>
    <w:multiLevelType w:val="hybridMultilevel"/>
    <w:tmpl w:val="DDC0876A"/>
    <w:lvl w:ilvl="0" w:tplc="885CB392">
      <w:start w:val="1"/>
      <w:numFmt w:val="bullet"/>
      <w:lvlText w:val="•"/>
      <w:lvlJc w:val="left"/>
      <w:pPr>
        <w:tabs>
          <w:tab w:val="num" w:pos="720"/>
        </w:tabs>
        <w:ind w:left="720" w:hanging="360"/>
      </w:pPr>
      <w:rPr>
        <w:rFonts w:ascii="Arial" w:hAnsi="Arial" w:hint="default"/>
      </w:rPr>
    </w:lvl>
    <w:lvl w:ilvl="1" w:tplc="551C68F2">
      <w:start w:val="8624"/>
      <w:numFmt w:val="bullet"/>
      <w:lvlText w:val="–"/>
      <w:lvlJc w:val="left"/>
      <w:pPr>
        <w:tabs>
          <w:tab w:val="num" w:pos="1440"/>
        </w:tabs>
        <w:ind w:left="1440" w:hanging="360"/>
      </w:pPr>
      <w:rPr>
        <w:rFonts w:ascii="Arial" w:hAnsi="Arial" w:hint="default"/>
      </w:rPr>
    </w:lvl>
    <w:lvl w:ilvl="2" w:tplc="7F2E71BC" w:tentative="1">
      <w:start w:val="1"/>
      <w:numFmt w:val="bullet"/>
      <w:lvlText w:val="•"/>
      <w:lvlJc w:val="left"/>
      <w:pPr>
        <w:tabs>
          <w:tab w:val="num" w:pos="2160"/>
        </w:tabs>
        <w:ind w:left="2160" w:hanging="360"/>
      </w:pPr>
      <w:rPr>
        <w:rFonts w:ascii="Arial" w:hAnsi="Arial" w:hint="default"/>
      </w:rPr>
    </w:lvl>
    <w:lvl w:ilvl="3" w:tplc="D910EF2E" w:tentative="1">
      <w:start w:val="1"/>
      <w:numFmt w:val="bullet"/>
      <w:lvlText w:val="•"/>
      <w:lvlJc w:val="left"/>
      <w:pPr>
        <w:tabs>
          <w:tab w:val="num" w:pos="2880"/>
        </w:tabs>
        <w:ind w:left="2880" w:hanging="360"/>
      </w:pPr>
      <w:rPr>
        <w:rFonts w:ascii="Arial" w:hAnsi="Arial" w:hint="default"/>
      </w:rPr>
    </w:lvl>
    <w:lvl w:ilvl="4" w:tplc="48C662A8" w:tentative="1">
      <w:start w:val="1"/>
      <w:numFmt w:val="bullet"/>
      <w:lvlText w:val="•"/>
      <w:lvlJc w:val="left"/>
      <w:pPr>
        <w:tabs>
          <w:tab w:val="num" w:pos="3600"/>
        </w:tabs>
        <w:ind w:left="3600" w:hanging="360"/>
      </w:pPr>
      <w:rPr>
        <w:rFonts w:ascii="Arial" w:hAnsi="Arial" w:hint="default"/>
      </w:rPr>
    </w:lvl>
    <w:lvl w:ilvl="5" w:tplc="51FA547C" w:tentative="1">
      <w:start w:val="1"/>
      <w:numFmt w:val="bullet"/>
      <w:lvlText w:val="•"/>
      <w:lvlJc w:val="left"/>
      <w:pPr>
        <w:tabs>
          <w:tab w:val="num" w:pos="4320"/>
        </w:tabs>
        <w:ind w:left="4320" w:hanging="360"/>
      </w:pPr>
      <w:rPr>
        <w:rFonts w:ascii="Arial" w:hAnsi="Arial" w:hint="default"/>
      </w:rPr>
    </w:lvl>
    <w:lvl w:ilvl="6" w:tplc="6ADE1D9E" w:tentative="1">
      <w:start w:val="1"/>
      <w:numFmt w:val="bullet"/>
      <w:lvlText w:val="•"/>
      <w:lvlJc w:val="left"/>
      <w:pPr>
        <w:tabs>
          <w:tab w:val="num" w:pos="5040"/>
        </w:tabs>
        <w:ind w:left="5040" w:hanging="360"/>
      </w:pPr>
      <w:rPr>
        <w:rFonts w:ascii="Arial" w:hAnsi="Arial" w:hint="default"/>
      </w:rPr>
    </w:lvl>
    <w:lvl w:ilvl="7" w:tplc="79508CD6" w:tentative="1">
      <w:start w:val="1"/>
      <w:numFmt w:val="bullet"/>
      <w:lvlText w:val="•"/>
      <w:lvlJc w:val="left"/>
      <w:pPr>
        <w:tabs>
          <w:tab w:val="num" w:pos="5760"/>
        </w:tabs>
        <w:ind w:left="5760" w:hanging="360"/>
      </w:pPr>
      <w:rPr>
        <w:rFonts w:ascii="Arial" w:hAnsi="Arial" w:hint="default"/>
      </w:rPr>
    </w:lvl>
    <w:lvl w:ilvl="8" w:tplc="512C5B1C" w:tentative="1">
      <w:start w:val="1"/>
      <w:numFmt w:val="bullet"/>
      <w:lvlText w:val="•"/>
      <w:lvlJc w:val="left"/>
      <w:pPr>
        <w:tabs>
          <w:tab w:val="num" w:pos="6480"/>
        </w:tabs>
        <w:ind w:left="6480" w:hanging="360"/>
      </w:pPr>
      <w:rPr>
        <w:rFonts w:ascii="Arial" w:hAnsi="Arial" w:hint="default"/>
      </w:rPr>
    </w:lvl>
  </w:abstractNum>
  <w:abstractNum w:abstractNumId="36">
    <w:nsid w:val="78441416"/>
    <w:multiLevelType w:val="hybridMultilevel"/>
    <w:tmpl w:val="7DDC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94B7E61"/>
    <w:multiLevelType w:val="hybridMultilevel"/>
    <w:tmpl w:val="253A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98C35A0"/>
    <w:multiLevelType w:val="hybridMultilevel"/>
    <w:tmpl w:val="DDD6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681158"/>
    <w:multiLevelType w:val="hybridMultilevel"/>
    <w:tmpl w:val="02025724"/>
    <w:lvl w:ilvl="0" w:tplc="08090001">
      <w:start w:val="1"/>
      <w:numFmt w:val="bullet"/>
      <w:lvlText w:val=""/>
      <w:lvlJc w:val="left"/>
      <w:pPr>
        <w:ind w:left="1162" w:hanging="360"/>
      </w:pPr>
      <w:rPr>
        <w:rFonts w:ascii="Symbol" w:hAnsi="Symbol" w:hint="default"/>
      </w:rPr>
    </w:lvl>
    <w:lvl w:ilvl="1" w:tplc="08090003" w:tentative="1">
      <w:start w:val="1"/>
      <w:numFmt w:val="bullet"/>
      <w:lvlText w:val="o"/>
      <w:lvlJc w:val="left"/>
      <w:pPr>
        <w:ind w:left="1882" w:hanging="360"/>
      </w:pPr>
      <w:rPr>
        <w:rFonts w:ascii="Courier New" w:hAnsi="Courier New" w:cs="Courier New" w:hint="default"/>
      </w:rPr>
    </w:lvl>
    <w:lvl w:ilvl="2" w:tplc="08090005" w:tentative="1">
      <w:start w:val="1"/>
      <w:numFmt w:val="bullet"/>
      <w:lvlText w:val=""/>
      <w:lvlJc w:val="left"/>
      <w:pPr>
        <w:ind w:left="2602" w:hanging="360"/>
      </w:pPr>
      <w:rPr>
        <w:rFonts w:ascii="Wingdings" w:hAnsi="Wingdings" w:hint="default"/>
      </w:rPr>
    </w:lvl>
    <w:lvl w:ilvl="3" w:tplc="08090001" w:tentative="1">
      <w:start w:val="1"/>
      <w:numFmt w:val="bullet"/>
      <w:lvlText w:val=""/>
      <w:lvlJc w:val="left"/>
      <w:pPr>
        <w:ind w:left="3322" w:hanging="360"/>
      </w:pPr>
      <w:rPr>
        <w:rFonts w:ascii="Symbol" w:hAnsi="Symbol" w:hint="default"/>
      </w:rPr>
    </w:lvl>
    <w:lvl w:ilvl="4" w:tplc="08090003" w:tentative="1">
      <w:start w:val="1"/>
      <w:numFmt w:val="bullet"/>
      <w:lvlText w:val="o"/>
      <w:lvlJc w:val="left"/>
      <w:pPr>
        <w:ind w:left="4042" w:hanging="360"/>
      </w:pPr>
      <w:rPr>
        <w:rFonts w:ascii="Courier New" w:hAnsi="Courier New" w:cs="Courier New" w:hint="default"/>
      </w:rPr>
    </w:lvl>
    <w:lvl w:ilvl="5" w:tplc="08090005" w:tentative="1">
      <w:start w:val="1"/>
      <w:numFmt w:val="bullet"/>
      <w:lvlText w:val=""/>
      <w:lvlJc w:val="left"/>
      <w:pPr>
        <w:ind w:left="4762" w:hanging="360"/>
      </w:pPr>
      <w:rPr>
        <w:rFonts w:ascii="Wingdings" w:hAnsi="Wingdings" w:hint="default"/>
      </w:rPr>
    </w:lvl>
    <w:lvl w:ilvl="6" w:tplc="08090001" w:tentative="1">
      <w:start w:val="1"/>
      <w:numFmt w:val="bullet"/>
      <w:lvlText w:val=""/>
      <w:lvlJc w:val="left"/>
      <w:pPr>
        <w:ind w:left="5482" w:hanging="360"/>
      </w:pPr>
      <w:rPr>
        <w:rFonts w:ascii="Symbol" w:hAnsi="Symbol" w:hint="default"/>
      </w:rPr>
    </w:lvl>
    <w:lvl w:ilvl="7" w:tplc="08090003" w:tentative="1">
      <w:start w:val="1"/>
      <w:numFmt w:val="bullet"/>
      <w:lvlText w:val="o"/>
      <w:lvlJc w:val="left"/>
      <w:pPr>
        <w:ind w:left="6202" w:hanging="360"/>
      </w:pPr>
      <w:rPr>
        <w:rFonts w:ascii="Courier New" w:hAnsi="Courier New" w:cs="Courier New" w:hint="default"/>
      </w:rPr>
    </w:lvl>
    <w:lvl w:ilvl="8" w:tplc="08090005" w:tentative="1">
      <w:start w:val="1"/>
      <w:numFmt w:val="bullet"/>
      <w:lvlText w:val=""/>
      <w:lvlJc w:val="left"/>
      <w:pPr>
        <w:ind w:left="6922" w:hanging="360"/>
      </w:pPr>
      <w:rPr>
        <w:rFonts w:ascii="Wingdings" w:hAnsi="Wingdings" w:hint="default"/>
      </w:rPr>
    </w:lvl>
  </w:abstractNum>
  <w:abstractNum w:abstractNumId="40">
    <w:nsid w:val="7C6878C9"/>
    <w:multiLevelType w:val="hybridMultilevel"/>
    <w:tmpl w:val="32F2FE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1">
    <w:nsid w:val="7C883D87"/>
    <w:multiLevelType w:val="hybridMultilevel"/>
    <w:tmpl w:val="5A722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F676F0B"/>
    <w:multiLevelType w:val="hybridMultilevel"/>
    <w:tmpl w:val="708C2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967AA8"/>
    <w:multiLevelType w:val="hybridMultilevel"/>
    <w:tmpl w:val="906E37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6"/>
  </w:num>
  <w:num w:numId="2">
    <w:abstractNumId w:val="3"/>
  </w:num>
  <w:num w:numId="3">
    <w:abstractNumId w:val="4"/>
  </w:num>
  <w:num w:numId="4">
    <w:abstractNumId w:val="23"/>
  </w:num>
  <w:num w:numId="5">
    <w:abstractNumId w:val="0"/>
  </w:num>
  <w:num w:numId="6">
    <w:abstractNumId w:val="14"/>
  </w:num>
  <w:num w:numId="7">
    <w:abstractNumId w:val="24"/>
  </w:num>
  <w:num w:numId="8">
    <w:abstractNumId w:val="29"/>
  </w:num>
  <w:num w:numId="9">
    <w:abstractNumId w:val="32"/>
  </w:num>
  <w:num w:numId="10">
    <w:abstractNumId w:val="18"/>
  </w:num>
  <w:num w:numId="11">
    <w:abstractNumId w:val="34"/>
  </w:num>
  <w:num w:numId="12">
    <w:abstractNumId w:val="25"/>
  </w:num>
  <w:num w:numId="13">
    <w:abstractNumId w:val="2"/>
  </w:num>
  <w:num w:numId="14">
    <w:abstractNumId w:val="17"/>
  </w:num>
  <w:num w:numId="15">
    <w:abstractNumId w:val="35"/>
  </w:num>
  <w:num w:numId="16">
    <w:abstractNumId w:val="27"/>
  </w:num>
  <w:num w:numId="17">
    <w:abstractNumId w:val="11"/>
  </w:num>
  <w:num w:numId="18">
    <w:abstractNumId w:val="7"/>
  </w:num>
  <w:num w:numId="19">
    <w:abstractNumId w:val="19"/>
  </w:num>
  <w:num w:numId="20">
    <w:abstractNumId w:val="15"/>
  </w:num>
  <w:num w:numId="21">
    <w:abstractNumId w:val="13"/>
  </w:num>
  <w:num w:numId="22">
    <w:abstractNumId w:val="22"/>
  </w:num>
  <w:num w:numId="23">
    <w:abstractNumId w:val="20"/>
  </w:num>
  <w:num w:numId="24">
    <w:abstractNumId w:val="16"/>
  </w:num>
  <w:num w:numId="25">
    <w:abstractNumId w:val="31"/>
  </w:num>
  <w:num w:numId="26">
    <w:abstractNumId w:val="36"/>
  </w:num>
  <w:num w:numId="27">
    <w:abstractNumId w:val="41"/>
  </w:num>
  <w:num w:numId="28">
    <w:abstractNumId w:val="39"/>
  </w:num>
  <w:num w:numId="29">
    <w:abstractNumId w:val="28"/>
  </w:num>
  <w:num w:numId="30">
    <w:abstractNumId w:val="41"/>
  </w:num>
  <w:num w:numId="31">
    <w:abstractNumId w:val="40"/>
  </w:num>
  <w:num w:numId="32">
    <w:abstractNumId w:val="26"/>
  </w:num>
  <w:num w:numId="33">
    <w:abstractNumId w:val="9"/>
  </w:num>
  <w:num w:numId="34">
    <w:abstractNumId w:val="38"/>
  </w:num>
  <w:num w:numId="35">
    <w:abstractNumId w:val="1"/>
  </w:num>
  <w:num w:numId="36">
    <w:abstractNumId w:val="10"/>
  </w:num>
  <w:num w:numId="37">
    <w:abstractNumId w:val="37"/>
  </w:num>
  <w:num w:numId="38">
    <w:abstractNumId w:val="42"/>
  </w:num>
  <w:num w:numId="39">
    <w:abstractNumId w:val="30"/>
  </w:num>
  <w:num w:numId="40">
    <w:abstractNumId w:val="5"/>
  </w:num>
  <w:num w:numId="41">
    <w:abstractNumId w:val="21"/>
  </w:num>
  <w:num w:numId="42">
    <w:abstractNumId w:val="43"/>
  </w:num>
  <w:num w:numId="4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hyphenationZone w:val="425"/>
  <w:drawingGridHorizontalSpacing w:val="110"/>
  <w:displayHorizontalDrawingGridEvery w:val="0"/>
  <w:displayVerticalDrawingGridEvery w:val="0"/>
  <w:noPunctuationKerning/>
  <w:characterSpacingControl w:val="doNotCompress"/>
  <w:hdrShapeDefaults>
    <o:shapedefaults v:ext="edit" spidmax="32770"/>
    <o:shapelayout v:ext="edit">
      <o:idmap v:ext="edit" data="32"/>
    </o:shapelayout>
  </w:hdrShapeDefaults>
  <w:footnotePr>
    <w:footnote w:id="-1"/>
    <w:footnote w:id="0"/>
  </w:footnotePr>
  <w:endnotePr>
    <w:pos w:val="sectEnd"/>
    <w:numFmt w:val="decimal"/>
    <w:endnote w:id="-1"/>
    <w:endnote w:id="0"/>
  </w:endnotePr>
  <w:compat>
    <w:compatSetting w:name="compatibilityMode" w:uri="http://schemas.microsoft.com/office/word" w:val="12"/>
  </w:compat>
  <w:docVars>
    <w:docVar w:name="Classification" w:val="Document without cote"/>
    <w:docVar w:name="DocumentStyle" w:val="Standard OECD document"/>
    <w:docVar w:name="IsPublication" w:val="0"/>
    <w:docVar w:name="Language" w:val="English"/>
    <w:docVar w:name="PGLANDSCAPE" w:val="0"/>
  </w:docVars>
  <w:rsids>
    <w:rsidRoot w:val="00660117"/>
    <w:rsid w:val="00002EE1"/>
    <w:rsid w:val="00010CB1"/>
    <w:rsid w:val="000251B6"/>
    <w:rsid w:val="0004025D"/>
    <w:rsid w:val="00041C38"/>
    <w:rsid w:val="00042D87"/>
    <w:rsid w:val="000436AA"/>
    <w:rsid w:val="00043913"/>
    <w:rsid w:val="00043A04"/>
    <w:rsid w:val="00047F12"/>
    <w:rsid w:val="00054A95"/>
    <w:rsid w:val="000577FD"/>
    <w:rsid w:val="00061356"/>
    <w:rsid w:val="00070B41"/>
    <w:rsid w:val="00071247"/>
    <w:rsid w:val="00075A6C"/>
    <w:rsid w:val="00077CA6"/>
    <w:rsid w:val="00077F32"/>
    <w:rsid w:val="00080441"/>
    <w:rsid w:val="000929B8"/>
    <w:rsid w:val="00097935"/>
    <w:rsid w:val="000A41DB"/>
    <w:rsid w:val="000A7C92"/>
    <w:rsid w:val="000C38DF"/>
    <w:rsid w:val="000C4D91"/>
    <w:rsid w:val="000D5524"/>
    <w:rsid w:val="000D6D4C"/>
    <w:rsid w:val="000E285A"/>
    <w:rsid w:val="000E6C80"/>
    <w:rsid w:val="000E74CA"/>
    <w:rsid w:val="000F215F"/>
    <w:rsid w:val="000F5842"/>
    <w:rsid w:val="000F65F9"/>
    <w:rsid w:val="00115C58"/>
    <w:rsid w:val="00123AD1"/>
    <w:rsid w:val="00125645"/>
    <w:rsid w:val="001561C0"/>
    <w:rsid w:val="0016522B"/>
    <w:rsid w:val="00180C6A"/>
    <w:rsid w:val="001B3821"/>
    <w:rsid w:val="001C07B9"/>
    <w:rsid w:val="001C27A9"/>
    <w:rsid w:val="001E4664"/>
    <w:rsid w:val="001F33DB"/>
    <w:rsid w:val="001F39D5"/>
    <w:rsid w:val="001F3F9F"/>
    <w:rsid w:val="001F6DD9"/>
    <w:rsid w:val="001F73DD"/>
    <w:rsid w:val="00205BBA"/>
    <w:rsid w:val="00216CFB"/>
    <w:rsid w:val="00225992"/>
    <w:rsid w:val="0023361A"/>
    <w:rsid w:val="00247894"/>
    <w:rsid w:val="0026222C"/>
    <w:rsid w:val="00263400"/>
    <w:rsid w:val="00267E1F"/>
    <w:rsid w:val="0028610F"/>
    <w:rsid w:val="00295BAD"/>
    <w:rsid w:val="00295F61"/>
    <w:rsid w:val="002A2D2A"/>
    <w:rsid w:val="002A6ED9"/>
    <w:rsid w:val="002C3F9F"/>
    <w:rsid w:val="002D7F92"/>
    <w:rsid w:val="002E66F3"/>
    <w:rsid w:val="002E6E2F"/>
    <w:rsid w:val="002E7A14"/>
    <w:rsid w:val="002F0092"/>
    <w:rsid w:val="002F4FBC"/>
    <w:rsid w:val="0030014E"/>
    <w:rsid w:val="00313CEA"/>
    <w:rsid w:val="003378A5"/>
    <w:rsid w:val="003452AE"/>
    <w:rsid w:val="003524DE"/>
    <w:rsid w:val="00357880"/>
    <w:rsid w:val="0036560A"/>
    <w:rsid w:val="00366906"/>
    <w:rsid w:val="00367393"/>
    <w:rsid w:val="0038197E"/>
    <w:rsid w:val="00383ED0"/>
    <w:rsid w:val="00392985"/>
    <w:rsid w:val="003A1EAC"/>
    <w:rsid w:val="003A2CEB"/>
    <w:rsid w:val="003A4CF3"/>
    <w:rsid w:val="003B33CC"/>
    <w:rsid w:val="003B6CBD"/>
    <w:rsid w:val="003C09B7"/>
    <w:rsid w:val="003C2C47"/>
    <w:rsid w:val="003C49F9"/>
    <w:rsid w:val="003D7B10"/>
    <w:rsid w:val="003F1E1C"/>
    <w:rsid w:val="0040286C"/>
    <w:rsid w:val="00411DC3"/>
    <w:rsid w:val="00412438"/>
    <w:rsid w:val="00415053"/>
    <w:rsid w:val="00416F64"/>
    <w:rsid w:val="00423573"/>
    <w:rsid w:val="0042361A"/>
    <w:rsid w:val="004272BB"/>
    <w:rsid w:val="00444643"/>
    <w:rsid w:val="00447956"/>
    <w:rsid w:val="004521E8"/>
    <w:rsid w:val="0046141F"/>
    <w:rsid w:val="00465D0F"/>
    <w:rsid w:val="0048423A"/>
    <w:rsid w:val="00493AF5"/>
    <w:rsid w:val="004A2D61"/>
    <w:rsid w:val="004A6888"/>
    <w:rsid w:val="004A6DB7"/>
    <w:rsid w:val="004A724D"/>
    <w:rsid w:val="004A7777"/>
    <w:rsid w:val="004A7A05"/>
    <w:rsid w:val="004C43C4"/>
    <w:rsid w:val="004C5850"/>
    <w:rsid w:val="004C773F"/>
    <w:rsid w:val="004D567C"/>
    <w:rsid w:val="004D7937"/>
    <w:rsid w:val="004E0BCE"/>
    <w:rsid w:val="004E1B8E"/>
    <w:rsid w:val="004E7DDB"/>
    <w:rsid w:val="004F0135"/>
    <w:rsid w:val="004F34F2"/>
    <w:rsid w:val="00502AD8"/>
    <w:rsid w:val="00504A4E"/>
    <w:rsid w:val="00511281"/>
    <w:rsid w:val="005139F7"/>
    <w:rsid w:val="00514A38"/>
    <w:rsid w:val="00526F2E"/>
    <w:rsid w:val="00542E58"/>
    <w:rsid w:val="00555B2B"/>
    <w:rsid w:val="0056433C"/>
    <w:rsid w:val="00565A8C"/>
    <w:rsid w:val="00565D68"/>
    <w:rsid w:val="00587FDD"/>
    <w:rsid w:val="005A52C4"/>
    <w:rsid w:val="005A54C3"/>
    <w:rsid w:val="005C646E"/>
    <w:rsid w:val="005C6958"/>
    <w:rsid w:val="005D059C"/>
    <w:rsid w:val="005D0C2E"/>
    <w:rsid w:val="005D77A7"/>
    <w:rsid w:val="005E64A1"/>
    <w:rsid w:val="005F07F5"/>
    <w:rsid w:val="005F40A5"/>
    <w:rsid w:val="005F7A37"/>
    <w:rsid w:val="00600E84"/>
    <w:rsid w:val="00615BE9"/>
    <w:rsid w:val="006301DE"/>
    <w:rsid w:val="0063086F"/>
    <w:rsid w:val="0063196B"/>
    <w:rsid w:val="00633BA2"/>
    <w:rsid w:val="006359B9"/>
    <w:rsid w:val="006366AC"/>
    <w:rsid w:val="0064352E"/>
    <w:rsid w:val="00656EB4"/>
    <w:rsid w:val="00660117"/>
    <w:rsid w:val="00681E5E"/>
    <w:rsid w:val="00697791"/>
    <w:rsid w:val="006B3D11"/>
    <w:rsid w:val="006C4CF2"/>
    <w:rsid w:val="006C75FE"/>
    <w:rsid w:val="006D2722"/>
    <w:rsid w:val="006D5829"/>
    <w:rsid w:val="007020D5"/>
    <w:rsid w:val="00703174"/>
    <w:rsid w:val="00714563"/>
    <w:rsid w:val="00722AF4"/>
    <w:rsid w:val="0072504F"/>
    <w:rsid w:val="007344DA"/>
    <w:rsid w:val="0073483D"/>
    <w:rsid w:val="00736649"/>
    <w:rsid w:val="00760AE5"/>
    <w:rsid w:val="00770491"/>
    <w:rsid w:val="0077119F"/>
    <w:rsid w:val="0077785C"/>
    <w:rsid w:val="00783FC6"/>
    <w:rsid w:val="007A359B"/>
    <w:rsid w:val="007A4A71"/>
    <w:rsid w:val="007C0B10"/>
    <w:rsid w:val="007C1498"/>
    <w:rsid w:val="007C4D24"/>
    <w:rsid w:val="007D1B8E"/>
    <w:rsid w:val="007D3F1C"/>
    <w:rsid w:val="007D5F9B"/>
    <w:rsid w:val="007E3B5F"/>
    <w:rsid w:val="007E549C"/>
    <w:rsid w:val="007E65B3"/>
    <w:rsid w:val="007E7E87"/>
    <w:rsid w:val="007F027C"/>
    <w:rsid w:val="007F0B66"/>
    <w:rsid w:val="007F3AC4"/>
    <w:rsid w:val="007F640C"/>
    <w:rsid w:val="00821336"/>
    <w:rsid w:val="0082183C"/>
    <w:rsid w:val="00827CF5"/>
    <w:rsid w:val="00832D89"/>
    <w:rsid w:val="0083728A"/>
    <w:rsid w:val="0084759E"/>
    <w:rsid w:val="00862BCA"/>
    <w:rsid w:val="008734B0"/>
    <w:rsid w:val="00881465"/>
    <w:rsid w:val="008A2477"/>
    <w:rsid w:val="008D0A9F"/>
    <w:rsid w:val="008E1C41"/>
    <w:rsid w:val="008E6ECA"/>
    <w:rsid w:val="008F79FE"/>
    <w:rsid w:val="00902CDA"/>
    <w:rsid w:val="0090328E"/>
    <w:rsid w:val="00906C07"/>
    <w:rsid w:val="00914185"/>
    <w:rsid w:val="00914228"/>
    <w:rsid w:val="00920B05"/>
    <w:rsid w:val="00923C85"/>
    <w:rsid w:val="00925D11"/>
    <w:rsid w:val="0093694D"/>
    <w:rsid w:val="009636D9"/>
    <w:rsid w:val="0096478B"/>
    <w:rsid w:val="00964BDA"/>
    <w:rsid w:val="009666F2"/>
    <w:rsid w:val="0098490D"/>
    <w:rsid w:val="009B1B9A"/>
    <w:rsid w:val="009B23A2"/>
    <w:rsid w:val="009B2A1A"/>
    <w:rsid w:val="009C0E91"/>
    <w:rsid w:val="009C1722"/>
    <w:rsid w:val="009D2D53"/>
    <w:rsid w:val="009E2FDE"/>
    <w:rsid w:val="009F657E"/>
    <w:rsid w:val="00A044BD"/>
    <w:rsid w:val="00A05994"/>
    <w:rsid w:val="00A10B5A"/>
    <w:rsid w:val="00A228E0"/>
    <w:rsid w:val="00A2606F"/>
    <w:rsid w:val="00A26C09"/>
    <w:rsid w:val="00A31C9A"/>
    <w:rsid w:val="00A3495C"/>
    <w:rsid w:val="00A37FF0"/>
    <w:rsid w:val="00A4255D"/>
    <w:rsid w:val="00A53D57"/>
    <w:rsid w:val="00A56B8E"/>
    <w:rsid w:val="00A6104B"/>
    <w:rsid w:val="00A629D5"/>
    <w:rsid w:val="00A64CC9"/>
    <w:rsid w:val="00A75C11"/>
    <w:rsid w:val="00A7687E"/>
    <w:rsid w:val="00A80CC0"/>
    <w:rsid w:val="00A83584"/>
    <w:rsid w:val="00A84CD9"/>
    <w:rsid w:val="00A87474"/>
    <w:rsid w:val="00AA4C2D"/>
    <w:rsid w:val="00AB0B53"/>
    <w:rsid w:val="00AB1ED6"/>
    <w:rsid w:val="00AC53FB"/>
    <w:rsid w:val="00AC7A87"/>
    <w:rsid w:val="00AE5CD8"/>
    <w:rsid w:val="00AF4353"/>
    <w:rsid w:val="00AF7DA2"/>
    <w:rsid w:val="00B03F73"/>
    <w:rsid w:val="00B06A35"/>
    <w:rsid w:val="00B33E4D"/>
    <w:rsid w:val="00B659B8"/>
    <w:rsid w:val="00B82CA6"/>
    <w:rsid w:val="00BB1095"/>
    <w:rsid w:val="00BB3266"/>
    <w:rsid w:val="00BD37F0"/>
    <w:rsid w:val="00BF6B81"/>
    <w:rsid w:val="00C12136"/>
    <w:rsid w:val="00C130AA"/>
    <w:rsid w:val="00C16209"/>
    <w:rsid w:val="00C2205B"/>
    <w:rsid w:val="00C2354A"/>
    <w:rsid w:val="00C328FC"/>
    <w:rsid w:val="00C37C0A"/>
    <w:rsid w:val="00C54BDA"/>
    <w:rsid w:val="00C63F41"/>
    <w:rsid w:val="00C67491"/>
    <w:rsid w:val="00C73B89"/>
    <w:rsid w:val="00C77557"/>
    <w:rsid w:val="00C93453"/>
    <w:rsid w:val="00CA3902"/>
    <w:rsid w:val="00CB10D0"/>
    <w:rsid w:val="00CB44B0"/>
    <w:rsid w:val="00CB7559"/>
    <w:rsid w:val="00CD7C10"/>
    <w:rsid w:val="00CE61EC"/>
    <w:rsid w:val="00D17AD5"/>
    <w:rsid w:val="00D17AED"/>
    <w:rsid w:val="00D41A21"/>
    <w:rsid w:val="00D53482"/>
    <w:rsid w:val="00D633C2"/>
    <w:rsid w:val="00D6785F"/>
    <w:rsid w:val="00D7042C"/>
    <w:rsid w:val="00D7169C"/>
    <w:rsid w:val="00D80CF9"/>
    <w:rsid w:val="00D84335"/>
    <w:rsid w:val="00D86DE7"/>
    <w:rsid w:val="00DA0272"/>
    <w:rsid w:val="00DA1848"/>
    <w:rsid w:val="00DA2884"/>
    <w:rsid w:val="00DA2B00"/>
    <w:rsid w:val="00DB3D91"/>
    <w:rsid w:val="00DB71C2"/>
    <w:rsid w:val="00DB76AF"/>
    <w:rsid w:val="00DC250E"/>
    <w:rsid w:val="00DC2C2F"/>
    <w:rsid w:val="00DC34DC"/>
    <w:rsid w:val="00DC73AE"/>
    <w:rsid w:val="00DD305F"/>
    <w:rsid w:val="00DE5FA9"/>
    <w:rsid w:val="00E15818"/>
    <w:rsid w:val="00E27D1D"/>
    <w:rsid w:val="00E30301"/>
    <w:rsid w:val="00E33572"/>
    <w:rsid w:val="00E37F1E"/>
    <w:rsid w:val="00E42E62"/>
    <w:rsid w:val="00E44167"/>
    <w:rsid w:val="00E462DC"/>
    <w:rsid w:val="00E50D35"/>
    <w:rsid w:val="00E60A17"/>
    <w:rsid w:val="00E741D9"/>
    <w:rsid w:val="00E965D3"/>
    <w:rsid w:val="00E9790D"/>
    <w:rsid w:val="00EA23AD"/>
    <w:rsid w:val="00EA36AA"/>
    <w:rsid w:val="00EA4950"/>
    <w:rsid w:val="00EA7236"/>
    <w:rsid w:val="00EC2C18"/>
    <w:rsid w:val="00EE1CA6"/>
    <w:rsid w:val="00EE274D"/>
    <w:rsid w:val="00EE5AE4"/>
    <w:rsid w:val="00EE64FE"/>
    <w:rsid w:val="00EF00CF"/>
    <w:rsid w:val="00EF66FE"/>
    <w:rsid w:val="00F00360"/>
    <w:rsid w:val="00F17D78"/>
    <w:rsid w:val="00F267FF"/>
    <w:rsid w:val="00F3486D"/>
    <w:rsid w:val="00F461DA"/>
    <w:rsid w:val="00F50799"/>
    <w:rsid w:val="00F520AD"/>
    <w:rsid w:val="00F5487B"/>
    <w:rsid w:val="00F54FCC"/>
    <w:rsid w:val="00F66A67"/>
    <w:rsid w:val="00F66EE2"/>
    <w:rsid w:val="00F827B1"/>
    <w:rsid w:val="00F948ED"/>
    <w:rsid w:val="00F965A6"/>
    <w:rsid w:val="00F97AC9"/>
    <w:rsid w:val="00FA6768"/>
    <w:rsid w:val="00FA786D"/>
    <w:rsid w:val="00FB57F2"/>
    <w:rsid w:val="00FC18F9"/>
    <w:rsid w:val="00FC385E"/>
    <w:rsid w:val="00FC7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tabs>
        <w:tab w:val="left" w:pos="850"/>
        <w:tab w:val="left" w:pos="1191"/>
        <w:tab w:val="left" w:pos="1531"/>
      </w:tabs>
      <w:jc w:val="both"/>
    </w:pPr>
    <w:rPr>
      <w:sz w:val="22"/>
      <w:szCs w:val="22"/>
      <w:lang w:val="en-GB" w:eastAsia="zh-CN"/>
    </w:rPr>
  </w:style>
  <w:style w:type="paragraph" w:styleId="Heading1">
    <w:name w:val="heading 1"/>
    <w:basedOn w:val="Normal"/>
    <w:next w:val="Num-DocParagraph"/>
    <w:link w:val="Heading1Char"/>
    <w:uiPriority w:val="9"/>
    <w:qFormat/>
    <w:pPr>
      <w:keepNext/>
      <w:spacing w:before="1200" w:after="720"/>
      <w:jc w:val="center"/>
      <w:outlineLvl w:val="0"/>
    </w:pPr>
    <w:rPr>
      <w:b/>
      <w:bCs/>
      <w:caps/>
      <w:kern w:val="28"/>
    </w:rPr>
  </w:style>
  <w:style w:type="paragraph" w:styleId="Heading2">
    <w:name w:val="heading 2"/>
    <w:basedOn w:val="Normal"/>
    <w:next w:val="Num-DocParagraph"/>
    <w:link w:val="Heading2Char"/>
    <w:qFormat/>
    <w:pPr>
      <w:keepNext/>
      <w:spacing w:before="240" w:after="240"/>
      <w:outlineLvl w:val="1"/>
    </w:pPr>
    <w:rPr>
      <w:b/>
      <w:bCs/>
    </w:rPr>
  </w:style>
  <w:style w:type="paragraph" w:styleId="Heading3">
    <w:name w:val="heading 3"/>
    <w:basedOn w:val="Normal"/>
    <w:next w:val="Num-DocParagraph"/>
    <w:qFormat/>
    <w:pPr>
      <w:keepNext/>
      <w:spacing w:before="240" w:after="240"/>
      <w:outlineLvl w:val="2"/>
    </w:pPr>
    <w:rPr>
      <w:b/>
      <w:bCs/>
      <w:i/>
      <w:iCs/>
    </w:rPr>
  </w:style>
  <w:style w:type="paragraph" w:styleId="Heading4">
    <w:name w:val="heading 4"/>
    <w:basedOn w:val="Normal"/>
    <w:next w:val="Num-DocParagraph"/>
    <w:qFormat/>
    <w:pPr>
      <w:keepNext/>
      <w:spacing w:before="240" w:after="240"/>
      <w:outlineLvl w:val="3"/>
    </w:pPr>
    <w:rPr>
      <w:i/>
      <w:iCs/>
    </w:rPr>
  </w:style>
  <w:style w:type="paragraph" w:styleId="Heading5">
    <w:name w:val="heading 5"/>
    <w:basedOn w:val="Normal"/>
    <w:next w:val="Num-DocParagraph"/>
    <w:qFormat/>
    <w:pPr>
      <w:spacing w:before="240" w:after="240"/>
      <w:outlineLvl w:val="4"/>
    </w:pPr>
  </w:style>
  <w:style w:type="paragraph" w:styleId="Heading6">
    <w:name w:val="heading 6"/>
    <w:basedOn w:val="Normal"/>
    <w:next w:val="Normal"/>
    <w:qFormat/>
    <w:pPr>
      <w:spacing w:before="240" w:after="60"/>
      <w:outlineLvl w:val="5"/>
    </w:pPr>
    <w:rPr>
      <w:b/>
      <w:bCs/>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BodyText"/>
    <w:pPr>
      <w:keepNext/>
      <w:spacing w:before="1200" w:after="720"/>
      <w:jc w:val="center"/>
    </w:pPr>
    <w:rPr>
      <w:b/>
      <w:bCs/>
      <w:caps/>
    </w:rPr>
  </w:style>
  <w:style w:type="paragraph" w:styleId="BodyText">
    <w:name w:val="Body Text"/>
    <w:basedOn w:val="Normal"/>
    <w:link w:val="BodyTextChar"/>
    <w:pPr>
      <w:spacing w:after="240"/>
      <w:ind w:firstLine="442"/>
    </w:pPr>
  </w:style>
  <w:style w:type="paragraph" w:customStyle="1" w:styleId="Annotation">
    <w:name w:val="Annotation"/>
    <w:basedOn w:val="BodyText"/>
    <w:pPr>
      <w:ind w:firstLine="0"/>
      <w:jc w:val="left"/>
    </w:pPr>
    <w:rPr>
      <w:b/>
      <w:bCs/>
      <w:i/>
      <w:iCs/>
    </w:rPr>
  </w:style>
  <w:style w:type="paragraph" w:customStyle="1" w:styleId="AppendixHeading">
    <w:name w:val="Appendix Heading"/>
    <w:basedOn w:val="Normal"/>
    <w:next w:val="BodyText"/>
    <w:pPr>
      <w:keepNext/>
      <w:spacing w:before="1200" w:after="720"/>
      <w:jc w:val="center"/>
    </w:pPr>
    <w:rPr>
      <w:b/>
      <w:bCs/>
      <w:caps/>
    </w:rPr>
  </w:style>
  <w:style w:type="paragraph" w:customStyle="1" w:styleId="Biblio-Entry">
    <w:name w:val="Biblio-Entry"/>
    <w:basedOn w:val="BodyText"/>
    <w:pPr>
      <w:ind w:left="567" w:hanging="567"/>
      <w:jc w:val="left"/>
    </w:pPr>
  </w:style>
  <w:style w:type="paragraph" w:customStyle="1" w:styleId="BibliographyHeading">
    <w:name w:val="Bibliography Heading"/>
    <w:basedOn w:val="Normal"/>
    <w:next w:val="Biblio-Entry"/>
    <w:pPr>
      <w:keepNext/>
      <w:spacing w:before="1200" w:after="720"/>
      <w:jc w:val="center"/>
    </w:pPr>
    <w:rPr>
      <w:b/>
      <w:bCs/>
      <w:caps/>
    </w:rPr>
  </w:style>
  <w:style w:type="paragraph" w:customStyle="1" w:styleId="BoxHeading">
    <w:name w:val="Box Heading"/>
    <w:basedOn w:val="Normal"/>
    <w:next w:val="BoxBodyText"/>
    <w:pPr>
      <w:spacing w:before="240" w:after="240"/>
      <w:jc w:val="center"/>
    </w:pPr>
    <w:rPr>
      <w:rFonts w:ascii="Arial" w:hAnsi="Arial" w:cs="Arial"/>
      <w:b/>
      <w:bCs/>
      <w:sz w:val="18"/>
    </w:rPr>
  </w:style>
  <w:style w:type="paragraph" w:customStyle="1" w:styleId="Cell">
    <w:name w:val="Cell"/>
    <w:basedOn w:val="Normal"/>
    <w:pPr>
      <w:tabs>
        <w:tab w:val="clear" w:pos="850"/>
        <w:tab w:val="clear" w:pos="1191"/>
        <w:tab w:val="clear" w:pos="1531"/>
      </w:tabs>
      <w:jc w:val="left"/>
    </w:pPr>
    <w:rPr>
      <w:rFonts w:ascii="Arial" w:hAnsi="Arial" w:cs="Arial"/>
      <w:sz w:val="18"/>
      <w:szCs w:val="18"/>
    </w:rPr>
  </w:style>
  <w:style w:type="paragraph" w:customStyle="1" w:styleId="ColumnsHeading">
    <w:name w:val="Columns Heading"/>
    <w:basedOn w:val="Normal"/>
    <w:pPr>
      <w:tabs>
        <w:tab w:val="clear" w:pos="850"/>
        <w:tab w:val="clear" w:pos="1191"/>
        <w:tab w:val="clear" w:pos="1531"/>
      </w:tabs>
      <w:jc w:val="center"/>
    </w:pPr>
    <w:rPr>
      <w:rFonts w:ascii="Arial" w:hAnsi="Arial" w:cs="Arial"/>
      <w:sz w:val="18"/>
      <w:szCs w:val="18"/>
    </w:rPr>
  </w:style>
  <w:style w:type="paragraph" w:customStyle="1" w:styleId="ConclusionHeading">
    <w:name w:val="Conclusion Heading"/>
    <w:basedOn w:val="Normal"/>
    <w:next w:val="BodyText"/>
    <w:pPr>
      <w:keepNext/>
      <w:spacing w:before="1200" w:after="720"/>
      <w:jc w:val="center"/>
    </w:pPr>
    <w:rPr>
      <w:b/>
      <w:bCs/>
      <w:caps/>
    </w:rPr>
  </w:style>
  <w:style w:type="paragraph" w:customStyle="1" w:styleId="DefinitionList">
    <w:name w:val="Definition List"/>
    <w:basedOn w:val="BodyText"/>
    <w:pPr>
      <w:tabs>
        <w:tab w:val="clear" w:pos="850"/>
        <w:tab w:val="clear" w:pos="1191"/>
        <w:tab w:val="clear" w:pos="1531"/>
      </w:tabs>
      <w:ind w:left="1984" w:hanging="1984"/>
      <w:jc w:val="center"/>
    </w:pPr>
  </w:style>
  <w:style w:type="paragraph" w:styleId="EndnoteText">
    <w:name w:val="endnote text"/>
    <w:basedOn w:val="Normal"/>
    <w:semiHidden/>
    <w:pPr>
      <w:spacing w:after="240"/>
      <w:ind w:left="850" w:hanging="850"/>
    </w:pPr>
    <w:rPr>
      <w:sz w:val="20"/>
      <w:szCs w:val="20"/>
    </w:rPr>
  </w:style>
  <w:style w:type="paragraph" w:customStyle="1" w:styleId="EndnotesHeading">
    <w:name w:val="Endnotes Heading"/>
    <w:basedOn w:val="Normal"/>
    <w:next w:val="BodyText"/>
    <w:pPr>
      <w:keepNext/>
      <w:spacing w:before="1200" w:after="480"/>
      <w:jc w:val="center"/>
    </w:pPr>
    <w:rPr>
      <w:b/>
      <w:bCs/>
      <w:caps/>
    </w:rPr>
  </w:style>
  <w:style w:type="paragraph" w:customStyle="1" w:styleId="ExecutiveSummaryHeading">
    <w:name w:val="Executive Summary Heading"/>
    <w:basedOn w:val="Normal"/>
    <w:next w:val="BodyText"/>
    <w:pPr>
      <w:keepNext/>
      <w:spacing w:before="1200" w:after="720"/>
      <w:jc w:val="center"/>
    </w:pPr>
    <w:rPr>
      <w:b/>
      <w:bCs/>
      <w:caps/>
    </w:rPr>
  </w:style>
  <w:style w:type="paragraph" w:customStyle="1" w:styleId="FigureNote">
    <w:name w:val="Figure Note"/>
    <w:basedOn w:val="Normal"/>
    <w:pPr>
      <w:spacing w:after="120"/>
    </w:pPr>
    <w:rPr>
      <w:rFonts w:ascii="Arial" w:hAnsi="Arial" w:cs="Arial"/>
      <w:sz w:val="16"/>
      <w:szCs w:val="18"/>
    </w:rPr>
  </w:style>
  <w:style w:type="paragraph" w:customStyle="1" w:styleId="FigureSub-title">
    <w:name w:val="Figure Sub-title"/>
    <w:basedOn w:val="Normal"/>
    <w:pPr>
      <w:keepNext/>
      <w:spacing w:after="120"/>
      <w:jc w:val="center"/>
    </w:pPr>
    <w:rPr>
      <w:rFonts w:ascii="Arial" w:hAnsi="Arial" w:cs="Arial"/>
      <w:sz w:val="18"/>
    </w:rPr>
  </w:style>
  <w:style w:type="paragraph" w:customStyle="1" w:styleId="FigureTitle">
    <w:name w:val="Figure Title"/>
    <w:basedOn w:val="Normal"/>
    <w:next w:val="FigureSub-title"/>
    <w:pPr>
      <w:keepNext/>
      <w:spacing w:after="240"/>
      <w:jc w:val="center"/>
    </w:pPr>
    <w:rPr>
      <w:rFonts w:ascii="Arial" w:hAnsi="Arial" w:cs="Arial"/>
      <w:b/>
      <w:bCs/>
      <w:sz w:val="18"/>
    </w:r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semiHidden/>
    <w:pPr>
      <w:spacing w:after="120"/>
      <w:ind w:left="850" w:hanging="850"/>
    </w:pPr>
    <w:rPr>
      <w:sz w:val="20"/>
      <w:szCs w:val="20"/>
    </w:rPr>
  </w:style>
  <w:style w:type="paragraph" w:customStyle="1" w:styleId="ForewordHeading">
    <w:name w:val="Foreword Heading"/>
    <w:basedOn w:val="Normal"/>
    <w:next w:val="BodyText"/>
    <w:pPr>
      <w:keepNext/>
      <w:spacing w:before="1200" w:after="720"/>
      <w:jc w:val="center"/>
    </w:pPr>
    <w:rPr>
      <w:b/>
      <w:bCs/>
      <w:caps/>
    </w:rPr>
  </w:style>
  <w:style w:type="paragraph" w:customStyle="1" w:styleId="GlossaryHeading">
    <w:name w:val="Glossary Heading"/>
    <w:basedOn w:val="Normal"/>
    <w:next w:val="BodyText"/>
    <w:pPr>
      <w:keepNext/>
      <w:spacing w:before="1200" w:after="720"/>
      <w:jc w:val="center"/>
    </w:pPr>
    <w:rPr>
      <w:b/>
      <w:bCs/>
      <w:caps/>
    </w:rPr>
  </w:style>
  <w:style w:type="paragraph" w:customStyle="1" w:styleId="Graphic">
    <w:name w:val="Graphic"/>
    <w:basedOn w:val="Normal"/>
    <w:next w:val="BodyText"/>
    <w:pPr>
      <w:spacing w:after="240"/>
      <w:jc w:val="center"/>
    </w:pPr>
  </w:style>
  <w:style w:type="paragraph" w:customStyle="1" w:styleId="HiddenText">
    <w:name w:val="Hidden Text"/>
    <w:basedOn w:val="BodyText"/>
    <w:pPr>
      <w:keepNext/>
      <w:spacing w:after="0"/>
      <w:ind w:left="442" w:firstLine="0"/>
    </w:pPr>
    <w:rPr>
      <w:sz w:val="2"/>
      <w:szCs w:val="2"/>
    </w:rPr>
  </w:style>
  <w:style w:type="paragraph" w:customStyle="1" w:styleId="Highlight">
    <w:name w:val="Highlight"/>
    <w:basedOn w:val="BodyText"/>
    <w:pPr>
      <w:ind w:left="442" w:firstLine="0"/>
    </w:pPr>
    <w:rPr>
      <w:i/>
      <w:iCs/>
    </w:rPr>
  </w:style>
  <w:style w:type="paragraph" w:customStyle="1" w:styleId="HighlightHeading">
    <w:name w:val="Highlight Heading"/>
    <w:basedOn w:val="Normal"/>
    <w:next w:val="BodyText"/>
    <w:pPr>
      <w:keepNext/>
      <w:spacing w:before="1200" w:after="720"/>
      <w:jc w:val="center"/>
    </w:pPr>
    <w:rPr>
      <w:b/>
      <w:bCs/>
      <w:caps/>
    </w:rPr>
  </w:style>
  <w:style w:type="paragraph" w:styleId="Index1">
    <w:name w:val="index 1"/>
    <w:basedOn w:val="Normal"/>
    <w:next w:val="Normal"/>
    <w:semiHidden/>
    <w:pPr>
      <w:ind w:left="220" w:hanging="220"/>
    </w:pPr>
  </w:style>
  <w:style w:type="paragraph" w:styleId="IndexHeading">
    <w:name w:val="index heading"/>
    <w:basedOn w:val="Normal"/>
    <w:next w:val="BodyText"/>
    <w:semiHidden/>
    <w:pPr>
      <w:keepNext/>
      <w:spacing w:before="1200" w:after="720"/>
      <w:jc w:val="center"/>
    </w:pPr>
    <w:rPr>
      <w:b/>
      <w:bCs/>
      <w:caps/>
    </w:rPr>
  </w:style>
  <w:style w:type="paragraph" w:customStyle="1" w:styleId="IntroductionHeading">
    <w:name w:val="Introduction Heading"/>
    <w:basedOn w:val="Normal"/>
    <w:next w:val="BodyText"/>
    <w:pPr>
      <w:keepNext/>
      <w:spacing w:before="1200" w:after="720"/>
      <w:jc w:val="center"/>
    </w:pPr>
    <w:rPr>
      <w:b/>
      <w:bCs/>
      <w:caps/>
    </w:rPr>
  </w:style>
  <w:style w:type="paragraph" w:styleId="List">
    <w:name w:val="List"/>
    <w:basedOn w:val="Normal"/>
    <w:pPr>
      <w:spacing w:after="240"/>
      <w:ind w:left="850" w:hanging="283"/>
    </w:pPr>
  </w:style>
  <w:style w:type="paragraph" w:styleId="List2">
    <w:name w:val="List 2"/>
    <w:basedOn w:val="Normal"/>
    <w:pPr>
      <w:spacing w:after="240"/>
      <w:ind w:left="1134" w:hanging="283"/>
    </w:pPr>
  </w:style>
  <w:style w:type="paragraph" w:styleId="List3">
    <w:name w:val="List 3"/>
    <w:basedOn w:val="Normal"/>
    <w:pPr>
      <w:spacing w:after="240"/>
      <w:ind w:left="1417" w:hanging="283"/>
    </w:pPr>
  </w:style>
  <w:style w:type="paragraph" w:styleId="List4">
    <w:name w:val="List 4"/>
    <w:basedOn w:val="Normal"/>
    <w:pPr>
      <w:spacing w:after="240"/>
      <w:ind w:left="1701" w:hanging="283"/>
    </w:pPr>
  </w:style>
  <w:style w:type="paragraph" w:styleId="List5">
    <w:name w:val="List 5"/>
    <w:basedOn w:val="Normal"/>
    <w:pPr>
      <w:spacing w:after="240"/>
      <w:ind w:left="1984" w:hanging="283"/>
    </w:pPr>
  </w:style>
  <w:style w:type="paragraph" w:styleId="ListBullet">
    <w:name w:val="List Bullet"/>
    <w:basedOn w:val="Normal"/>
    <w:pPr>
      <w:numPr>
        <w:numId w:val="5"/>
      </w:numPr>
      <w:tabs>
        <w:tab w:val="clear" w:pos="1191"/>
        <w:tab w:val="clear" w:pos="1531"/>
      </w:tabs>
      <w:spacing w:after="240"/>
    </w:pPr>
  </w:style>
  <w:style w:type="paragraph" w:styleId="ListBullet2">
    <w:name w:val="List Bullet 2"/>
    <w:basedOn w:val="Normal"/>
    <w:pPr>
      <w:numPr>
        <w:numId w:val="6"/>
      </w:numPr>
      <w:tabs>
        <w:tab w:val="clear" w:pos="850"/>
        <w:tab w:val="clear" w:pos="1531"/>
      </w:tabs>
      <w:spacing w:after="240"/>
    </w:pPr>
  </w:style>
  <w:style w:type="paragraph" w:styleId="ListBullet3">
    <w:name w:val="List Bullet 3"/>
    <w:basedOn w:val="Normal"/>
    <w:pPr>
      <w:numPr>
        <w:numId w:val="7"/>
      </w:numPr>
      <w:tabs>
        <w:tab w:val="clear" w:pos="850"/>
        <w:tab w:val="clear" w:pos="1191"/>
        <w:tab w:val="clear" w:pos="1531"/>
      </w:tabs>
      <w:spacing w:after="240"/>
    </w:pPr>
  </w:style>
  <w:style w:type="paragraph" w:styleId="ListBullet4">
    <w:name w:val="List Bullet 4"/>
    <w:basedOn w:val="Normal"/>
    <w:pPr>
      <w:numPr>
        <w:numId w:val="8"/>
      </w:numPr>
      <w:tabs>
        <w:tab w:val="clear" w:pos="850"/>
        <w:tab w:val="clear" w:pos="1191"/>
        <w:tab w:val="clear" w:pos="1531"/>
      </w:tabs>
      <w:spacing w:after="240"/>
    </w:pPr>
  </w:style>
  <w:style w:type="paragraph" w:styleId="ListBullet5">
    <w:name w:val="List Bullet 5"/>
    <w:basedOn w:val="Normal"/>
    <w:pPr>
      <w:numPr>
        <w:numId w:val="9"/>
      </w:numPr>
      <w:tabs>
        <w:tab w:val="clear" w:pos="850"/>
        <w:tab w:val="clear" w:pos="1191"/>
        <w:tab w:val="clear" w:pos="1531"/>
      </w:tabs>
      <w:spacing w:after="240"/>
    </w:pPr>
  </w:style>
  <w:style w:type="paragraph" w:styleId="ListContinue">
    <w:name w:val="List Continue"/>
    <w:basedOn w:val="Normal"/>
    <w:pPr>
      <w:tabs>
        <w:tab w:val="clear" w:pos="850"/>
        <w:tab w:val="clear" w:pos="1191"/>
        <w:tab w:val="clear" w:pos="1531"/>
      </w:tabs>
      <w:spacing w:after="240"/>
      <w:ind w:left="850"/>
    </w:pPr>
  </w:style>
  <w:style w:type="paragraph" w:styleId="ListContinue2">
    <w:name w:val="List Continue 2"/>
    <w:basedOn w:val="Normal"/>
    <w:pPr>
      <w:tabs>
        <w:tab w:val="clear" w:pos="850"/>
        <w:tab w:val="clear" w:pos="1191"/>
        <w:tab w:val="clear" w:pos="1531"/>
      </w:tabs>
      <w:spacing w:after="240"/>
      <w:ind w:left="1191"/>
    </w:pPr>
  </w:style>
  <w:style w:type="paragraph" w:styleId="ListContinue3">
    <w:name w:val="List Continue 3"/>
    <w:basedOn w:val="Normal"/>
    <w:pPr>
      <w:tabs>
        <w:tab w:val="clear" w:pos="850"/>
        <w:tab w:val="clear" w:pos="1191"/>
        <w:tab w:val="clear" w:pos="1531"/>
      </w:tabs>
      <w:spacing w:after="240"/>
      <w:ind w:left="1474"/>
    </w:pPr>
  </w:style>
  <w:style w:type="paragraph" w:styleId="ListContinue4">
    <w:name w:val="List Continue 4"/>
    <w:basedOn w:val="Normal"/>
    <w:pPr>
      <w:tabs>
        <w:tab w:val="clear" w:pos="850"/>
        <w:tab w:val="clear" w:pos="1191"/>
        <w:tab w:val="clear" w:pos="1531"/>
      </w:tabs>
      <w:spacing w:after="240"/>
      <w:ind w:left="1757"/>
    </w:pPr>
  </w:style>
  <w:style w:type="paragraph" w:styleId="ListContinue5">
    <w:name w:val="List Continue 5"/>
    <w:basedOn w:val="Normal"/>
    <w:pPr>
      <w:tabs>
        <w:tab w:val="clear" w:pos="850"/>
        <w:tab w:val="clear" w:pos="1191"/>
        <w:tab w:val="clear" w:pos="1531"/>
      </w:tabs>
      <w:spacing w:after="240"/>
      <w:ind w:left="2041"/>
    </w:pPr>
  </w:style>
  <w:style w:type="paragraph" w:styleId="ListNumber">
    <w:name w:val="List Number"/>
    <w:basedOn w:val="Normal"/>
    <w:pPr>
      <w:numPr>
        <w:numId w:val="10"/>
      </w:numPr>
      <w:tabs>
        <w:tab w:val="clear" w:pos="1191"/>
        <w:tab w:val="clear" w:pos="1531"/>
        <w:tab w:val="left" w:pos="1134"/>
      </w:tabs>
      <w:spacing w:after="240"/>
    </w:pPr>
  </w:style>
  <w:style w:type="paragraph" w:styleId="ListNumber2">
    <w:name w:val="List Number 2"/>
    <w:basedOn w:val="Normal"/>
    <w:pPr>
      <w:numPr>
        <w:ilvl w:val="1"/>
        <w:numId w:val="10"/>
      </w:numPr>
      <w:tabs>
        <w:tab w:val="clear" w:pos="850"/>
        <w:tab w:val="clear" w:pos="1531"/>
        <w:tab w:val="left" w:pos="1417"/>
      </w:tabs>
      <w:spacing w:after="240"/>
    </w:pPr>
  </w:style>
  <w:style w:type="paragraph" w:styleId="ListNumber3">
    <w:name w:val="List Number 3"/>
    <w:basedOn w:val="Normal"/>
    <w:pPr>
      <w:numPr>
        <w:ilvl w:val="2"/>
        <w:numId w:val="10"/>
      </w:numPr>
      <w:tabs>
        <w:tab w:val="clear" w:pos="850"/>
        <w:tab w:val="clear" w:pos="1191"/>
        <w:tab w:val="clear" w:pos="1531"/>
        <w:tab w:val="left" w:pos="1701"/>
      </w:tabs>
      <w:spacing w:after="240"/>
    </w:pPr>
  </w:style>
  <w:style w:type="paragraph" w:styleId="ListNumber4">
    <w:name w:val="List Number 4"/>
    <w:basedOn w:val="Normal"/>
    <w:pPr>
      <w:numPr>
        <w:ilvl w:val="3"/>
        <w:numId w:val="10"/>
      </w:numPr>
      <w:tabs>
        <w:tab w:val="clear" w:pos="850"/>
        <w:tab w:val="clear" w:pos="1191"/>
        <w:tab w:val="clear" w:pos="1531"/>
        <w:tab w:val="left" w:pos="1984"/>
      </w:tabs>
      <w:spacing w:after="240"/>
    </w:pPr>
  </w:style>
  <w:style w:type="paragraph" w:styleId="ListNumber5">
    <w:name w:val="List Number 5"/>
    <w:basedOn w:val="Normal"/>
    <w:pPr>
      <w:numPr>
        <w:ilvl w:val="4"/>
        <w:numId w:val="10"/>
      </w:numPr>
      <w:tabs>
        <w:tab w:val="clear" w:pos="850"/>
        <w:tab w:val="clear" w:pos="1191"/>
        <w:tab w:val="clear" w:pos="1531"/>
        <w:tab w:val="left" w:pos="2268"/>
      </w:tabs>
      <w:spacing w:after="240"/>
    </w:pPr>
  </w:style>
  <w:style w:type="paragraph" w:customStyle="1" w:styleId="Num-ChapParagraph">
    <w:name w:val="Num-Chap Paragraph"/>
    <w:basedOn w:val="BodyText"/>
    <w:pPr>
      <w:ind w:firstLine="0"/>
    </w:pPr>
  </w:style>
  <w:style w:type="paragraph" w:customStyle="1" w:styleId="Num-DocParagraph">
    <w:name w:val="Num-Doc Paragraph"/>
    <w:basedOn w:val="BodyText"/>
    <w:pPr>
      <w:ind w:firstLine="0"/>
    </w:pPr>
  </w:style>
  <w:style w:type="paragraph" w:customStyle="1" w:styleId="PartHeading">
    <w:name w:val="Part Heading"/>
    <w:basedOn w:val="Normal"/>
    <w:next w:val="BodyText"/>
    <w:pPr>
      <w:keepNext/>
      <w:spacing w:before="1200" w:after="720"/>
      <w:jc w:val="center"/>
    </w:pPr>
    <w:rPr>
      <w:b/>
      <w:bCs/>
      <w:caps/>
    </w:rPr>
  </w:style>
  <w:style w:type="paragraph" w:customStyle="1" w:styleId="RowsHeading">
    <w:name w:val="Rows Heading"/>
    <w:basedOn w:val="Normal"/>
    <w:pPr>
      <w:tabs>
        <w:tab w:val="clear" w:pos="850"/>
        <w:tab w:val="clear" w:pos="1191"/>
        <w:tab w:val="clear" w:pos="1531"/>
      </w:tabs>
      <w:jc w:val="left"/>
    </w:pPr>
    <w:rPr>
      <w:rFonts w:ascii="Arial" w:hAnsi="Arial" w:cs="Arial"/>
      <w:sz w:val="18"/>
      <w:szCs w:val="18"/>
    </w:rPr>
  </w:style>
  <w:style w:type="paragraph" w:customStyle="1" w:styleId="SourceDescription">
    <w:name w:val="Source Description"/>
    <w:basedOn w:val="Normal"/>
    <w:next w:val="BodyText"/>
    <w:pPr>
      <w:spacing w:after="360"/>
    </w:pPr>
    <w:rPr>
      <w:rFonts w:ascii="Arial" w:hAnsi="Arial" w:cs="Arial"/>
      <w:sz w:val="16"/>
      <w:szCs w:val="18"/>
    </w:rPr>
  </w:style>
  <w:style w:type="paragraph" w:customStyle="1" w:styleId="SubHeading">
    <w:name w:val="SubHeading"/>
    <w:basedOn w:val="BodyText"/>
    <w:pPr>
      <w:ind w:left="442" w:firstLine="0"/>
    </w:pPr>
    <w:rPr>
      <w:i/>
      <w:iCs/>
    </w:rPr>
  </w:style>
  <w:style w:type="paragraph" w:customStyle="1" w:styleId="SummaryHeading">
    <w:name w:val="Summary Heading"/>
    <w:basedOn w:val="Normal"/>
    <w:next w:val="BodyText"/>
    <w:pPr>
      <w:keepNext/>
      <w:spacing w:before="1200" w:after="720"/>
      <w:jc w:val="center"/>
    </w:pPr>
    <w:rPr>
      <w:b/>
      <w:bCs/>
      <w:caps/>
    </w:rPr>
  </w:style>
  <w:style w:type="paragraph" w:customStyle="1" w:styleId="Table">
    <w:name w:val="Table"/>
    <w:basedOn w:val="Normal"/>
    <w:next w:val="BodyText"/>
    <w:pPr>
      <w:spacing w:after="240"/>
      <w:jc w:val="center"/>
    </w:pPr>
  </w:style>
  <w:style w:type="paragraph" w:customStyle="1" w:styleId="TableNote">
    <w:name w:val="Table Note"/>
    <w:basedOn w:val="Normal"/>
    <w:pPr>
      <w:spacing w:after="120"/>
      <w:jc w:val="left"/>
    </w:pPr>
    <w:rPr>
      <w:rFonts w:ascii="Arial" w:hAnsi="Arial" w:cs="Arial"/>
      <w:sz w:val="16"/>
      <w:szCs w:val="18"/>
    </w:rPr>
  </w:style>
  <w:style w:type="paragraph" w:customStyle="1" w:styleId="TableofContentsHeading">
    <w:name w:val="Table of Contents Heading"/>
    <w:basedOn w:val="Normal"/>
    <w:next w:val="BodyText"/>
    <w:pPr>
      <w:keepNext/>
      <w:spacing w:before="1200" w:after="720"/>
      <w:jc w:val="center"/>
    </w:pPr>
    <w:rPr>
      <w:b/>
      <w:bCs/>
      <w:caps/>
    </w:rPr>
  </w:style>
  <w:style w:type="paragraph" w:customStyle="1" w:styleId="TableSub-title">
    <w:name w:val="Table Sub-title"/>
    <w:basedOn w:val="Normal"/>
    <w:pPr>
      <w:keepNext/>
      <w:spacing w:after="240"/>
      <w:jc w:val="center"/>
    </w:pPr>
    <w:rPr>
      <w:rFonts w:ascii="Arial" w:hAnsi="Arial" w:cs="Arial"/>
      <w:sz w:val="18"/>
    </w:rPr>
  </w:style>
  <w:style w:type="paragraph" w:customStyle="1" w:styleId="TableTitle">
    <w:name w:val="Table Title"/>
    <w:basedOn w:val="Normal"/>
    <w:pPr>
      <w:keepNext/>
      <w:spacing w:after="240"/>
      <w:jc w:val="center"/>
    </w:pPr>
    <w:rPr>
      <w:rFonts w:ascii="Arial" w:hAnsi="Arial" w:cs="Arial"/>
      <w:b/>
      <w:bCs/>
      <w:sz w:val="18"/>
    </w:rPr>
  </w:style>
  <w:style w:type="paragraph" w:customStyle="1" w:styleId="TextBox">
    <w:name w:val="Text Box"/>
    <w:basedOn w:val="BodyText"/>
    <w:pPr>
      <w:pBdr>
        <w:top w:val="single" w:sz="6" w:space="1" w:color="auto"/>
        <w:left w:val="single" w:sz="6" w:space="1" w:color="auto"/>
        <w:bottom w:val="single" w:sz="6" w:space="1" w:color="auto"/>
        <w:right w:val="single" w:sz="6" w:space="1" w:color="auto"/>
      </w:pBdr>
      <w:ind w:firstLine="0"/>
    </w:pPr>
    <w:rPr>
      <w:rFonts w:ascii="Arial" w:hAnsi="Arial" w:cs="Arial"/>
      <w:sz w:val="18"/>
    </w:rPr>
  </w:style>
  <w:style w:type="paragraph" w:customStyle="1" w:styleId="TextBoxHeading">
    <w:name w:val="Text Box Heading"/>
    <w:basedOn w:val="TextBox"/>
    <w:next w:val="TextBox"/>
    <w:pPr>
      <w:jc w:val="center"/>
    </w:pPr>
    <w:rPr>
      <w:b/>
      <w:bCs/>
    </w:rPr>
  </w:style>
  <w:style w:type="paragraph" w:styleId="TOC1">
    <w:name w:val="toc 1"/>
    <w:basedOn w:val="Normal"/>
    <w:next w:val="Normal"/>
    <w:uiPriority w:val="39"/>
    <w:qFormat/>
    <w:pPr>
      <w:tabs>
        <w:tab w:val="clear" w:pos="850"/>
        <w:tab w:val="clear" w:pos="1191"/>
        <w:tab w:val="clear" w:pos="1531"/>
        <w:tab w:val="right" w:leader="dot" w:pos="9468"/>
      </w:tabs>
      <w:spacing w:before="120" w:after="120"/>
    </w:pPr>
    <w:rPr>
      <w:caps/>
    </w:rPr>
  </w:style>
  <w:style w:type="paragraph" w:styleId="TOC2">
    <w:name w:val="toc 2"/>
    <w:basedOn w:val="Normal"/>
    <w:next w:val="Normal"/>
    <w:uiPriority w:val="39"/>
    <w:qFormat/>
    <w:pPr>
      <w:tabs>
        <w:tab w:val="clear" w:pos="850"/>
        <w:tab w:val="clear" w:pos="1191"/>
        <w:tab w:val="clear" w:pos="1531"/>
        <w:tab w:val="right" w:leader="dot" w:pos="9468"/>
      </w:tabs>
      <w:ind w:left="198"/>
    </w:pPr>
  </w:style>
  <w:style w:type="paragraph" w:styleId="TOC3">
    <w:name w:val="toc 3"/>
    <w:basedOn w:val="Normal"/>
    <w:next w:val="Normal"/>
    <w:qFormat/>
    <w:pPr>
      <w:tabs>
        <w:tab w:val="clear" w:pos="850"/>
        <w:tab w:val="clear" w:pos="1191"/>
        <w:tab w:val="clear" w:pos="1531"/>
        <w:tab w:val="right" w:leader="dot" w:pos="9468"/>
      </w:tabs>
      <w:ind w:left="397"/>
    </w:pPr>
  </w:style>
  <w:style w:type="paragraph" w:styleId="TOC4">
    <w:name w:val="toc 4"/>
    <w:basedOn w:val="Normal"/>
    <w:next w:val="Normal"/>
    <w:qFormat/>
    <w:pPr>
      <w:tabs>
        <w:tab w:val="clear" w:pos="850"/>
        <w:tab w:val="clear" w:pos="1191"/>
        <w:tab w:val="clear" w:pos="1531"/>
        <w:tab w:val="right" w:leader="dot" w:pos="9468"/>
      </w:tabs>
      <w:ind w:left="595"/>
    </w:pPr>
    <w:rPr>
      <w:noProof/>
    </w:rPr>
  </w:style>
  <w:style w:type="paragraph" w:styleId="TOC5">
    <w:name w:val="toc 5"/>
    <w:basedOn w:val="Normal"/>
    <w:next w:val="Normal"/>
    <w:qFormat/>
    <w:pPr>
      <w:tabs>
        <w:tab w:val="clear" w:pos="850"/>
        <w:tab w:val="clear" w:pos="1191"/>
        <w:tab w:val="clear" w:pos="1531"/>
        <w:tab w:val="right" w:leader="dot" w:pos="9468"/>
      </w:tabs>
      <w:ind w:left="794"/>
    </w:pPr>
    <w:rPr>
      <w:noProof/>
    </w:rPr>
  </w:style>
  <w:style w:type="paragraph" w:customStyle="1" w:styleId="IndexHeading1">
    <w:name w:val="Index Heading1"/>
    <w:basedOn w:val="Normal"/>
    <w:next w:val="BodyText"/>
    <w:pPr>
      <w:keepNext/>
      <w:spacing w:before="1200" w:after="720"/>
      <w:jc w:val="center"/>
    </w:pPr>
    <w:rPr>
      <w:b/>
      <w:caps/>
      <w:lang w:val="en-US"/>
    </w:rPr>
  </w:style>
  <w:style w:type="paragraph" w:styleId="BlockText">
    <w:name w:val="Block Text"/>
    <w:basedOn w:val="Normal"/>
    <w:pPr>
      <w:spacing w:after="120"/>
      <w:ind w:left="1440" w:right="1440"/>
    </w:pPr>
  </w:style>
  <w:style w:type="paragraph" w:styleId="TOC9">
    <w:name w:val="toc 9"/>
    <w:basedOn w:val="Normal"/>
    <w:next w:val="Normal"/>
    <w:qFormat/>
    <w:pPr>
      <w:tabs>
        <w:tab w:val="clear" w:pos="850"/>
        <w:tab w:val="clear" w:pos="1191"/>
        <w:tab w:val="clear" w:pos="1531"/>
      </w:tabs>
      <w:ind w:left="1760"/>
    </w:pPr>
  </w:style>
  <w:style w:type="paragraph" w:customStyle="1" w:styleId="Abstract">
    <w:name w:val="Abstract"/>
    <w:basedOn w:val="BodyText"/>
    <w:pPr>
      <w:pBdr>
        <w:top w:val="single" w:sz="4" w:space="1" w:color="auto"/>
        <w:left w:val="single" w:sz="4" w:space="4" w:color="auto"/>
        <w:bottom w:val="single" w:sz="4" w:space="1" w:color="auto"/>
        <w:right w:val="single" w:sz="4" w:space="4" w:color="auto"/>
      </w:pBdr>
      <w:ind w:left="442" w:firstLine="0"/>
    </w:pPr>
    <w:rPr>
      <w:lang w:val="en-US"/>
    </w:rPr>
  </w:style>
  <w:style w:type="paragraph" w:customStyle="1" w:styleId="Author">
    <w:name w:val="Author"/>
    <w:basedOn w:val="BodyText"/>
    <w:pPr>
      <w:ind w:firstLine="0"/>
    </w:pPr>
    <w:rPr>
      <w:lang w:val="en-US"/>
    </w:rPr>
  </w:style>
  <w:style w:type="paragraph" w:customStyle="1" w:styleId="Chart">
    <w:name w:val="Chart"/>
    <w:basedOn w:val="Normal"/>
    <w:next w:val="BodyText"/>
    <w:pPr>
      <w:spacing w:after="240"/>
      <w:jc w:val="center"/>
    </w:pPr>
    <w:rPr>
      <w:lang w:val="en-US"/>
    </w:rPr>
  </w:style>
  <w:style w:type="paragraph" w:customStyle="1" w:styleId="ChartSub-title">
    <w:name w:val="Chart Sub-title"/>
    <w:basedOn w:val="Normal"/>
    <w:pPr>
      <w:keepNext/>
      <w:spacing w:after="120"/>
      <w:jc w:val="center"/>
    </w:pPr>
    <w:rPr>
      <w:rFonts w:ascii="Arial" w:hAnsi="Arial" w:cs="Arial"/>
      <w:sz w:val="18"/>
      <w:lang w:val="en-US"/>
    </w:rPr>
  </w:style>
  <w:style w:type="paragraph" w:customStyle="1" w:styleId="ChartTitle">
    <w:name w:val="Chart Title"/>
    <w:basedOn w:val="Normal"/>
    <w:next w:val="ChartSub-title"/>
    <w:pPr>
      <w:keepNext/>
      <w:spacing w:after="240"/>
      <w:jc w:val="center"/>
    </w:pPr>
    <w:rPr>
      <w:rFonts w:ascii="Arial" w:hAnsi="Arial" w:cs="Arial"/>
      <w:b/>
      <w:sz w:val="18"/>
      <w:lang w:val="en-US"/>
    </w:rPr>
  </w:style>
  <w:style w:type="paragraph" w:customStyle="1" w:styleId="ChartNote">
    <w:name w:val="Chart Note"/>
    <w:basedOn w:val="Normal"/>
    <w:pPr>
      <w:spacing w:after="120"/>
      <w:jc w:val="left"/>
    </w:pPr>
    <w:rPr>
      <w:rFonts w:ascii="Arial" w:hAnsi="Arial" w:cs="Arial"/>
      <w:sz w:val="16"/>
      <w:lang w:val="en-US"/>
    </w:rPr>
  </w:style>
  <w:style w:type="paragraph" w:customStyle="1" w:styleId="BoxHeading2">
    <w:name w:val="Box Heading 2"/>
    <w:basedOn w:val="Normal"/>
    <w:next w:val="BoxBodyText"/>
    <w:pPr>
      <w:spacing w:before="240" w:after="240"/>
      <w:jc w:val="left"/>
    </w:pPr>
    <w:rPr>
      <w:rFonts w:ascii="Arial" w:hAnsi="Arial" w:cs="Arial"/>
      <w:b/>
      <w:sz w:val="18"/>
      <w:lang w:val="en-US"/>
    </w:rPr>
  </w:style>
  <w:style w:type="paragraph" w:customStyle="1" w:styleId="BoxHeading3">
    <w:name w:val="Box Heading 3"/>
    <w:basedOn w:val="Normal"/>
    <w:next w:val="BoxBodyText"/>
    <w:pPr>
      <w:spacing w:before="240" w:after="240"/>
      <w:jc w:val="left"/>
    </w:pPr>
    <w:rPr>
      <w:rFonts w:ascii="Arial" w:hAnsi="Arial" w:cs="Arial"/>
      <w:b/>
      <w:i/>
      <w:sz w:val="18"/>
      <w:lang w:val="en-US"/>
    </w:rPr>
  </w:style>
  <w:style w:type="paragraph" w:customStyle="1" w:styleId="BoxNote">
    <w:name w:val="Box Note"/>
    <w:basedOn w:val="Normal"/>
    <w:pPr>
      <w:tabs>
        <w:tab w:val="clear" w:pos="850"/>
        <w:tab w:val="clear" w:pos="1191"/>
        <w:tab w:val="clear" w:pos="1531"/>
        <w:tab w:val="left" w:pos="340"/>
      </w:tabs>
      <w:spacing w:after="120"/>
      <w:jc w:val="left"/>
    </w:pPr>
    <w:rPr>
      <w:rFonts w:ascii="Arial" w:hAnsi="Arial" w:cs="Arial"/>
      <w:sz w:val="18"/>
      <w:lang w:val="en-US"/>
    </w:rPr>
  </w:style>
  <w:style w:type="paragraph" w:customStyle="1" w:styleId="ListBulletBox">
    <w:name w:val="List Bullet Box"/>
    <w:basedOn w:val="Normal"/>
    <w:pPr>
      <w:numPr>
        <w:numId w:val="11"/>
      </w:numPr>
      <w:tabs>
        <w:tab w:val="clear" w:pos="1191"/>
        <w:tab w:val="clear" w:pos="1531"/>
      </w:tabs>
      <w:spacing w:after="240"/>
    </w:pPr>
    <w:rPr>
      <w:rFonts w:ascii="Arial" w:hAnsi="Arial" w:cs="Arial"/>
      <w:sz w:val="18"/>
      <w:lang w:val="en-US"/>
    </w:rPr>
  </w:style>
  <w:style w:type="paragraph" w:customStyle="1" w:styleId="ListBulletBox2">
    <w:name w:val="List Bullet Box 2"/>
    <w:basedOn w:val="Normal"/>
    <w:pPr>
      <w:numPr>
        <w:numId w:val="12"/>
      </w:numPr>
      <w:tabs>
        <w:tab w:val="clear" w:pos="850"/>
        <w:tab w:val="clear" w:pos="1531"/>
      </w:tabs>
      <w:spacing w:after="240"/>
    </w:pPr>
    <w:rPr>
      <w:rFonts w:ascii="Arial" w:hAnsi="Arial" w:cs="Arial"/>
      <w:sz w:val="18"/>
      <w:lang w:val="en-US"/>
    </w:rPr>
  </w:style>
  <w:style w:type="paragraph" w:customStyle="1" w:styleId="ListBulletBox3">
    <w:name w:val="List Bullet Box 3"/>
    <w:basedOn w:val="Normal"/>
    <w:pPr>
      <w:numPr>
        <w:numId w:val="13"/>
      </w:numPr>
      <w:tabs>
        <w:tab w:val="clear" w:pos="850"/>
        <w:tab w:val="clear" w:pos="1191"/>
        <w:tab w:val="clear" w:pos="1531"/>
      </w:tabs>
      <w:spacing w:after="240"/>
    </w:pPr>
    <w:rPr>
      <w:rFonts w:ascii="Arial" w:hAnsi="Arial" w:cs="Arial"/>
      <w:sz w:val="18"/>
      <w:lang w:val="en-US"/>
    </w:rPr>
  </w:style>
  <w:style w:type="paragraph" w:customStyle="1" w:styleId="ListNumberBox">
    <w:name w:val="List Number Box"/>
    <w:basedOn w:val="Normal"/>
    <w:pPr>
      <w:numPr>
        <w:numId w:val="14"/>
      </w:numPr>
      <w:tabs>
        <w:tab w:val="clear" w:pos="1191"/>
        <w:tab w:val="clear" w:pos="1531"/>
        <w:tab w:val="clear" w:pos="1950"/>
      </w:tabs>
      <w:spacing w:after="240"/>
      <w:ind w:left="850"/>
    </w:pPr>
    <w:rPr>
      <w:rFonts w:ascii="Arial" w:hAnsi="Arial" w:cs="Arial"/>
      <w:sz w:val="18"/>
      <w:lang w:val="en-US"/>
    </w:rPr>
  </w:style>
  <w:style w:type="paragraph" w:customStyle="1" w:styleId="ListNumberBox2">
    <w:name w:val="List Number Box 2"/>
    <w:basedOn w:val="Normal"/>
    <w:pPr>
      <w:numPr>
        <w:ilvl w:val="1"/>
        <w:numId w:val="14"/>
      </w:numPr>
      <w:tabs>
        <w:tab w:val="clear" w:pos="850"/>
        <w:tab w:val="clear" w:pos="1531"/>
        <w:tab w:val="clear" w:pos="2291"/>
      </w:tabs>
      <w:spacing w:after="240"/>
      <w:ind w:left="1191" w:hanging="340"/>
    </w:pPr>
    <w:rPr>
      <w:rFonts w:ascii="Arial" w:hAnsi="Arial" w:cs="Arial"/>
      <w:sz w:val="18"/>
      <w:lang w:val="en-US"/>
    </w:rPr>
  </w:style>
  <w:style w:type="paragraph" w:customStyle="1" w:styleId="ListNumberBox3">
    <w:name w:val="List Number Box 3"/>
    <w:basedOn w:val="Normal"/>
    <w:pPr>
      <w:numPr>
        <w:ilvl w:val="2"/>
        <w:numId w:val="14"/>
      </w:numPr>
      <w:tabs>
        <w:tab w:val="clear" w:pos="850"/>
        <w:tab w:val="clear" w:pos="1191"/>
        <w:tab w:val="clear" w:pos="1531"/>
        <w:tab w:val="clear" w:pos="2574"/>
        <w:tab w:val="left" w:pos="1474"/>
      </w:tabs>
      <w:spacing w:after="240"/>
      <w:ind w:left="1474"/>
    </w:pPr>
    <w:rPr>
      <w:rFonts w:ascii="Arial" w:hAnsi="Arial" w:cs="Arial"/>
      <w:sz w:val="18"/>
      <w:lang w:val="en-US"/>
    </w:rPr>
  </w:style>
  <w:style w:type="paragraph" w:customStyle="1" w:styleId="ListContinueBox">
    <w:name w:val="List Continue Box"/>
    <w:basedOn w:val="Normal"/>
    <w:pPr>
      <w:tabs>
        <w:tab w:val="clear" w:pos="850"/>
        <w:tab w:val="clear" w:pos="1191"/>
        <w:tab w:val="clear" w:pos="1531"/>
      </w:tabs>
      <w:spacing w:after="240"/>
      <w:ind w:left="850"/>
    </w:pPr>
    <w:rPr>
      <w:rFonts w:ascii="Arial" w:hAnsi="Arial" w:cs="Arial"/>
      <w:sz w:val="18"/>
      <w:lang w:val="en-US"/>
    </w:rPr>
  </w:style>
  <w:style w:type="paragraph" w:customStyle="1" w:styleId="ListContinueBox2">
    <w:name w:val="List Continue Box 2"/>
    <w:basedOn w:val="Normal"/>
    <w:pPr>
      <w:tabs>
        <w:tab w:val="clear" w:pos="850"/>
        <w:tab w:val="clear" w:pos="1191"/>
        <w:tab w:val="clear" w:pos="1531"/>
      </w:tabs>
      <w:spacing w:after="240"/>
      <w:ind w:left="1191"/>
    </w:pPr>
    <w:rPr>
      <w:rFonts w:ascii="Arial" w:hAnsi="Arial" w:cs="Arial"/>
      <w:sz w:val="18"/>
      <w:lang w:val="en-US"/>
    </w:rPr>
  </w:style>
  <w:style w:type="paragraph" w:customStyle="1" w:styleId="ListContinueBox3">
    <w:name w:val="List Continue Box 3"/>
    <w:basedOn w:val="Normal"/>
    <w:pPr>
      <w:tabs>
        <w:tab w:val="clear" w:pos="850"/>
        <w:tab w:val="clear" w:pos="1191"/>
        <w:tab w:val="clear" w:pos="1531"/>
      </w:tabs>
      <w:spacing w:after="240"/>
      <w:ind w:left="1474"/>
    </w:pPr>
    <w:rPr>
      <w:rFonts w:ascii="Arial" w:hAnsi="Arial" w:cs="Arial"/>
      <w:sz w:val="18"/>
      <w:lang w:val="en-US"/>
    </w:rPr>
  </w:style>
  <w:style w:type="paragraph" w:customStyle="1" w:styleId="BoxSource">
    <w:name w:val="Box Source"/>
    <w:basedOn w:val="Normal"/>
    <w:next w:val="BodyText"/>
    <w:pPr>
      <w:spacing w:after="360"/>
    </w:pPr>
    <w:rPr>
      <w:rFonts w:ascii="Arial" w:hAnsi="Arial" w:cs="Arial"/>
      <w:sz w:val="16"/>
      <w:lang w:val="en-US"/>
    </w:rPr>
  </w:style>
  <w:style w:type="character" w:customStyle="1" w:styleId="Cote">
    <w:name w:val="Cote"/>
    <w:basedOn w:val="DefaultParagraphFont"/>
    <w:rPr>
      <w:caps/>
      <w:smallCaps w:val="0"/>
      <w:lang w:val="en-US"/>
    </w:rPr>
  </w:style>
  <w:style w:type="numbering" w:customStyle="1" w:styleId="NumberedNote">
    <w:name w:val="Numbered Note"/>
    <w:basedOn w:val="NoList"/>
    <w:pPr>
      <w:numPr>
        <w:numId w:val="1"/>
      </w:numPr>
    </w:pPr>
  </w:style>
  <w:style w:type="numbering" w:customStyle="1" w:styleId="BulletedNote">
    <w:name w:val="Bulleted Note"/>
    <w:basedOn w:val="NoList"/>
    <w:pPr>
      <w:numPr>
        <w:numId w:val="2"/>
      </w:numPr>
    </w:pPr>
  </w:style>
  <w:style w:type="numbering" w:customStyle="1" w:styleId="NumericNote">
    <w:name w:val="Numeric Note"/>
    <w:basedOn w:val="NoList"/>
    <w:pPr>
      <w:numPr>
        <w:numId w:val="3"/>
      </w:numPr>
    </w:pPr>
  </w:style>
  <w:style w:type="numbering" w:customStyle="1" w:styleId="AlphaNote">
    <w:name w:val="Alpha Note"/>
    <w:basedOn w:val="NoList"/>
    <w:pPr>
      <w:numPr>
        <w:numId w:val="4"/>
      </w:numPr>
    </w:pPr>
  </w:style>
  <w:style w:type="paragraph" w:customStyle="1" w:styleId="AcknowledgementHeading">
    <w:name w:val="Acknowledgement Heading"/>
    <w:basedOn w:val="Normal"/>
    <w:next w:val="BodyText"/>
    <w:pPr>
      <w:keepNext/>
      <w:spacing w:before="1200" w:after="720"/>
      <w:jc w:val="center"/>
    </w:pPr>
    <w:rPr>
      <w:b/>
      <w:caps/>
      <w:lang w:val="en-US"/>
    </w:rPr>
  </w:style>
  <w:style w:type="paragraph" w:styleId="EnvelopeAddress">
    <w:name w:val="envelope address"/>
    <w:basedOn w:val="Normal"/>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CommentText">
    <w:name w:val="annotation text"/>
    <w:basedOn w:val="Normal"/>
    <w:semiHidden/>
    <w:rPr>
      <w:sz w:val="20"/>
      <w:szCs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Date">
    <w:name w:val="Date"/>
    <w:basedOn w:val="Normal"/>
    <w:next w:val="Normal"/>
  </w:style>
  <w:style w:type="paragraph" w:styleId="Header">
    <w:name w:val="header"/>
    <w:basedOn w:val="Normal"/>
    <w:link w:val="HeaderChar"/>
    <w:uiPriority w:val="99"/>
    <w:pPr>
      <w:tabs>
        <w:tab w:val="clear" w:pos="850"/>
        <w:tab w:val="clear" w:pos="1191"/>
        <w:tab w:val="clear" w:pos="1531"/>
        <w:tab w:val="center" w:pos="4536"/>
        <w:tab w:val="right" w:pos="9072"/>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pPr>
      <w:ind w:left="4252"/>
    </w:pPr>
  </w:style>
  <w:style w:type="paragraph" w:styleId="Index2">
    <w:name w:val="index 2"/>
    <w:basedOn w:val="Normal"/>
    <w:next w:val="Normal"/>
    <w:semiHidden/>
    <w:pPr>
      <w:tabs>
        <w:tab w:val="clear" w:pos="850"/>
        <w:tab w:val="clear" w:pos="1191"/>
        <w:tab w:val="clear" w:pos="1531"/>
      </w:tabs>
      <w:ind w:left="440" w:hanging="220"/>
    </w:pPr>
  </w:style>
  <w:style w:type="paragraph" w:styleId="Index3">
    <w:name w:val="index 3"/>
    <w:basedOn w:val="Normal"/>
    <w:next w:val="Normal"/>
    <w:semiHidden/>
    <w:pPr>
      <w:tabs>
        <w:tab w:val="clear" w:pos="850"/>
        <w:tab w:val="clear" w:pos="1191"/>
        <w:tab w:val="clear" w:pos="1531"/>
      </w:tabs>
      <w:ind w:left="660" w:hanging="220"/>
    </w:pPr>
  </w:style>
  <w:style w:type="paragraph" w:styleId="Index4">
    <w:name w:val="index 4"/>
    <w:basedOn w:val="Normal"/>
    <w:next w:val="Normal"/>
    <w:semiHidden/>
    <w:pPr>
      <w:tabs>
        <w:tab w:val="clear" w:pos="850"/>
        <w:tab w:val="clear" w:pos="1191"/>
        <w:tab w:val="clear" w:pos="1531"/>
      </w:tabs>
      <w:ind w:left="880" w:hanging="220"/>
    </w:pPr>
  </w:style>
  <w:style w:type="paragraph" w:styleId="Index5">
    <w:name w:val="index 5"/>
    <w:basedOn w:val="Normal"/>
    <w:next w:val="Normal"/>
    <w:semiHidden/>
    <w:pPr>
      <w:tabs>
        <w:tab w:val="clear" w:pos="850"/>
        <w:tab w:val="clear" w:pos="1191"/>
        <w:tab w:val="clear" w:pos="1531"/>
      </w:tabs>
      <w:ind w:left="1100" w:hanging="220"/>
    </w:pPr>
  </w:style>
  <w:style w:type="paragraph" w:styleId="Index6">
    <w:name w:val="index 6"/>
    <w:basedOn w:val="Normal"/>
    <w:next w:val="Normal"/>
    <w:semiHidden/>
    <w:pPr>
      <w:tabs>
        <w:tab w:val="clear" w:pos="850"/>
        <w:tab w:val="clear" w:pos="1191"/>
        <w:tab w:val="clear" w:pos="1531"/>
      </w:tabs>
      <w:ind w:left="1320" w:hanging="220"/>
    </w:pPr>
  </w:style>
  <w:style w:type="paragraph" w:styleId="Index7">
    <w:name w:val="index 7"/>
    <w:basedOn w:val="Normal"/>
    <w:next w:val="Normal"/>
    <w:semiHidden/>
    <w:pPr>
      <w:tabs>
        <w:tab w:val="clear" w:pos="850"/>
        <w:tab w:val="clear" w:pos="1191"/>
        <w:tab w:val="clear" w:pos="1531"/>
      </w:tabs>
      <w:ind w:left="1540" w:hanging="220"/>
    </w:pPr>
  </w:style>
  <w:style w:type="paragraph" w:styleId="Index8">
    <w:name w:val="index 8"/>
    <w:basedOn w:val="Normal"/>
    <w:next w:val="Normal"/>
    <w:semiHidden/>
    <w:pPr>
      <w:tabs>
        <w:tab w:val="clear" w:pos="850"/>
        <w:tab w:val="clear" w:pos="1191"/>
        <w:tab w:val="clear" w:pos="1531"/>
      </w:tabs>
      <w:ind w:left="1760" w:hanging="220"/>
    </w:pPr>
  </w:style>
  <w:style w:type="paragraph" w:styleId="Index9">
    <w:name w:val="index 9"/>
    <w:basedOn w:val="Normal"/>
    <w:next w:val="Normal"/>
    <w:semiHidden/>
    <w:pPr>
      <w:tabs>
        <w:tab w:val="clear" w:pos="850"/>
        <w:tab w:val="clear" w:pos="1191"/>
        <w:tab w:val="clear" w:pos="1531"/>
      </w:tabs>
      <w:ind w:left="1980" w:hanging="220"/>
    </w:pPr>
  </w:style>
  <w:style w:type="paragraph" w:styleId="Caption">
    <w:name w:val="caption"/>
    <w:basedOn w:val="Normal"/>
    <w:next w:val="Normal"/>
    <w:qFormat/>
    <w:pPr>
      <w:spacing w:before="120" w:after="120"/>
    </w:pPr>
    <w:rPr>
      <w:b/>
      <w:bCs/>
      <w:sz w:val="20"/>
      <w:szCs w:val="20"/>
    </w:rPr>
  </w:style>
  <w:style w:type="paragraph" w:styleId="NormalWeb">
    <w:name w:val="Normal (Web)"/>
    <w:basedOn w:val="Normal"/>
    <w:uiPriority w:val="99"/>
    <w:rPr>
      <w:sz w:val="24"/>
      <w:szCs w:val="24"/>
    </w:rPr>
  </w:style>
  <w:style w:type="paragraph" w:styleId="CommentSubject">
    <w:name w:val="annotation subject"/>
    <w:basedOn w:val="CommentText"/>
    <w:next w:val="CommentText"/>
    <w:semiHidden/>
    <w:rPr>
      <w:b/>
      <w:bCs/>
    </w:rPr>
  </w:style>
  <w:style w:type="paragraph" w:styleId="Footer">
    <w:name w:val="footer"/>
    <w:basedOn w:val="Normal"/>
    <w:link w:val="FooterChar"/>
    <w:uiPriority w:val="99"/>
    <w:pPr>
      <w:tabs>
        <w:tab w:val="clear" w:pos="850"/>
        <w:tab w:val="clear" w:pos="1191"/>
        <w:tab w:val="clear" w:pos="1531"/>
        <w:tab w:val="center" w:pos="4536"/>
        <w:tab w:val="right" w:pos="9072"/>
      </w:tabs>
    </w:pPr>
  </w:style>
  <w:style w:type="paragraph" w:styleId="HTMLPreformatted">
    <w:name w:val="HTML Preformatted"/>
    <w:basedOn w:val="Normal"/>
    <w:rPr>
      <w:rFonts w:ascii="Courier New" w:hAnsi="Courier New" w:cs="Courier New"/>
      <w:sz w:val="20"/>
      <w:szCs w:val="20"/>
    </w:rPr>
  </w:style>
  <w:style w:type="paragraph" w:styleId="BodyTextFirstIndent">
    <w:name w:val="Body Text First Indent"/>
    <w:basedOn w:val="BodyText"/>
    <w:pPr>
      <w:spacing w:after="120"/>
      <w:ind w:firstLine="210"/>
    </w:pPr>
  </w:style>
  <w:style w:type="paragraph" w:styleId="BodyTextIndent">
    <w:name w:val="Body Text Indent"/>
    <w:basedOn w:val="Normal"/>
    <w:pPr>
      <w:spacing w:after="240"/>
      <w:ind w:left="442"/>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FirstIndent2">
    <w:name w:val="Body Text First Indent 2"/>
    <w:basedOn w:val="BodyTextIndent"/>
    <w:pPr>
      <w:ind w:firstLine="210"/>
    </w:pPr>
  </w:style>
  <w:style w:type="paragraph" w:styleId="NormalIndent">
    <w:name w:val="Normal Indent"/>
    <w:basedOn w:val="Normal"/>
    <w:pPr>
      <w:ind w:left="708"/>
    </w:pPr>
  </w:style>
  <w:style w:type="paragraph" w:styleId="Salutation">
    <w:name w:val="Salutation"/>
    <w:basedOn w:val="Normal"/>
    <w:next w:val="Normal"/>
  </w:style>
  <w:style w:type="paragraph" w:styleId="Signature">
    <w:name w:val="Signature"/>
    <w:basedOn w:val="Normal"/>
    <w:pPr>
      <w:ind w:left="4252"/>
    </w:pPr>
  </w:style>
  <w:style w:type="paragraph" w:styleId="E-mailSignature">
    <w:name w:val="E-mail Signature"/>
    <w:basedOn w:val="Normal"/>
  </w:style>
  <w:style w:type="paragraph" w:styleId="Subtitle">
    <w:name w:val="Subtitle"/>
    <w:basedOn w:val="Normal"/>
    <w:qFormat/>
    <w:pPr>
      <w:spacing w:after="60"/>
      <w:jc w:val="center"/>
      <w:outlineLvl w:val="1"/>
    </w:pPr>
    <w:rPr>
      <w:rFonts w:ascii="Arial" w:hAnsi="Arial" w:cs="Arial"/>
      <w:sz w:val="24"/>
      <w:szCs w:val="24"/>
    </w:rPr>
  </w:style>
  <w:style w:type="paragraph" w:styleId="TableofFigures">
    <w:name w:val="table of figures"/>
    <w:basedOn w:val="Normal"/>
    <w:next w:val="Normal"/>
    <w:semiHidden/>
    <w:pPr>
      <w:tabs>
        <w:tab w:val="clear" w:pos="850"/>
        <w:tab w:val="clear" w:pos="1191"/>
        <w:tab w:val="clear" w:pos="1531"/>
      </w:tabs>
      <w:ind w:left="440" w:hanging="440"/>
    </w:pPr>
  </w:style>
  <w:style w:type="paragraph" w:styleId="TableofAuthorities">
    <w:name w:val="table of authorities"/>
    <w:basedOn w:val="Normal"/>
    <w:next w:val="Normal"/>
    <w:semiHidden/>
    <w:pPr>
      <w:tabs>
        <w:tab w:val="clear" w:pos="850"/>
        <w:tab w:val="clear" w:pos="1191"/>
        <w:tab w:val="clear" w:pos="1531"/>
      </w:tabs>
      <w:ind w:left="220" w:hanging="220"/>
    </w:pPr>
  </w:style>
  <w:style w:type="paragraph" w:styleId="PlainText">
    <w:name w:val="Plain Text"/>
    <w:basedOn w:val="Normal"/>
    <w:rPr>
      <w:rFonts w:ascii="Courier New" w:hAnsi="Courier New" w:cs="Courier New"/>
      <w:sz w:val="20"/>
      <w:szCs w:val="20"/>
    </w:rPr>
  </w:style>
  <w:style w:type="paragraph" w:styleId="BalloonText">
    <w:name w:val="Balloon Text"/>
    <w:basedOn w:val="Normal"/>
    <w:link w:val="BalloonTextChar"/>
    <w:uiPriority w:val="99"/>
    <w:semiHidden/>
    <w:rPr>
      <w:rFonts w:ascii="Tahoma" w:hAnsi="Tahoma" w:cs="Tahoma"/>
      <w:sz w:val="16"/>
      <w:szCs w:val="16"/>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GB" w:eastAsia="zh-CN"/>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NoteHeading">
    <w:name w:val="Note Heading"/>
    <w:basedOn w:val="Normal"/>
    <w:next w:val="Normal"/>
  </w:style>
  <w:style w:type="paragraph" w:styleId="TOAHeading">
    <w:name w:val="toa heading"/>
    <w:basedOn w:val="Normal"/>
    <w:next w:val="Normal"/>
    <w:semiHidden/>
    <w:pPr>
      <w:spacing w:before="120"/>
    </w:pPr>
    <w:rPr>
      <w:rFonts w:ascii="Arial" w:hAnsi="Arial" w:cs="Arial"/>
      <w:b/>
      <w:bCs/>
      <w:sz w:val="24"/>
      <w:szCs w:val="24"/>
    </w:rPr>
  </w:style>
  <w:style w:type="paragraph" w:styleId="TOC6">
    <w:name w:val="toc 6"/>
    <w:basedOn w:val="Normal"/>
    <w:next w:val="Normal"/>
    <w:qFormat/>
    <w:pPr>
      <w:tabs>
        <w:tab w:val="clear" w:pos="850"/>
        <w:tab w:val="clear" w:pos="1191"/>
        <w:tab w:val="clear" w:pos="1531"/>
      </w:tabs>
      <w:ind w:left="1100"/>
    </w:pPr>
  </w:style>
  <w:style w:type="paragraph" w:styleId="TOC7">
    <w:name w:val="toc 7"/>
    <w:basedOn w:val="Normal"/>
    <w:next w:val="Normal"/>
    <w:qFormat/>
    <w:pPr>
      <w:tabs>
        <w:tab w:val="clear" w:pos="850"/>
        <w:tab w:val="clear" w:pos="1191"/>
        <w:tab w:val="clear" w:pos="1531"/>
      </w:tabs>
      <w:ind w:left="1320"/>
    </w:pPr>
  </w:style>
  <w:style w:type="paragraph" w:styleId="TOC8">
    <w:name w:val="toc 8"/>
    <w:basedOn w:val="Normal"/>
    <w:next w:val="Normal"/>
    <w:qFormat/>
    <w:pPr>
      <w:tabs>
        <w:tab w:val="clear" w:pos="850"/>
        <w:tab w:val="clear" w:pos="1191"/>
        <w:tab w:val="clear" w:pos="1531"/>
      </w:tabs>
      <w:ind w:left="1540"/>
    </w:pPr>
  </w:style>
  <w:style w:type="paragraph" w:customStyle="1" w:styleId="BoxBodyText">
    <w:name w:val="Box Body Text"/>
    <w:basedOn w:val="Normal"/>
    <w:pPr>
      <w:spacing w:after="240"/>
      <w:ind w:firstLine="442"/>
    </w:pPr>
    <w:rPr>
      <w:rFonts w:ascii="Arial" w:hAnsi="Arial" w:cs="Arial"/>
      <w:sz w:val="18"/>
      <w:lang w:val="en-US"/>
    </w:rPr>
  </w:style>
  <w:style w:type="paragraph" w:customStyle="1" w:styleId="BoxBodyTextIndent">
    <w:name w:val="Box Body Text Indent"/>
    <w:basedOn w:val="Normal"/>
    <w:pPr>
      <w:spacing w:after="240"/>
      <w:ind w:left="442"/>
    </w:pPr>
    <w:rPr>
      <w:rFonts w:ascii="Arial" w:hAnsi="Arial" w:cs="Arial"/>
      <w:sz w:val="18"/>
      <w:lang w:val="en-US"/>
    </w:rPr>
  </w:style>
  <w:style w:type="character" w:styleId="PageNumber">
    <w:name w:val="page number"/>
    <w:basedOn w:val="DefaultParagraphFont"/>
    <w:uiPriority w:val="99"/>
    <w:unhideWhenUsed/>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2"/>
      <w:szCs w:val="22"/>
      <w:lang w:val="en-GB" w:eastAsia="zh-CN"/>
    </w:rPr>
  </w:style>
  <w:style w:type="paragraph" w:styleId="ListParagraph">
    <w:name w:val="List Paragraph"/>
    <w:basedOn w:val="Normal"/>
    <w:uiPriority w:val="34"/>
    <w:qFormat/>
    <w:pPr>
      <w:ind w:left="720"/>
      <w:contextualSpacing/>
    </w:pPr>
  </w:style>
  <w:style w:type="paragraph" w:styleId="NoSpacing">
    <w:name w:val="No Spacing"/>
    <w:uiPriority w:val="1"/>
    <w:qFormat/>
    <w:pPr>
      <w:tabs>
        <w:tab w:val="left" w:pos="850"/>
        <w:tab w:val="left" w:pos="1191"/>
        <w:tab w:val="left" w:pos="1531"/>
      </w:tabs>
      <w:jc w:val="both"/>
    </w:pPr>
    <w:rPr>
      <w:sz w:val="22"/>
      <w:szCs w:val="22"/>
      <w:lang w:val="en-GB" w:eastAsia="zh-C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sz w:val="22"/>
      <w:szCs w:val="22"/>
      <w:lang w:val="en-GB" w:eastAsia="zh-CN"/>
    </w:rPr>
  </w:style>
  <w:style w:type="paragraph" w:styleId="TOCHeading">
    <w:name w:val="TOC Heading"/>
    <w:basedOn w:val="Heading1"/>
    <w:next w:val="Normal"/>
    <w:uiPriority w:val="39"/>
    <w:semiHidden/>
    <w:unhideWhenUsed/>
    <w:qFormat/>
    <w:pPr>
      <w:keepLines/>
      <w:spacing w:before="480" w:after="0"/>
      <w:jc w:val="both"/>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Citation">
    <w:name w:val="Citation"/>
    <w:basedOn w:val="BodyText"/>
    <w:link w:val="CitationChar"/>
    <w:pPr>
      <w:ind w:left="850" w:firstLine="0"/>
      <w:jc w:val="left"/>
    </w:pPr>
  </w:style>
  <w:style w:type="character" w:customStyle="1" w:styleId="CitationChar">
    <w:name w:val="Citation Char"/>
    <w:basedOn w:val="DefaultParagraphFont"/>
    <w:link w:val="Citation"/>
    <w:rPr>
      <w:sz w:val="22"/>
      <w:szCs w:val="22"/>
      <w:lang w:val="en-GB" w:eastAsia="zh-CN"/>
    </w:rPr>
  </w:style>
  <w:style w:type="character" w:customStyle="1" w:styleId="HeaderChar">
    <w:name w:val="Header Char"/>
    <w:basedOn w:val="DefaultParagraphFont"/>
    <w:link w:val="Header"/>
    <w:uiPriority w:val="99"/>
    <w:rsid w:val="00660117"/>
    <w:rPr>
      <w:sz w:val="22"/>
      <w:szCs w:val="22"/>
      <w:lang w:val="en-GB" w:eastAsia="zh-CN"/>
    </w:rPr>
  </w:style>
  <w:style w:type="character" w:customStyle="1" w:styleId="FooterChar">
    <w:name w:val="Footer Char"/>
    <w:basedOn w:val="DefaultParagraphFont"/>
    <w:link w:val="Footer"/>
    <w:uiPriority w:val="99"/>
    <w:rsid w:val="00660117"/>
    <w:rPr>
      <w:sz w:val="22"/>
      <w:szCs w:val="22"/>
      <w:lang w:val="en-GB" w:eastAsia="zh-CN"/>
    </w:rPr>
  </w:style>
  <w:style w:type="character" w:customStyle="1" w:styleId="Heading1Char">
    <w:name w:val="Heading 1 Char"/>
    <w:basedOn w:val="DefaultParagraphFont"/>
    <w:link w:val="Heading1"/>
    <w:uiPriority w:val="9"/>
    <w:rsid w:val="00660117"/>
    <w:rPr>
      <w:b/>
      <w:bCs/>
      <w:caps/>
      <w:kern w:val="28"/>
      <w:sz w:val="22"/>
      <w:szCs w:val="22"/>
      <w:lang w:val="en-GB" w:eastAsia="zh-CN"/>
    </w:rPr>
  </w:style>
  <w:style w:type="character" w:customStyle="1" w:styleId="BalloonTextChar">
    <w:name w:val="Balloon Text Char"/>
    <w:basedOn w:val="DefaultParagraphFont"/>
    <w:link w:val="BalloonText"/>
    <w:uiPriority w:val="99"/>
    <w:semiHidden/>
    <w:rsid w:val="00660117"/>
    <w:rPr>
      <w:rFonts w:ascii="Tahoma" w:hAnsi="Tahoma" w:cs="Tahoma"/>
      <w:sz w:val="16"/>
      <w:szCs w:val="16"/>
      <w:lang w:val="en-GB" w:eastAsia="zh-CN"/>
    </w:rPr>
  </w:style>
  <w:style w:type="character" w:styleId="Hyperlink">
    <w:name w:val="Hyperlink"/>
    <w:basedOn w:val="DefaultParagraphFont"/>
    <w:uiPriority w:val="99"/>
    <w:unhideWhenUsed/>
    <w:rsid w:val="00660117"/>
    <w:rPr>
      <w:color w:val="0000FF"/>
      <w:u w:val="single"/>
    </w:rPr>
  </w:style>
  <w:style w:type="character" w:styleId="FollowedHyperlink">
    <w:name w:val="FollowedHyperlink"/>
    <w:basedOn w:val="DefaultParagraphFont"/>
    <w:uiPriority w:val="99"/>
    <w:semiHidden/>
    <w:unhideWhenUsed/>
    <w:rsid w:val="00660117"/>
    <w:rPr>
      <w:color w:val="800080" w:themeColor="followedHyperlink"/>
      <w:u w:val="single"/>
    </w:rPr>
  </w:style>
  <w:style w:type="paragraph" w:customStyle="1" w:styleId="Default">
    <w:name w:val="Default"/>
    <w:rsid w:val="00660117"/>
    <w:pPr>
      <w:autoSpaceDE w:val="0"/>
      <w:autoSpaceDN w:val="0"/>
      <w:adjustRightInd w:val="0"/>
    </w:pPr>
    <w:rPr>
      <w:rFonts w:eastAsiaTheme="minorEastAsia"/>
      <w:color w:val="000000"/>
      <w:sz w:val="24"/>
      <w:szCs w:val="24"/>
      <w:lang w:val="en-GB" w:eastAsia="en-GB"/>
    </w:rPr>
  </w:style>
  <w:style w:type="character" w:customStyle="1" w:styleId="FootnoteTextChar">
    <w:name w:val="Footnote Text Char"/>
    <w:basedOn w:val="DefaultParagraphFont"/>
    <w:link w:val="FootnoteText"/>
    <w:uiPriority w:val="99"/>
    <w:semiHidden/>
    <w:rsid w:val="00660117"/>
    <w:rPr>
      <w:lang w:val="en-GB" w:eastAsia="zh-CN"/>
    </w:rPr>
  </w:style>
  <w:style w:type="character" w:customStyle="1" w:styleId="text11513font3">
    <w:name w:val="text11513font3"/>
    <w:basedOn w:val="DefaultParagraphFont"/>
    <w:rsid w:val="00660117"/>
  </w:style>
  <w:style w:type="character" w:customStyle="1" w:styleId="text11513font7">
    <w:name w:val="text11513font7"/>
    <w:basedOn w:val="DefaultParagraphFont"/>
    <w:rsid w:val="00660117"/>
  </w:style>
  <w:style w:type="character" w:customStyle="1" w:styleId="text28230font2">
    <w:name w:val="text28230font2"/>
    <w:basedOn w:val="DefaultParagraphFont"/>
    <w:rsid w:val="00660117"/>
  </w:style>
  <w:style w:type="character" w:styleId="CommentReference">
    <w:name w:val="annotation reference"/>
    <w:basedOn w:val="DefaultParagraphFont"/>
    <w:uiPriority w:val="99"/>
    <w:semiHidden/>
    <w:unhideWhenUsed/>
    <w:rsid w:val="00914228"/>
    <w:rPr>
      <w:sz w:val="16"/>
      <w:szCs w:val="16"/>
    </w:rPr>
  </w:style>
  <w:style w:type="character" w:customStyle="1" w:styleId="BodyTextChar">
    <w:name w:val="Body Text Char"/>
    <w:basedOn w:val="DefaultParagraphFont"/>
    <w:link w:val="BodyText"/>
    <w:rsid w:val="00514A38"/>
    <w:rPr>
      <w:sz w:val="22"/>
      <w:szCs w:val="22"/>
      <w:lang w:val="en-GB" w:eastAsia="zh-CN"/>
    </w:rPr>
  </w:style>
  <w:style w:type="table" w:styleId="TableGrid">
    <w:name w:val="Table Grid"/>
    <w:basedOn w:val="TableNormal"/>
    <w:uiPriority w:val="59"/>
    <w:rsid w:val="00514A38"/>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F7A37"/>
    <w:rPr>
      <w:b/>
      <w:bCs/>
      <w:sz w:val="22"/>
      <w:szCs w:val="22"/>
      <w:lang w:val="en-GB" w:eastAsia="zh-CN"/>
    </w:rPr>
  </w:style>
  <w:style w:type="character" w:customStyle="1" w:styleId="HeaderTitle">
    <w:name w:val="Header Title"/>
    <w:uiPriority w:val="99"/>
    <w:unhideWhenUsed/>
    <w:rsid w:val="00714563"/>
    <w:rPr>
      <w:sz w:val="18"/>
    </w:rPr>
  </w:style>
  <w:style w:type="paragraph" w:customStyle="1" w:styleId="CoverTitle">
    <w:name w:val="CoverTitle"/>
    <w:basedOn w:val="CoverNormal"/>
    <w:link w:val="CoverTitleChar"/>
    <w:unhideWhenUsed/>
    <w:rsid w:val="00714563"/>
    <w:rPr>
      <w:b/>
      <w:sz w:val="24"/>
    </w:rPr>
  </w:style>
  <w:style w:type="character" w:customStyle="1" w:styleId="CoverTitleChar">
    <w:name w:val="CoverTitle Char"/>
    <w:basedOn w:val="DefaultParagraphFont"/>
    <w:link w:val="CoverTitle"/>
    <w:rsid w:val="00714563"/>
    <w:rPr>
      <w:rFonts w:eastAsia="SimSun"/>
      <w:b/>
      <w:sz w:val="24"/>
      <w:lang w:val="en-GB"/>
    </w:rPr>
  </w:style>
  <w:style w:type="paragraph" w:customStyle="1" w:styleId="CoverCancel">
    <w:name w:val="CoverCancel"/>
    <w:basedOn w:val="CoverNormal"/>
    <w:link w:val="CoverCancelChar"/>
    <w:unhideWhenUsed/>
    <w:rsid w:val="00714563"/>
    <w:pPr>
      <w:spacing w:before="240" w:after="120" w:line="312" w:lineRule="auto"/>
      <w:jc w:val="center"/>
    </w:pPr>
    <w:rPr>
      <w:b/>
      <w:szCs w:val="24"/>
    </w:rPr>
  </w:style>
  <w:style w:type="character" w:customStyle="1" w:styleId="CoverCancelChar">
    <w:name w:val="CoverCancel Char"/>
    <w:basedOn w:val="DefaultParagraphFont"/>
    <w:link w:val="CoverCancel"/>
    <w:rsid w:val="00714563"/>
    <w:rPr>
      <w:rFonts w:eastAsia="SimSun"/>
      <w:b/>
      <w:sz w:val="22"/>
      <w:szCs w:val="24"/>
      <w:lang w:val="en-GB"/>
    </w:rPr>
  </w:style>
  <w:style w:type="character" w:customStyle="1" w:styleId="CoverCote">
    <w:name w:val="CoverCote"/>
    <w:basedOn w:val="DefaultParagraphFont"/>
    <w:uiPriority w:val="1"/>
    <w:unhideWhenUsed/>
    <w:rsid w:val="00714563"/>
    <w:rPr>
      <w:rFonts w:ascii="Times New Roman" w:hAnsi="Times New Roman"/>
      <w:b/>
      <w:i w:val="0"/>
      <w:caps/>
      <w:smallCaps w:val="0"/>
      <w:color w:val="auto"/>
      <w:sz w:val="22"/>
      <w:u w:val="none"/>
      <w:bdr w:val="none" w:sz="0" w:space="0" w:color="auto"/>
      <w:shd w:val="clear" w:color="auto" w:fill="auto"/>
    </w:rPr>
  </w:style>
  <w:style w:type="paragraph" w:customStyle="1" w:styleId="CoverNormal">
    <w:name w:val="CoverNormal"/>
    <w:basedOn w:val="Normal"/>
    <w:link w:val="CoverNormalChar"/>
    <w:unhideWhenUsed/>
    <w:rsid w:val="00714563"/>
    <w:pPr>
      <w:tabs>
        <w:tab w:val="clear" w:pos="850"/>
        <w:tab w:val="clear" w:pos="1191"/>
        <w:tab w:val="clear" w:pos="1531"/>
      </w:tabs>
      <w:jc w:val="left"/>
    </w:pPr>
    <w:rPr>
      <w:rFonts w:eastAsia="SimSun"/>
      <w:szCs w:val="20"/>
      <w:lang w:eastAsia="en-US"/>
    </w:rPr>
  </w:style>
  <w:style w:type="character" w:customStyle="1" w:styleId="CoverNormalChar">
    <w:name w:val="CoverNormal Char"/>
    <w:basedOn w:val="DefaultParagraphFont"/>
    <w:link w:val="CoverNormal"/>
    <w:rsid w:val="00714563"/>
    <w:rPr>
      <w:rFonts w:eastAsia="SimSun"/>
      <w:sz w:val="22"/>
      <w:lang w:val="en-GB"/>
    </w:rPr>
  </w:style>
  <w:style w:type="paragraph" w:customStyle="1" w:styleId="CoverDirectorate">
    <w:name w:val="CoverDirectorate"/>
    <w:basedOn w:val="CoverNormal"/>
    <w:link w:val="CoverDirectorateChar"/>
    <w:unhideWhenUsed/>
    <w:rsid w:val="00714563"/>
    <w:rPr>
      <w:b/>
      <w:color w:val="000000" w:themeColor="text1"/>
    </w:rPr>
  </w:style>
  <w:style w:type="character" w:customStyle="1" w:styleId="CoverDirectorateChar">
    <w:name w:val="CoverDirectorate Char"/>
    <w:basedOn w:val="CoverNormalChar"/>
    <w:link w:val="CoverDirectorate"/>
    <w:rsid w:val="00714563"/>
    <w:rPr>
      <w:rFonts w:eastAsia="SimSun"/>
      <w:b/>
      <w:color w:val="000000" w:themeColor="text1"/>
      <w:sz w:val="22"/>
      <w:lang w:val="en-GB"/>
    </w:rPr>
  </w:style>
  <w:style w:type="paragraph" w:customStyle="1" w:styleId="CoverAbstract">
    <w:name w:val="CoverAbstract"/>
    <w:basedOn w:val="CoverNormal"/>
    <w:link w:val="CoverAbstractChar"/>
    <w:unhideWhenUsed/>
    <w:rsid w:val="00714563"/>
    <w:pPr>
      <w:spacing w:after="120"/>
      <w:jc w:val="both"/>
    </w:pPr>
    <w:rPr>
      <w:rFonts w:cs="Arial"/>
      <w:b/>
      <w:szCs w:val="24"/>
    </w:rPr>
  </w:style>
  <w:style w:type="paragraph" w:customStyle="1" w:styleId="CoverDisclaimer">
    <w:name w:val="CoverDisclaimer"/>
    <w:basedOn w:val="Footer"/>
    <w:unhideWhenUsed/>
    <w:rsid w:val="00714563"/>
    <w:pPr>
      <w:tabs>
        <w:tab w:val="clear" w:pos="4536"/>
        <w:tab w:val="clear" w:pos="9072"/>
      </w:tabs>
      <w:spacing w:line="312" w:lineRule="auto"/>
    </w:pPr>
    <w:rPr>
      <w:rFonts w:eastAsia="SimSun"/>
      <w:b/>
      <w:i/>
      <w:color w:val="000000" w:themeColor="text1"/>
      <w:sz w:val="16"/>
      <w:szCs w:val="16"/>
      <w:lang w:eastAsia="en-US"/>
    </w:rPr>
  </w:style>
  <w:style w:type="character" w:customStyle="1" w:styleId="CoverAbstractChar">
    <w:name w:val="CoverAbstract Char"/>
    <w:basedOn w:val="DefaultParagraphFont"/>
    <w:link w:val="CoverAbstract"/>
    <w:rsid w:val="00714563"/>
    <w:rPr>
      <w:rFonts w:eastAsia="SimSun" w:cs="Arial"/>
      <w:b/>
      <w:sz w:val="22"/>
      <w:szCs w:val="24"/>
      <w:lang w:val="en-GB"/>
    </w:rPr>
  </w:style>
  <w:style w:type="paragraph" w:customStyle="1" w:styleId="CoverJobTicket">
    <w:name w:val="CoverJobTicket"/>
    <w:basedOn w:val="CoverNormal"/>
    <w:unhideWhenUsed/>
    <w:rsid w:val="00714563"/>
    <w:rPr>
      <w:b/>
    </w:rPr>
  </w:style>
  <w:style w:type="paragraph" w:customStyle="1" w:styleId="CoverDate">
    <w:name w:val="CoverDate"/>
    <w:basedOn w:val="CoverNormal"/>
    <w:link w:val="CoverDateChar"/>
    <w:unhideWhenUsed/>
    <w:rsid w:val="00714563"/>
    <w:pPr>
      <w:widowControl w:val="0"/>
      <w:autoSpaceDE w:val="0"/>
      <w:autoSpaceDN w:val="0"/>
      <w:snapToGrid w:val="0"/>
      <w:jc w:val="right"/>
    </w:pPr>
    <w:rPr>
      <w:b/>
      <w:sz w:val="18"/>
    </w:rPr>
  </w:style>
  <w:style w:type="paragraph" w:customStyle="1" w:styleId="Para">
    <w:name w:val="Para"/>
    <w:basedOn w:val="Normal"/>
    <w:uiPriority w:val="3"/>
    <w:qFormat/>
    <w:rsid w:val="00714563"/>
    <w:pPr>
      <w:tabs>
        <w:tab w:val="clear" w:pos="850"/>
        <w:tab w:val="clear" w:pos="1191"/>
        <w:tab w:val="clear" w:pos="1531"/>
      </w:tabs>
      <w:spacing w:before="120" w:after="120"/>
      <w:ind w:left="680" w:right="680"/>
    </w:pPr>
    <w:rPr>
      <w:rFonts w:eastAsia="SimSun"/>
      <w:szCs w:val="20"/>
      <w:lang w:eastAsia="en-US"/>
    </w:rPr>
  </w:style>
  <w:style w:type="paragraph" w:customStyle="1" w:styleId="CoverClassification">
    <w:name w:val="CoverClassification"/>
    <w:basedOn w:val="CoverNormal"/>
    <w:unhideWhenUsed/>
    <w:rsid w:val="00714563"/>
    <w:pPr>
      <w:autoSpaceDE w:val="0"/>
      <w:autoSpaceDN w:val="0"/>
      <w:adjustRightInd w:val="0"/>
      <w:jc w:val="right"/>
      <w:textAlignment w:val="center"/>
    </w:pPr>
    <w:rPr>
      <w:rFonts w:cs="Bernini Sans"/>
      <w:b/>
      <w:bCs/>
      <w:color w:val="000000"/>
      <w:lang w:val="fr-FR"/>
    </w:rPr>
  </w:style>
  <w:style w:type="paragraph" w:customStyle="1" w:styleId="CoverLanguage">
    <w:name w:val="CoverLanguage"/>
    <w:basedOn w:val="CoverNormal"/>
    <w:unhideWhenUsed/>
    <w:rsid w:val="00714563"/>
    <w:pPr>
      <w:spacing w:before="40" w:after="40"/>
      <w:jc w:val="right"/>
    </w:pPr>
    <w:rPr>
      <w:b/>
    </w:rPr>
  </w:style>
  <w:style w:type="paragraph" w:customStyle="1" w:styleId="HeaderOdd">
    <w:name w:val="Header Odd"/>
    <w:basedOn w:val="Normal"/>
    <w:next w:val="Normal"/>
    <w:unhideWhenUsed/>
    <w:rsid w:val="00714563"/>
    <w:pPr>
      <w:pBdr>
        <w:bottom w:val="single" w:sz="4" w:space="0" w:color="auto"/>
      </w:pBdr>
      <w:tabs>
        <w:tab w:val="clear" w:pos="850"/>
        <w:tab w:val="clear" w:pos="1191"/>
        <w:tab w:val="clear" w:pos="1531"/>
      </w:tabs>
      <w:autoSpaceDE w:val="0"/>
      <w:autoSpaceDN w:val="0"/>
      <w:adjustRightInd w:val="0"/>
      <w:jc w:val="right"/>
      <w:textAlignment w:val="center"/>
    </w:pPr>
    <w:rPr>
      <w:rFonts w:eastAsia="SimSun" w:cs="Bernini Sans"/>
      <w:bCs/>
      <w:sz w:val="2"/>
      <w:szCs w:val="20"/>
      <w:lang w:val="fr-FR" w:eastAsia="en-US"/>
    </w:rPr>
  </w:style>
  <w:style w:type="paragraph" w:customStyle="1" w:styleId="HeaderEven">
    <w:name w:val="Header Even"/>
    <w:basedOn w:val="HeaderOdd"/>
    <w:unhideWhenUsed/>
    <w:rsid w:val="00714563"/>
    <w:pPr>
      <w:jc w:val="left"/>
    </w:pPr>
    <w:rPr>
      <w:bCs w:val="0"/>
    </w:rPr>
  </w:style>
  <w:style w:type="character" w:customStyle="1" w:styleId="CoverTable">
    <w:name w:val="CoverTable"/>
    <w:basedOn w:val="CoverNormalChar"/>
    <w:uiPriority w:val="1"/>
    <w:unhideWhenUsed/>
    <w:rsid w:val="00714563"/>
    <w:rPr>
      <w:rFonts w:eastAsiaTheme="minorEastAsia"/>
      <w:b w:val="0"/>
      <w:i w:val="0"/>
      <w:position w:val="6"/>
      <w:sz w:val="20"/>
      <w:szCs w:val="21"/>
      <w:lang w:val="en-GB" w:eastAsia="en-US"/>
    </w:rPr>
  </w:style>
  <w:style w:type="paragraph" w:customStyle="1" w:styleId="CoverCommittee">
    <w:name w:val="CoverCommittee"/>
    <w:basedOn w:val="CoverNormal"/>
    <w:rsid w:val="00714563"/>
    <w:rPr>
      <w:b/>
    </w:rPr>
  </w:style>
  <w:style w:type="paragraph" w:customStyle="1" w:styleId="CoverWorkingParty">
    <w:name w:val="CoverWorkingParty"/>
    <w:basedOn w:val="CoverNormal"/>
    <w:rsid w:val="00714563"/>
    <w:rPr>
      <w:b/>
      <w:sz w:val="24"/>
    </w:rPr>
  </w:style>
  <w:style w:type="paragraph" w:customStyle="1" w:styleId="CoverPwbCode">
    <w:name w:val="CoverPwbCode"/>
    <w:basedOn w:val="CoverJobTicket"/>
    <w:rsid w:val="00714563"/>
  </w:style>
  <w:style w:type="paragraph" w:customStyle="1" w:styleId="CoverInformation">
    <w:name w:val="CoverInformation"/>
    <w:basedOn w:val="Normal"/>
    <w:rsid w:val="00714563"/>
    <w:pPr>
      <w:tabs>
        <w:tab w:val="clear" w:pos="850"/>
        <w:tab w:val="clear" w:pos="1191"/>
        <w:tab w:val="clear" w:pos="1531"/>
      </w:tabs>
      <w:jc w:val="left"/>
    </w:pPr>
    <w:rPr>
      <w:rFonts w:eastAsia="SimSun"/>
      <w:b/>
      <w:szCs w:val="20"/>
      <w:lang w:eastAsia="en-US"/>
    </w:rPr>
  </w:style>
  <w:style w:type="character" w:customStyle="1" w:styleId="CoverDateChar">
    <w:name w:val="CoverDate Char"/>
    <w:basedOn w:val="CoverNormalChar"/>
    <w:link w:val="CoverDate"/>
    <w:rsid w:val="00714563"/>
    <w:rPr>
      <w:rFonts w:eastAsia="SimSun"/>
      <w:b/>
      <w:sz w:val="18"/>
      <w:lang w:val="en-GB"/>
    </w:rPr>
  </w:style>
  <w:style w:type="character" w:styleId="Emphasis">
    <w:name w:val="Emphasis"/>
    <w:basedOn w:val="DefaultParagraphFont"/>
    <w:uiPriority w:val="20"/>
    <w:qFormat/>
    <w:rsid w:val="007145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nnexHeading">
    <w:name w:val="BulletedNote"/>
    <w:pPr>
      <w:numPr>
        <w:numId w:val="2"/>
      </w:numPr>
    </w:pPr>
  </w:style>
  <w:style w:type="numbering" w:customStyle="1" w:styleId="BodyText">
    <w:name w:val="NumericNote"/>
    <w:pPr>
      <w:numPr>
        <w:numId w:val="3"/>
      </w:numPr>
    </w:pPr>
  </w:style>
  <w:style w:type="numbering" w:customStyle="1" w:styleId="Annotation">
    <w:name w:val="NumberedNote"/>
    <w:pPr>
      <w:numPr>
        <w:numId w:val="1"/>
      </w:numPr>
    </w:pPr>
  </w:style>
  <w:style w:type="numbering" w:customStyle="1" w:styleId="AppendixHeading">
    <w:name w:val="AlphaNo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51991">
      <w:bodyDiv w:val="1"/>
      <w:marLeft w:val="0"/>
      <w:marRight w:val="0"/>
      <w:marTop w:val="0"/>
      <w:marBottom w:val="0"/>
      <w:divBdr>
        <w:top w:val="none" w:sz="0" w:space="0" w:color="auto"/>
        <w:left w:val="none" w:sz="0" w:space="0" w:color="auto"/>
        <w:bottom w:val="none" w:sz="0" w:space="0" w:color="auto"/>
        <w:right w:val="none" w:sz="0" w:space="0" w:color="auto"/>
      </w:divBdr>
    </w:div>
    <w:div w:id="312370419">
      <w:bodyDiv w:val="1"/>
      <w:marLeft w:val="0"/>
      <w:marRight w:val="0"/>
      <w:marTop w:val="0"/>
      <w:marBottom w:val="0"/>
      <w:divBdr>
        <w:top w:val="none" w:sz="0" w:space="0" w:color="auto"/>
        <w:left w:val="none" w:sz="0" w:space="0" w:color="auto"/>
        <w:bottom w:val="none" w:sz="0" w:space="0" w:color="auto"/>
        <w:right w:val="none" w:sz="0" w:space="0" w:color="auto"/>
      </w:divBdr>
      <w:divsChild>
        <w:div w:id="1717008131">
          <w:marLeft w:val="0"/>
          <w:marRight w:val="0"/>
          <w:marTop w:val="0"/>
          <w:marBottom w:val="0"/>
          <w:divBdr>
            <w:top w:val="none" w:sz="0" w:space="0" w:color="auto"/>
            <w:left w:val="none" w:sz="0" w:space="0" w:color="auto"/>
            <w:bottom w:val="none" w:sz="0" w:space="0" w:color="auto"/>
            <w:right w:val="none" w:sz="0" w:space="0" w:color="auto"/>
          </w:divBdr>
        </w:div>
        <w:div w:id="1557665481">
          <w:marLeft w:val="0"/>
          <w:marRight w:val="0"/>
          <w:marTop w:val="0"/>
          <w:marBottom w:val="0"/>
          <w:divBdr>
            <w:top w:val="none" w:sz="0" w:space="0" w:color="auto"/>
            <w:left w:val="none" w:sz="0" w:space="0" w:color="auto"/>
            <w:bottom w:val="none" w:sz="0" w:space="0" w:color="auto"/>
            <w:right w:val="none" w:sz="0" w:space="0" w:color="auto"/>
          </w:divBdr>
        </w:div>
        <w:div w:id="844786841">
          <w:marLeft w:val="0"/>
          <w:marRight w:val="0"/>
          <w:marTop w:val="0"/>
          <w:marBottom w:val="0"/>
          <w:divBdr>
            <w:top w:val="none" w:sz="0" w:space="0" w:color="auto"/>
            <w:left w:val="none" w:sz="0" w:space="0" w:color="auto"/>
            <w:bottom w:val="none" w:sz="0" w:space="0" w:color="auto"/>
            <w:right w:val="none" w:sz="0" w:space="0" w:color="auto"/>
          </w:divBdr>
        </w:div>
        <w:div w:id="1580677690">
          <w:marLeft w:val="0"/>
          <w:marRight w:val="0"/>
          <w:marTop w:val="0"/>
          <w:marBottom w:val="0"/>
          <w:divBdr>
            <w:top w:val="none" w:sz="0" w:space="0" w:color="auto"/>
            <w:left w:val="none" w:sz="0" w:space="0" w:color="auto"/>
            <w:bottom w:val="none" w:sz="0" w:space="0" w:color="auto"/>
            <w:right w:val="none" w:sz="0" w:space="0" w:color="auto"/>
          </w:divBdr>
        </w:div>
        <w:div w:id="1760058579">
          <w:marLeft w:val="0"/>
          <w:marRight w:val="0"/>
          <w:marTop w:val="0"/>
          <w:marBottom w:val="0"/>
          <w:divBdr>
            <w:top w:val="none" w:sz="0" w:space="0" w:color="auto"/>
            <w:left w:val="none" w:sz="0" w:space="0" w:color="auto"/>
            <w:bottom w:val="none" w:sz="0" w:space="0" w:color="auto"/>
            <w:right w:val="none" w:sz="0" w:space="0" w:color="auto"/>
          </w:divBdr>
        </w:div>
        <w:div w:id="862982082">
          <w:marLeft w:val="0"/>
          <w:marRight w:val="0"/>
          <w:marTop w:val="0"/>
          <w:marBottom w:val="0"/>
          <w:divBdr>
            <w:top w:val="none" w:sz="0" w:space="0" w:color="auto"/>
            <w:left w:val="none" w:sz="0" w:space="0" w:color="auto"/>
            <w:bottom w:val="none" w:sz="0" w:space="0" w:color="auto"/>
            <w:right w:val="none" w:sz="0" w:space="0" w:color="auto"/>
          </w:divBdr>
        </w:div>
        <w:div w:id="367335947">
          <w:marLeft w:val="0"/>
          <w:marRight w:val="0"/>
          <w:marTop w:val="0"/>
          <w:marBottom w:val="0"/>
          <w:divBdr>
            <w:top w:val="none" w:sz="0" w:space="0" w:color="auto"/>
            <w:left w:val="none" w:sz="0" w:space="0" w:color="auto"/>
            <w:bottom w:val="none" w:sz="0" w:space="0" w:color="auto"/>
            <w:right w:val="none" w:sz="0" w:space="0" w:color="auto"/>
          </w:divBdr>
        </w:div>
        <w:div w:id="419569954">
          <w:marLeft w:val="0"/>
          <w:marRight w:val="0"/>
          <w:marTop w:val="0"/>
          <w:marBottom w:val="0"/>
          <w:divBdr>
            <w:top w:val="none" w:sz="0" w:space="0" w:color="auto"/>
            <w:left w:val="none" w:sz="0" w:space="0" w:color="auto"/>
            <w:bottom w:val="none" w:sz="0" w:space="0" w:color="auto"/>
            <w:right w:val="none" w:sz="0" w:space="0" w:color="auto"/>
          </w:divBdr>
        </w:div>
        <w:div w:id="385377890">
          <w:marLeft w:val="0"/>
          <w:marRight w:val="0"/>
          <w:marTop w:val="0"/>
          <w:marBottom w:val="0"/>
          <w:divBdr>
            <w:top w:val="none" w:sz="0" w:space="0" w:color="auto"/>
            <w:left w:val="none" w:sz="0" w:space="0" w:color="auto"/>
            <w:bottom w:val="none" w:sz="0" w:space="0" w:color="auto"/>
            <w:right w:val="none" w:sz="0" w:space="0" w:color="auto"/>
          </w:divBdr>
        </w:div>
        <w:div w:id="1878540986">
          <w:marLeft w:val="0"/>
          <w:marRight w:val="0"/>
          <w:marTop w:val="0"/>
          <w:marBottom w:val="0"/>
          <w:divBdr>
            <w:top w:val="none" w:sz="0" w:space="0" w:color="auto"/>
            <w:left w:val="none" w:sz="0" w:space="0" w:color="auto"/>
            <w:bottom w:val="none" w:sz="0" w:space="0" w:color="auto"/>
            <w:right w:val="none" w:sz="0" w:space="0" w:color="auto"/>
          </w:divBdr>
        </w:div>
        <w:div w:id="1702978259">
          <w:marLeft w:val="0"/>
          <w:marRight w:val="0"/>
          <w:marTop w:val="0"/>
          <w:marBottom w:val="0"/>
          <w:divBdr>
            <w:top w:val="none" w:sz="0" w:space="0" w:color="auto"/>
            <w:left w:val="none" w:sz="0" w:space="0" w:color="auto"/>
            <w:bottom w:val="none" w:sz="0" w:space="0" w:color="auto"/>
            <w:right w:val="none" w:sz="0" w:space="0" w:color="auto"/>
          </w:divBdr>
        </w:div>
        <w:div w:id="1564753539">
          <w:marLeft w:val="0"/>
          <w:marRight w:val="0"/>
          <w:marTop w:val="0"/>
          <w:marBottom w:val="0"/>
          <w:divBdr>
            <w:top w:val="none" w:sz="0" w:space="0" w:color="auto"/>
            <w:left w:val="none" w:sz="0" w:space="0" w:color="auto"/>
            <w:bottom w:val="none" w:sz="0" w:space="0" w:color="auto"/>
            <w:right w:val="none" w:sz="0" w:space="0" w:color="auto"/>
          </w:divBdr>
        </w:div>
        <w:div w:id="1277366142">
          <w:marLeft w:val="0"/>
          <w:marRight w:val="0"/>
          <w:marTop w:val="0"/>
          <w:marBottom w:val="0"/>
          <w:divBdr>
            <w:top w:val="none" w:sz="0" w:space="0" w:color="auto"/>
            <w:left w:val="none" w:sz="0" w:space="0" w:color="auto"/>
            <w:bottom w:val="none" w:sz="0" w:space="0" w:color="auto"/>
            <w:right w:val="none" w:sz="0" w:space="0" w:color="auto"/>
          </w:divBdr>
        </w:div>
        <w:div w:id="1915161682">
          <w:marLeft w:val="0"/>
          <w:marRight w:val="0"/>
          <w:marTop w:val="0"/>
          <w:marBottom w:val="0"/>
          <w:divBdr>
            <w:top w:val="none" w:sz="0" w:space="0" w:color="auto"/>
            <w:left w:val="none" w:sz="0" w:space="0" w:color="auto"/>
            <w:bottom w:val="none" w:sz="0" w:space="0" w:color="auto"/>
            <w:right w:val="none" w:sz="0" w:space="0" w:color="auto"/>
          </w:divBdr>
        </w:div>
        <w:div w:id="1120302269">
          <w:marLeft w:val="0"/>
          <w:marRight w:val="0"/>
          <w:marTop w:val="0"/>
          <w:marBottom w:val="0"/>
          <w:divBdr>
            <w:top w:val="none" w:sz="0" w:space="0" w:color="auto"/>
            <w:left w:val="none" w:sz="0" w:space="0" w:color="auto"/>
            <w:bottom w:val="none" w:sz="0" w:space="0" w:color="auto"/>
            <w:right w:val="none" w:sz="0" w:space="0" w:color="auto"/>
          </w:divBdr>
        </w:div>
        <w:div w:id="243421309">
          <w:marLeft w:val="0"/>
          <w:marRight w:val="0"/>
          <w:marTop w:val="0"/>
          <w:marBottom w:val="0"/>
          <w:divBdr>
            <w:top w:val="none" w:sz="0" w:space="0" w:color="auto"/>
            <w:left w:val="none" w:sz="0" w:space="0" w:color="auto"/>
            <w:bottom w:val="none" w:sz="0" w:space="0" w:color="auto"/>
            <w:right w:val="none" w:sz="0" w:space="0" w:color="auto"/>
          </w:divBdr>
        </w:div>
        <w:div w:id="1751200085">
          <w:marLeft w:val="0"/>
          <w:marRight w:val="0"/>
          <w:marTop w:val="0"/>
          <w:marBottom w:val="0"/>
          <w:divBdr>
            <w:top w:val="none" w:sz="0" w:space="0" w:color="auto"/>
            <w:left w:val="none" w:sz="0" w:space="0" w:color="auto"/>
            <w:bottom w:val="none" w:sz="0" w:space="0" w:color="auto"/>
            <w:right w:val="none" w:sz="0" w:space="0" w:color="auto"/>
          </w:divBdr>
        </w:div>
        <w:div w:id="566691981">
          <w:marLeft w:val="0"/>
          <w:marRight w:val="0"/>
          <w:marTop w:val="0"/>
          <w:marBottom w:val="0"/>
          <w:divBdr>
            <w:top w:val="none" w:sz="0" w:space="0" w:color="auto"/>
            <w:left w:val="none" w:sz="0" w:space="0" w:color="auto"/>
            <w:bottom w:val="none" w:sz="0" w:space="0" w:color="auto"/>
            <w:right w:val="none" w:sz="0" w:space="0" w:color="auto"/>
          </w:divBdr>
        </w:div>
        <w:div w:id="452212486">
          <w:marLeft w:val="0"/>
          <w:marRight w:val="0"/>
          <w:marTop w:val="0"/>
          <w:marBottom w:val="0"/>
          <w:divBdr>
            <w:top w:val="none" w:sz="0" w:space="0" w:color="auto"/>
            <w:left w:val="none" w:sz="0" w:space="0" w:color="auto"/>
            <w:bottom w:val="none" w:sz="0" w:space="0" w:color="auto"/>
            <w:right w:val="none" w:sz="0" w:space="0" w:color="auto"/>
          </w:divBdr>
        </w:div>
        <w:div w:id="2131127654">
          <w:marLeft w:val="0"/>
          <w:marRight w:val="0"/>
          <w:marTop w:val="0"/>
          <w:marBottom w:val="0"/>
          <w:divBdr>
            <w:top w:val="none" w:sz="0" w:space="0" w:color="auto"/>
            <w:left w:val="none" w:sz="0" w:space="0" w:color="auto"/>
            <w:bottom w:val="none" w:sz="0" w:space="0" w:color="auto"/>
            <w:right w:val="none" w:sz="0" w:space="0" w:color="auto"/>
          </w:divBdr>
        </w:div>
        <w:div w:id="182671740">
          <w:marLeft w:val="0"/>
          <w:marRight w:val="0"/>
          <w:marTop w:val="0"/>
          <w:marBottom w:val="0"/>
          <w:divBdr>
            <w:top w:val="none" w:sz="0" w:space="0" w:color="auto"/>
            <w:left w:val="none" w:sz="0" w:space="0" w:color="auto"/>
            <w:bottom w:val="none" w:sz="0" w:space="0" w:color="auto"/>
            <w:right w:val="none" w:sz="0" w:space="0" w:color="auto"/>
          </w:divBdr>
        </w:div>
        <w:div w:id="68382640">
          <w:marLeft w:val="0"/>
          <w:marRight w:val="0"/>
          <w:marTop w:val="0"/>
          <w:marBottom w:val="0"/>
          <w:divBdr>
            <w:top w:val="none" w:sz="0" w:space="0" w:color="auto"/>
            <w:left w:val="none" w:sz="0" w:space="0" w:color="auto"/>
            <w:bottom w:val="none" w:sz="0" w:space="0" w:color="auto"/>
            <w:right w:val="none" w:sz="0" w:space="0" w:color="auto"/>
          </w:divBdr>
        </w:div>
        <w:div w:id="1534003031">
          <w:marLeft w:val="0"/>
          <w:marRight w:val="0"/>
          <w:marTop w:val="0"/>
          <w:marBottom w:val="0"/>
          <w:divBdr>
            <w:top w:val="none" w:sz="0" w:space="0" w:color="auto"/>
            <w:left w:val="none" w:sz="0" w:space="0" w:color="auto"/>
            <w:bottom w:val="none" w:sz="0" w:space="0" w:color="auto"/>
            <w:right w:val="none" w:sz="0" w:space="0" w:color="auto"/>
          </w:divBdr>
        </w:div>
        <w:div w:id="612326458">
          <w:marLeft w:val="0"/>
          <w:marRight w:val="0"/>
          <w:marTop w:val="0"/>
          <w:marBottom w:val="0"/>
          <w:divBdr>
            <w:top w:val="none" w:sz="0" w:space="0" w:color="auto"/>
            <w:left w:val="none" w:sz="0" w:space="0" w:color="auto"/>
            <w:bottom w:val="none" w:sz="0" w:space="0" w:color="auto"/>
            <w:right w:val="none" w:sz="0" w:space="0" w:color="auto"/>
          </w:divBdr>
        </w:div>
        <w:div w:id="1256866556">
          <w:marLeft w:val="0"/>
          <w:marRight w:val="0"/>
          <w:marTop w:val="0"/>
          <w:marBottom w:val="0"/>
          <w:divBdr>
            <w:top w:val="none" w:sz="0" w:space="0" w:color="auto"/>
            <w:left w:val="none" w:sz="0" w:space="0" w:color="auto"/>
            <w:bottom w:val="none" w:sz="0" w:space="0" w:color="auto"/>
            <w:right w:val="none" w:sz="0" w:space="0" w:color="auto"/>
          </w:divBdr>
        </w:div>
        <w:div w:id="1224637381">
          <w:marLeft w:val="0"/>
          <w:marRight w:val="0"/>
          <w:marTop w:val="0"/>
          <w:marBottom w:val="0"/>
          <w:divBdr>
            <w:top w:val="none" w:sz="0" w:space="0" w:color="auto"/>
            <w:left w:val="none" w:sz="0" w:space="0" w:color="auto"/>
            <w:bottom w:val="none" w:sz="0" w:space="0" w:color="auto"/>
            <w:right w:val="none" w:sz="0" w:space="0" w:color="auto"/>
          </w:divBdr>
        </w:div>
        <w:div w:id="1348219588">
          <w:marLeft w:val="0"/>
          <w:marRight w:val="0"/>
          <w:marTop w:val="0"/>
          <w:marBottom w:val="0"/>
          <w:divBdr>
            <w:top w:val="none" w:sz="0" w:space="0" w:color="auto"/>
            <w:left w:val="none" w:sz="0" w:space="0" w:color="auto"/>
            <w:bottom w:val="none" w:sz="0" w:space="0" w:color="auto"/>
            <w:right w:val="none" w:sz="0" w:space="0" w:color="auto"/>
          </w:divBdr>
        </w:div>
        <w:div w:id="283970884">
          <w:marLeft w:val="0"/>
          <w:marRight w:val="0"/>
          <w:marTop w:val="0"/>
          <w:marBottom w:val="0"/>
          <w:divBdr>
            <w:top w:val="none" w:sz="0" w:space="0" w:color="auto"/>
            <w:left w:val="none" w:sz="0" w:space="0" w:color="auto"/>
            <w:bottom w:val="none" w:sz="0" w:space="0" w:color="auto"/>
            <w:right w:val="none" w:sz="0" w:space="0" w:color="auto"/>
          </w:divBdr>
        </w:div>
        <w:div w:id="2135564070">
          <w:marLeft w:val="0"/>
          <w:marRight w:val="0"/>
          <w:marTop w:val="0"/>
          <w:marBottom w:val="0"/>
          <w:divBdr>
            <w:top w:val="none" w:sz="0" w:space="0" w:color="auto"/>
            <w:left w:val="none" w:sz="0" w:space="0" w:color="auto"/>
            <w:bottom w:val="none" w:sz="0" w:space="0" w:color="auto"/>
            <w:right w:val="none" w:sz="0" w:space="0" w:color="auto"/>
          </w:divBdr>
        </w:div>
        <w:div w:id="308675515">
          <w:marLeft w:val="0"/>
          <w:marRight w:val="0"/>
          <w:marTop w:val="0"/>
          <w:marBottom w:val="0"/>
          <w:divBdr>
            <w:top w:val="none" w:sz="0" w:space="0" w:color="auto"/>
            <w:left w:val="none" w:sz="0" w:space="0" w:color="auto"/>
            <w:bottom w:val="none" w:sz="0" w:space="0" w:color="auto"/>
            <w:right w:val="none" w:sz="0" w:space="0" w:color="auto"/>
          </w:divBdr>
        </w:div>
        <w:div w:id="789251366">
          <w:marLeft w:val="0"/>
          <w:marRight w:val="0"/>
          <w:marTop w:val="0"/>
          <w:marBottom w:val="0"/>
          <w:divBdr>
            <w:top w:val="none" w:sz="0" w:space="0" w:color="auto"/>
            <w:left w:val="none" w:sz="0" w:space="0" w:color="auto"/>
            <w:bottom w:val="none" w:sz="0" w:space="0" w:color="auto"/>
            <w:right w:val="none" w:sz="0" w:space="0" w:color="auto"/>
          </w:divBdr>
        </w:div>
      </w:divsChild>
    </w:div>
    <w:div w:id="458573640">
      <w:bodyDiv w:val="1"/>
      <w:marLeft w:val="0"/>
      <w:marRight w:val="0"/>
      <w:marTop w:val="0"/>
      <w:marBottom w:val="0"/>
      <w:divBdr>
        <w:top w:val="none" w:sz="0" w:space="0" w:color="auto"/>
        <w:left w:val="none" w:sz="0" w:space="0" w:color="auto"/>
        <w:bottom w:val="none" w:sz="0" w:space="0" w:color="auto"/>
        <w:right w:val="none" w:sz="0" w:space="0" w:color="auto"/>
      </w:divBdr>
    </w:div>
    <w:div w:id="578444497">
      <w:bodyDiv w:val="1"/>
      <w:marLeft w:val="0"/>
      <w:marRight w:val="0"/>
      <w:marTop w:val="0"/>
      <w:marBottom w:val="0"/>
      <w:divBdr>
        <w:top w:val="none" w:sz="0" w:space="0" w:color="auto"/>
        <w:left w:val="none" w:sz="0" w:space="0" w:color="auto"/>
        <w:bottom w:val="none" w:sz="0" w:space="0" w:color="auto"/>
        <w:right w:val="none" w:sz="0" w:space="0" w:color="auto"/>
      </w:divBdr>
    </w:div>
    <w:div w:id="893080329">
      <w:bodyDiv w:val="1"/>
      <w:marLeft w:val="0"/>
      <w:marRight w:val="0"/>
      <w:marTop w:val="0"/>
      <w:marBottom w:val="0"/>
      <w:divBdr>
        <w:top w:val="none" w:sz="0" w:space="0" w:color="auto"/>
        <w:left w:val="none" w:sz="0" w:space="0" w:color="auto"/>
        <w:bottom w:val="none" w:sz="0" w:space="0" w:color="auto"/>
        <w:right w:val="none" w:sz="0" w:space="0" w:color="auto"/>
      </w:divBdr>
    </w:div>
    <w:div w:id="910894568">
      <w:bodyDiv w:val="1"/>
      <w:marLeft w:val="0"/>
      <w:marRight w:val="0"/>
      <w:marTop w:val="0"/>
      <w:marBottom w:val="0"/>
      <w:divBdr>
        <w:top w:val="none" w:sz="0" w:space="0" w:color="auto"/>
        <w:left w:val="none" w:sz="0" w:space="0" w:color="auto"/>
        <w:bottom w:val="none" w:sz="0" w:space="0" w:color="auto"/>
        <w:right w:val="none" w:sz="0" w:space="0" w:color="auto"/>
      </w:divBdr>
    </w:div>
    <w:div w:id="984965889">
      <w:bodyDiv w:val="1"/>
      <w:marLeft w:val="0"/>
      <w:marRight w:val="0"/>
      <w:marTop w:val="0"/>
      <w:marBottom w:val="0"/>
      <w:divBdr>
        <w:top w:val="none" w:sz="0" w:space="0" w:color="auto"/>
        <w:left w:val="none" w:sz="0" w:space="0" w:color="auto"/>
        <w:bottom w:val="none" w:sz="0" w:space="0" w:color="auto"/>
        <w:right w:val="none" w:sz="0" w:space="0" w:color="auto"/>
      </w:divBdr>
    </w:div>
    <w:div w:id="1250501554">
      <w:bodyDiv w:val="1"/>
      <w:marLeft w:val="0"/>
      <w:marRight w:val="0"/>
      <w:marTop w:val="0"/>
      <w:marBottom w:val="0"/>
      <w:divBdr>
        <w:top w:val="none" w:sz="0" w:space="0" w:color="auto"/>
        <w:left w:val="none" w:sz="0" w:space="0" w:color="auto"/>
        <w:bottom w:val="none" w:sz="0" w:space="0" w:color="auto"/>
        <w:right w:val="none" w:sz="0" w:space="0" w:color="auto"/>
      </w:divBdr>
    </w:div>
    <w:div w:id="1297954682">
      <w:bodyDiv w:val="1"/>
      <w:marLeft w:val="0"/>
      <w:marRight w:val="0"/>
      <w:marTop w:val="0"/>
      <w:marBottom w:val="0"/>
      <w:divBdr>
        <w:top w:val="none" w:sz="0" w:space="0" w:color="auto"/>
        <w:left w:val="none" w:sz="0" w:space="0" w:color="auto"/>
        <w:bottom w:val="none" w:sz="0" w:space="0" w:color="auto"/>
        <w:right w:val="none" w:sz="0" w:space="0" w:color="auto"/>
      </w:divBdr>
      <w:divsChild>
        <w:div w:id="1056731">
          <w:marLeft w:val="0"/>
          <w:marRight w:val="0"/>
          <w:marTop w:val="0"/>
          <w:marBottom w:val="0"/>
          <w:divBdr>
            <w:top w:val="none" w:sz="0" w:space="0" w:color="auto"/>
            <w:left w:val="none" w:sz="0" w:space="0" w:color="auto"/>
            <w:bottom w:val="none" w:sz="0" w:space="0" w:color="auto"/>
            <w:right w:val="none" w:sz="0" w:space="0" w:color="auto"/>
          </w:divBdr>
        </w:div>
        <w:div w:id="627202412">
          <w:marLeft w:val="0"/>
          <w:marRight w:val="0"/>
          <w:marTop w:val="0"/>
          <w:marBottom w:val="0"/>
          <w:divBdr>
            <w:top w:val="none" w:sz="0" w:space="0" w:color="auto"/>
            <w:left w:val="none" w:sz="0" w:space="0" w:color="auto"/>
            <w:bottom w:val="none" w:sz="0" w:space="0" w:color="auto"/>
            <w:right w:val="none" w:sz="0" w:space="0" w:color="auto"/>
          </w:divBdr>
        </w:div>
        <w:div w:id="754938260">
          <w:marLeft w:val="0"/>
          <w:marRight w:val="0"/>
          <w:marTop w:val="0"/>
          <w:marBottom w:val="0"/>
          <w:divBdr>
            <w:top w:val="none" w:sz="0" w:space="0" w:color="auto"/>
            <w:left w:val="none" w:sz="0" w:space="0" w:color="auto"/>
            <w:bottom w:val="none" w:sz="0" w:space="0" w:color="auto"/>
            <w:right w:val="none" w:sz="0" w:space="0" w:color="auto"/>
          </w:divBdr>
        </w:div>
        <w:div w:id="1523088669">
          <w:marLeft w:val="0"/>
          <w:marRight w:val="0"/>
          <w:marTop w:val="0"/>
          <w:marBottom w:val="0"/>
          <w:divBdr>
            <w:top w:val="none" w:sz="0" w:space="0" w:color="auto"/>
            <w:left w:val="none" w:sz="0" w:space="0" w:color="auto"/>
            <w:bottom w:val="none" w:sz="0" w:space="0" w:color="auto"/>
            <w:right w:val="none" w:sz="0" w:space="0" w:color="auto"/>
          </w:divBdr>
        </w:div>
        <w:div w:id="1878275899">
          <w:marLeft w:val="0"/>
          <w:marRight w:val="0"/>
          <w:marTop w:val="0"/>
          <w:marBottom w:val="0"/>
          <w:divBdr>
            <w:top w:val="none" w:sz="0" w:space="0" w:color="auto"/>
            <w:left w:val="none" w:sz="0" w:space="0" w:color="auto"/>
            <w:bottom w:val="none" w:sz="0" w:space="0" w:color="auto"/>
            <w:right w:val="none" w:sz="0" w:space="0" w:color="auto"/>
          </w:divBdr>
        </w:div>
        <w:div w:id="1488864572">
          <w:marLeft w:val="0"/>
          <w:marRight w:val="0"/>
          <w:marTop w:val="0"/>
          <w:marBottom w:val="0"/>
          <w:divBdr>
            <w:top w:val="none" w:sz="0" w:space="0" w:color="auto"/>
            <w:left w:val="none" w:sz="0" w:space="0" w:color="auto"/>
            <w:bottom w:val="none" w:sz="0" w:space="0" w:color="auto"/>
            <w:right w:val="none" w:sz="0" w:space="0" w:color="auto"/>
          </w:divBdr>
        </w:div>
        <w:div w:id="429399257">
          <w:marLeft w:val="0"/>
          <w:marRight w:val="0"/>
          <w:marTop w:val="0"/>
          <w:marBottom w:val="0"/>
          <w:divBdr>
            <w:top w:val="none" w:sz="0" w:space="0" w:color="auto"/>
            <w:left w:val="none" w:sz="0" w:space="0" w:color="auto"/>
            <w:bottom w:val="none" w:sz="0" w:space="0" w:color="auto"/>
            <w:right w:val="none" w:sz="0" w:space="0" w:color="auto"/>
          </w:divBdr>
        </w:div>
      </w:divsChild>
    </w:div>
    <w:div w:id="1335454226">
      <w:bodyDiv w:val="1"/>
      <w:marLeft w:val="0"/>
      <w:marRight w:val="0"/>
      <w:marTop w:val="0"/>
      <w:marBottom w:val="0"/>
      <w:divBdr>
        <w:top w:val="none" w:sz="0" w:space="0" w:color="auto"/>
        <w:left w:val="none" w:sz="0" w:space="0" w:color="auto"/>
        <w:bottom w:val="none" w:sz="0" w:space="0" w:color="auto"/>
        <w:right w:val="none" w:sz="0" w:space="0" w:color="auto"/>
      </w:divBdr>
    </w:div>
    <w:div w:id="1486361663">
      <w:bodyDiv w:val="1"/>
      <w:marLeft w:val="0"/>
      <w:marRight w:val="0"/>
      <w:marTop w:val="0"/>
      <w:marBottom w:val="0"/>
      <w:divBdr>
        <w:top w:val="none" w:sz="0" w:space="0" w:color="auto"/>
        <w:left w:val="none" w:sz="0" w:space="0" w:color="auto"/>
        <w:bottom w:val="none" w:sz="0" w:space="0" w:color="auto"/>
        <w:right w:val="none" w:sz="0" w:space="0" w:color="auto"/>
      </w:divBdr>
    </w:div>
    <w:div w:id="1678385917">
      <w:bodyDiv w:val="1"/>
      <w:marLeft w:val="0"/>
      <w:marRight w:val="0"/>
      <w:marTop w:val="0"/>
      <w:marBottom w:val="0"/>
      <w:divBdr>
        <w:top w:val="none" w:sz="0" w:space="0" w:color="auto"/>
        <w:left w:val="none" w:sz="0" w:space="0" w:color="auto"/>
        <w:bottom w:val="none" w:sz="0" w:space="0" w:color="auto"/>
        <w:right w:val="none" w:sz="0" w:space="0" w:color="auto"/>
      </w:divBdr>
    </w:div>
    <w:div w:id="1711611907">
      <w:bodyDiv w:val="1"/>
      <w:marLeft w:val="0"/>
      <w:marRight w:val="0"/>
      <w:marTop w:val="0"/>
      <w:marBottom w:val="0"/>
      <w:divBdr>
        <w:top w:val="none" w:sz="0" w:space="0" w:color="auto"/>
        <w:left w:val="none" w:sz="0" w:space="0" w:color="auto"/>
        <w:bottom w:val="none" w:sz="0" w:space="0" w:color="auto"/>
        <w:right w:val="none" w:sz="0" w:space="0" w:color="auto"/>
      </w:divBdr>
    </w:div>
    <w:div w:id="1770349477">
      <w:bodyDiv w:val="1"/>
      <w:marLeft w:val="0"/>
      <w:marRight w:val="0"/>
      <w:marTop w:val="0"/>
      <w:marBottom w:val="0"/>
      <w:divBdr>
        <w:top w:val="none" w:sz="0" w:space="0" w:color="auto"/>
        <w:left w:val="none" w:sz="0" w:space="0" w:color="auto"/>
        <w:bottom w:val="none" w:sz="0" w:space="0" w:color="auto"/>
        <w:right w:val="none" w:sz="0" w:space="0" w:color="auto"/>
      </w:divBdr>
      <w:divsChild>
        <w:div w:id="2106264744">
          <w:marLeft w:val="0"/>
          <w:marRight w:val="0"/>
          <w:marTop w:val="0"/>
          <w:marBottom w:val="0"/>
          <w:divBdr>
            <w:top w:val="none" w:sz="0" w:space="0" w:color="auto"/>
            <w:left w:val="none" w:sz="0" w:space="0" w:color="auto"/>
            <w:bottom w:val="none" w:sz="0" w:space="0" w:color="auto"/>
            <w:right w:val="none" w:sz="0" w:space="0" w:color="auto"/>
          </w:divBdr>
        </w:div>
        <w:div w:id="81613649">
          <w:marLeft w:val="0"/>
          <w:marRight w:val="0"/>
          <w:marTop w:val="0"/>
          <w:marBottom w:val="0"/>
          <w:divBdr>
            <w:top w:val="none" w:sz="0" w:space="0" w:color="auto"/>
            <w:left w:val="none" w:sz="0" w:space="0" w:color="auto"/>
            <w:bottom w:val="none" w:sz="0" w:space="0" w:color="auto"/>
            <w:right w:val="none" w:sz="0" w:space="0" w:color="auto"/>
          </w:divBdr>
        </w:div>
        <w:div w:id="1901088619">
          <w:marLeft w:val="0"/>
          <w:marRight w:val="0"/>
          <w:marTop w:val="0"/>
          <w:marBottom w:val="0"/>
          <w:divBdr>
            <w:top w:val="none" w:sz="0" w:space="0" w:color="auto"/>
            <w:left w:val="none" w:sz="0" w:space="0" w:color="auto"/>
            <w:bottom w:val="none" w:sz="0" w:space="0" w:color="auto"/>
            <w:right w:val="none" w:sz="0" w:space="0" w:color="auto"/>
          </w:divBdr>
        </w:div>
        <w:div w:id="1422096076">
          <w:marLeft w:val="0"/>
          <w:marRight w:val="0"/>
          <w:marTop w:val="0"/>
          <w:marBottom w:val="0"/>
          <w:divBdr>
            <w:top w:val="none" w:sz="0" w:space="0" w:color="auto"/>
            <w:left w:val="none" w:sz="0" w:space="0" w:color="auto"/>
            <w:bottom w:val="none" w:sz="0" w:space="0" w:color="auto"/>
            <w:right w:val="none" w:sz="0" w:space="0" w:color="auto"/>
          </w:divBdr>
        </w:div>
        <w:div w:id="475344812">
          <w:marLeft w:val="0"/>
          <w:marRight w:val="0"/>
          <w:marTop w:val="0"/>
          <w:marBottom w:val="0"/>
          <w:divBdr>
            <w:top w:val="none" w:sz="0" w:space="0" w:color="auto"/>
            <w:left w:val="none" w:sz="0" w:space="0" w:color="auto"/>
            <w:bottom w:val="none" w:sz="0" w:space="0" w:color="auto"/>
            <w:right w:val="none" w:sz="0" w:space="0" w:color="auto"/>
          </w:divBdr>
        </w:div>
        <w:div w:id="1742560612">
          <w:marLeft w:val="0"/>
          <w:marRight w:val="0"/>
          <w:marTop w:val="0"/>
          <w:marBottom w:val="0"/>
          <w:divBdr>
            <w:top w:val="none" w:sz="0" w:space="0" w:color="auto"/>
            <w:left w:val="none" w:sz="0" w:space="0" w:color="auto"/>
            <w:bottom w:val="none" w:sz="0" w:space="0" w:color="auto"/>
            <w:right w:val="none" w:sz="0" w:space="0" w:color="auto"/>
          </w:divBdr>
        </w:div>
        <w:div w:id="1488084788">
          <w:marLeft w:val="0"/>
          <w:marRight w:val="0"/>
          <w:marTop w:val="0"/>
          <w:marBottom w:val="0"/>
          <w:divBdr>
            <w:top w:val="none" w:sz="0" w:space="0" w:color="auto"/>
            <w:left w:val="none" w:sz="0" w:space="0" w:color="auto"/>
            <w:bottom w:val="none" w:sz="0" w:space="0" w:color="auto"/>
            <w:right w:val="none" w:sz="0" w:space="0" w:color="auto"/>
          </w:divBdr>
        </w:div>
        <w:div w:id="1787496">
          <w:marLeft w:val="0"/>
          <w:marRight w:val="0"/>
          <w:marTop w:val="0"/>
          <w:marBottom w:val="0"/>
          <w:divBdr>
            <w:top w:val="none" w:sz="0" w:space="0" w:color="auto"/>
            <w:left w:val="none" w:sz="0" w:space="0" w:color="auto"/>
            <w:bottom w:val="none" w:sz="0" w:space="0" w:color="auto"/>
            <w:right w:val="none" w:sz="0" w:space="0" w:color="auto"/>
          </w:divBdr>
        </w:div>
        <w:div w:id="624309365">
          <w:marLeft w:val="0"/>
          <w:marRight w:val="0"/>
          <w:marTop w:val="0"/>
          <w:marBottom w:val="0"/>
          <w:divBdr>
            <w:top w:val="none" w:sz="0" w:space="0" w:color="auto"/>
            <w:left w:val="none" w:sz="0" w:space="0" w:color="auto"/>
            <w:bottom w:val="none" w:sz="0" w:space="0" w:color="auto"/>
            <w:right w:val="none" w:sz="0" w:space="0" w:color="auto"/>
          </w:divBdr>
        </w:div>
        <w:div w:id="280115515">
          <w:marLeft w:val="0"/>
          <w:marRight w:val="0"/>
          <w:marTop w:val="0"/>
          <w:marBottom w:val="0"/>
          <w:divBdr>
            <w:top w:val="none" w:sz="0" w:space="0" w:color="auto"/>
            <w:left w:val="none" w:sz="0" w:space="0" w:color="auto"/>
            <w:bottom w:val="none" w:sz="0" w:space="0" w:color="auto"/>
            <w:right w:val="none" w:sz="0" w:space="0" w:color="auto"/>
          </w:divBdr>
        </w:div>
        <w:div w:id="598679188">
          <w:marLeft w:val="0"/>
          <w:marRight w:val="0"/>
          <w:marTop w:val="0"/>
          <w:marBottom w:val="0"/>
          <w:divBdr>
            <w:top w:val="none" w:sz="0" w:space="0" w:color="auto"/>
            <w:left w:val="none" w:sz="0" w:space="0" w:color="auto"/>
            <w:bottom w:val="none" w:sz="0" w:space="0" w:color="auto"/>
            <w:right w:val="none" w:sz="0" w:space="0" w:color="auto"/>
          </w:divBdr>
        </w:div>
        <w:div w:id="482083477">
          <w:marLeft w:val="0"/>
          <w:marRight w:val="0"/>
          <w:marTop w:val="0"/>
          <w:marBottom w:val="0"/>
          <w:divBdr>
            <w:top w:val="none" w:sz="0" w:space="0" w:color="auto"/>
            <w:left w:val="none" w:sz="0" w:space="0" w:color="auto"/>
            <w:bottom w:val="none" w:sz="0" w:space="0" w:color="auto"/>
            <w:right w:val="none" w:sz="0" w:space="0" w:color="auto"/>
          </w:divBdr>
        </w:div>
        <w:div w:id="487987039">
          <w:marLeft w:val="0"/>
          <w:marRight w:val="0"/>
          <w:marTop w:val="0"/>
          <w:marBottom w:val="0"/>
          <w:divBdr>
            <w:top w:val="none" w:sz="0" w:space="0" w:color="auto"/>
            <w:left w:val="none" w:sz="0" w:space="0" w:color="auto"/>
            <w:bottom w:val="none" w:sz="0" w:space="0" w:color="auto"/>
            <w:right w:val="none" w:sz="0" w:space="0" w:color="auto"/>
          </w:divBdr>
        </w:div>
        <w:div w:id="462189803">
          <w:marLeft w:val="0"/>
          <w:marRight w:val="0"/>
          <w:marTop w:val="0"/>
          <w:marBottom w:val="0"/>
          <w:divBdr>
            <w:top w:val="none" w:sz="0" w:space="0" w:color="auto"/>
            <w:left w:val="none" w:sz="0" w:space="0" w:color="auto"/>
            <w:bottom w:val="none" w:sz="0" w:space="0" w:color="auto"/>
            <w:right w:val="none" w:sz="0" w:space="0" w:color="auto"/>
          </w:divBdr>
        </w:div>
        <w:div w:id="294330848">
          <w:marLeft w:val="0"/>
          <w:marRight w:val="0"/>
          <w:marTop w:val="0"/>
          <w:marBottom w:val="0"/>
          <w:divBdr>
            <w:top w:val="none" w:sz="0" w:space="0" w:color="auto"/>
            <w:left w:val="none" w:sz="0" w:space="0" w:color="auto"/>
            <w:bottom w:val="none" w:sz="0" w:space="0" w:color="auto"/>
            <w:right w:val="none" w:sz="0" w:space="0" w:color="auto"/>
          </w:divBdr>
        </w:div>
        <w:div w:id="558521800">
          <w:marLeft w:val="0"/>
          <w:marRight w:val="0"/>
          <w:marTop w:val="0"/>
          <w:marBottom w:val="0"/>
          <w:divBdr>
            <w:top w:val="none" w:sz="0" w:space="0" w:color="auto"/>
            <w:left w:val="none" w:sz="0" w:space="0" w:color="auto"/>
            <w:bottom w:val="none" w:sz="0" w:space="0" w:color="auto"/>
            <w:right w:val="none" w:sz="0" w:space="0" w:color="auto"/>
          </w:divBdr>
        </w:div>
        <w:div w:id="1477067043">
          <w:marLeft w:val="0"/>
          <w:marRight w:val="0"/>
          <w:marTop w:val="0"/>
          <w:marBottom w:val="0"/>
          <w:divBdr>
            <w:top w:val="none" w:sz="0" w:space="0" w:color="auto"/>
            <w:left w:val="none" w:sz="0" w:space="0" w:color="auto"/>
            <w:bottom w:val="none" w:sz="0" w:space="0" w:color="auto"/>
            <w:right w:val="none" w:sz="0" w:space="0" w:color="auto"/>
          </w:divBdr>
        </w:div>
        <w:div w:id="1968270149">
          <w:marLeft w:val="0"/>
          <w:marRight w:val="0"/>
          <w:marTop w:val="0"/>
          <w:marBottom w:val="0"/>
          <w:divBdr>
            <w:top w:val="none" w:sz="0" w:space="0" w:color="auto"/>
            <w:left w:val="none" w:sz="0" w:space="0" w:color="auto"/>
            <w:bottom w:val="none" w:sz="0" w:space="0" w:color="auto"/>
            <w:right w:val="none" w:sz="0" w:space="0" w:color="auto"/>
          </w:divBdr>
        </w:div>
        <w:div w:id="1754620982">
          <w:marLeft w:val="0"/>
          <w:marRight w:val="0"/>
          <w:marTop w:val="0"/>
          <w:marBottom w:val="0"/>
          <w:divBdr>
            <w:top w:val="none" w:sz="0" w:space="0" w:color="auto"/>
            <w:left w:val="none" w:sz="0" w:space="0" w:color="auto"/>
            <w:bottom w:val="none" w:sz="0" w:space="0" w:color="auto"/>
            <w:right w:val="none" w:sz="0" w:space="0" w:color="auto"/>
          </w:divBdr>
        </w:div>
        <w:div w:id="2119833053">
          <w:marLeft w:val="0"/>
          <w:marRight w:val="0"/>
          <w:marTop w:val="0"/>
          <w:marBottom w:val="0"/>
          <w:divBdr>
            <w:top w:val="none" w:sz="0" w:space="0" w:color="auto"/>
            <w:left w:val="none" w:sz="0" w:space="0" w:color="auto"/>
            <w:bottom w:val="none" w:sz="0" w:space="0" w:color="auto"/>
            <w:right w:val="none" w:sz="0" w:space="0" w:color="auto"/>
          </w:divBdr>
        </w:div>
        <w:div w:id="1584488752">
          <w:marLeft w:val="0"/>
          <w:marRight w:val="0"/>
          <w:marTop w:val="0"/>
          <w:marBottom w:val="0"/>
          <w:divBdr>
            <w:top w:val="none" w:sz="0" w:space="0" w:color="auto"/>
            <w:left w:val="none" w:sz="0" w:space="0" w:color="auto"/>
            <w:bottom w:val="none" w:sz="0" w:space="0" w:color="auto"/>
            <w:right w:val="none" w:sz="0" w:space="0" w:color="auto"/>
          </w:divBdr>
        </w:div>
        <w:div w:id="405882480">
          <w:marLeft w:val="0"/>
          <w:marRight w:val="0"/>
          <w:marTop w:val="0"/>
          <w:marBottom w:val="0"/>
          <w:divBdr>
            <w:top w:val="none" w:sz="0" w:space="0" w:color="auto"/>
            <w:left w:val="none" w:sz="0" w:space="0" w:color="auto"/>
            <w:bottom w:val="none" w:sz="0" w:space="0" w:color="auto"/>
            <w:right w:val="none" w:sz="0" w:space="0" w:color="auto"/>
          </w:divBdr>
        </w:div>
        <w:div w:id="1677224382">
          <w:marLeft w:val="0"/>
          <w:marRight w:val="0"/>
          <w:marTop w:val="0"/>
          <w:marBottom w:val="0"/>
          <w:divBdr>
            <w:top w:val="none" w:sz="0" w:space="0" w:color="auto"/>
            <w:left w:val="none" w:sz="0" w:space="0" w:color="auto"/>
            <w:bottom w:val="none" w:sz="0" w:space="0" w:color="auto"/>
            <w:right w:val="none" w:sz="0" w:space="0" w:color="auto"/>
          </w:divBdr>
        </w:div>
        <w:div w:id="855382674">
          <w:marLeft w:val="0"/>
          <w:marRight w:val="0"/>
          <w:marTop w:val="0"/>
          <w:marBottom w:val="0"/>
          <w:divBdr>
            <w:top w:val="none" w:sz="0" w:space="0" w:color="auto"/>
            <w:left w:val="none" w:sz="0" w:space="0" w:color="auto"/>
            <w:bottom w:val="none" w:sz="0" w:space="0" w:color="auto"/>
            <w:right w:val="none" w:sz="0" w:space="0" w:color="auto"/>
          </w:divBdr>
        </w:div>
      </w:divsChild>
    </w:div>
    <w:div w:id="1928660171">
      <w:bodyDiv w:val="1"/>
      <w:marLeft w:val="0"/>
      <w:marRight w:val="0"/>
      <w:marTop w:val="0"/>
      <w:marBottom w:val="0"/>
      <w:divBdr>
        <w:top w:val="none" w:sz="0" w:space="0" w:color="auto"/>
        <w:left w:val="none" w:sz="0" w:space="0" w:color="auto"/>
        <w:bottom w:val="none" w:sz="0" w:space="0" w:color="auto"/>
        <w:right w:val="none" w:sz="0" w:space="0" w:color="auto"/>
      </w:divBdr>
    </w:div>
    <w:div w:id="1981961520">
      <w:bodyDiv w:val="1"/>
      <w:marLeft w:val="0"/>
      <w:marRight w:val="0"/>
      <w:marTop w:val="0"/>
      <w:marBottom w:val="0"/>
      <w:divBdr>
        <w:top w:val="none" w:sz="0" w:space="0" w:color="auto"/>
        <w:left w:val="none" w:sz="0" w:space="0" w:color="auto"/>
        <w:bottom w:val="none" w:sz="0" w:space="0" w:color="auto"/>
        <w:right w:val="none" w:sz="0" w:space="0" w:color="auto"/>
      </w:divBdr>
    </w:div>
    <w:div w:id="206336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hyperlink" Target="http://www.tbs-sct.gc.ca/ems-sgd/edb-bdd/index-eng.html"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chart" Target="charts/chart4.xm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hyperlink" Target="http://www.oecd.org/australia/43411866.pd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chart" Target="charts/chart5.xml"/><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chart" Target="charts/chart2.xml"/><Relationship Id="rId31"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hart" Target="charts/chart3.xml"/><Relationship Id="rId27" Type="http://schemas.openxmlformats.org/officeDocument/2006/relationships/image" Target="media/image8.jpeg"/><Relationship Id="rId30" Type="http://schemas.openxmlformats.org/officeDocument/2006/relationships/chart" Target="charts/chart6.xml"/><Relationship Id="rId35" Type="http://schemas.openxmlformats.org/officeDocument/2006/relationships/footer" Target="footer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main.oecd.org\sdataGOV\Data\PUM\Bmd\BUD\Performance%20budgeting\Database%202016\Work%20for%20the%20database\OECD.Performance.Budgeting.Survey.2016.Results_22Jul%20v.8%20%20(24%20Feb%202017)%2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Beazley_I\AppData\Local\Microsoft\Windows\Temporary%20Internet%20Files\Content.Outlook\R316JJR6\OECD.Performance.Budgeting.Survey.2016.Results_22Jul%20%20%20-%20Final%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ain.oecd.org\sdataGOV\Data\PUM\Bmd\BUD\Performance%20budgeting\Database%202016\Work%20for%20the%20database\OECD.Performance.Budgeting.Survey.2016.Results_22Jul%20v.8%20%20(24%20Feb%202017)%20.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Beazley_I\LocalData\AutoRecover\OECD.Performance.Budgeting.Survey.2016%20(version%201).xlsb"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eazley_I\LocalData\AutoRecover\OECD.Performance.Budgeting.Survey.2016%20(version%201).xlsb"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Beazley_I\AppData\Local\Microsoft\Windows\Temporary%20Internet%20Files\Content.Outlook\R316JJR6\OECD.Performance.Budgeting.Survey.2016.Results_22Jul%20%20%20-%20Final%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eazley_I\AppData\Local\Microsoft\Windows\Temporary%20Internet%20Files\Content.Outlook\R316JJR6\OECD.Performance.Budgeting.Survey.2016.Results_22Jul%20%20%20-%20Final%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7947278808621007E-2"/>
          <c:y val="1.4446030912575172E-2"/>
          <c:w val="0.6920106126666663"/>
          <c:h val="0.97499363449967169"/>
        </c:manualLayout>
      </c:layout>
      <c:barChart>
        <c:barDir val="bar"/>
        <c:grouping val="stacked"/>
        <c:varyColors val="0"/>
        <c:ser>
          <c:idx val="0"/>
          <c:order val="0"/>
          <c:spPr>
            <a:solidFill>
              <a:schemeClr val="tx2">
                <a:lumMod val="50000"/>
              </a:schemeClr>
            </a:solidFill>
            <a:ln>
              <a:solidFill>
                <a:schemeClr val="bg1"/>
              </a:solidFill>
            </a:ln>
          </c:spPr>
          <c:invertIfNegative val="0"/>
          <c:dLbls>
            <c:txPr>
              <a:bodyPr/>
              <a:lstStyle/>
              <a:p>
                <a:pPr>
                  <a:defRPr>
                    <a:solidFill>
                      <a:schemeClr val="bg1"/>
                    </a:solidFill>
                  </a:defRPr>
                </a:pPr>
                <a:endParaRPr lang="en-US"/>
              </a:p>
            </c:txPr>
            <c:showLegendKey val="0"/>
            <c:showVal val="1"/>
            <c:showCatName val="0"/>
            <c:showSerName val="0"/>
            <c:showPercent val="0"/>
            <c:showBubbleSize val="0"/>
            <c:showLeaderLines val="0"/>
          </c:dLbls>
          <c:val>
            <c:numRef>
              <c:f>'Q12-13 - Nat Per Frame'!$M$15:$M$22</c:f>
              <c:numCache>
                <c:formatCode>General</c:formatCode>
                <c:ptCount val="8"/>
                <c:pt idx="0">
                  <c:v>6</c:v>
                </c:pt>
                <c:pt idx="1">
                  <c:v>6</c:v>
                </c:pt>
                <c:pt idx="2">
                  <c:v>7</c:v>
                </c:pt>
                <c:pt idx="3">
                  <c:v>8</c:v>
                </c:pt>
                <c:pt idx="4">
                  <c:v>8</c:v>
                </c:pt>
                <c:pt idx="5">
                  <c:v>9</c:v>
                </c:pt>
                <c:pt idx="6">
                  <c:v>11</c:v>
                </c:pt>
                <c:pt idx="7">
                  <c:v>9</c:v>
                </c:pt>
              </c:numCache>
            </c:numRef>
          </c:val>
        </c:ser>
        <c:dLbls>
          <c:showLegendKey val="0"/>
          <c:showVal val="0"/>
          <c:showCatName val="0"/>
          <c:showSerName val="0"/>
          <c:showPercent val="0"/>
          <c:showBubbleSize val="0"/>
        </c:dLbls>
        <c:gapWidth val="79"/>
        <c:overlap val="100"/>
        <c:axId val="94504448"/>
        <c:axId val="94505984"/>
      </c:barChart>
      <c:catAx>
        <c:axId val="94504448"/>
        <c:scaling>
          <c:orientation val="minMax"/>
        </c:scaling>
        <c:delete val="1"/>
        <c:axPos val="l"/>
        <c:majorTickMark val="out"/>
        <c:minorTickMark val="none"/>
        <c:tickLblPos val="nextTo"/>
        <c:crossAx val="94505984"/>
        <c:crosses val="autoZero"/>
        <c:auto val="1"/>
        <c:lblAlgn val="ctr"/>
        <c:lblOffset val="100"/>
        <c:noMultiLvlLbl val="0"/>
      </c:catAx>
      <c:valAx>
        <c:axId val="94505984"/>
        <c:scaling>
          <c:orientation val="minMax"/>
          <c:max val="34"/>
          <c:min val="0"/>
        </c:scaling>
        <c:delete val="0"/>
        <c:axPos val="b"/>
        <c:numFmt formatCode="General" sourceLinked="1"/>
        <c:majorTickMark val="none"/>
        <c:minorTickMark val="none"/>
        <c:tickLblPos val="none"/>
        <c:crossAx val="94504448"/>
        <c:crosses val="autoZero"/>
        <c:crossBetween val="between"/>
      </c:valAx>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8457661604944293"/>
          <c:y val="5.0925925925925923E-2"/>
          <c:w val="0.57763189257308623"/>
          <c:h val="0.84580562600728759"/>
        </c:manualLayout>
      </c:layout>
      <c:barChart>
        <c:barDir val="bar"/>
        <c:grouping val="clustered"/>
        <c:varyColors val="0"/>
        <c:ser>
          <c:idx val="0"/>
          <c:order val="0"/>
          <c:tx>
            <c:v>Outcomes</c:v>
          </c:tx>
          <c:invertIfNegative val="0"/>
          <c:cat>
            <c:strRef>
              <c:f>'Q21 - sector'!$G$262:$G$279</c:f>
              <c:strCache>
                <c:ptCount val="18"/>
                <c:pt idx="0">
                  <c:v>Internal operations</c:v>
                </c:pt>
                <c:pt idx="1">
                  <c:v>Trust in government</c:v>
                </c:pt>
                <c:pt idx="2">
                  <c:v>Inclusiveness</c:v>
                </c:pt>
                <c:pt idx="3">
                  <c:v>Gender equality</c:v>
                </c:pt>
                <c:pt idx="4">
                  <c:v>Direct service delivery</c:v>
                </c:pt>
                <c:pt idx="5">
                  <c:v>Revenue administration</c:v>
                </c:pt>
                <c:pt idx="6">
                  <c:v>Transfers to other organisations</c:v>
                </c:pt>
                <c:pt idx="7">
                  <c:v>Transfers to individuals</c:v>
                </c:pt>
                <c:pt idx="8">
                  <c:v>Housing</c:v>
                </c:pt>
                <c:pt idx="9">
                  <c:v>Recreation, culture, religion</c:v>
                </c:pt>
                <c:pt idx="10">
                  <c:v>Defence</c:v>
                </c:pt>
                <c:pt idx="11">
                  <c:v>General public services</c:v>
                </c:pt>
                <c:pt idx="12">
                  <c:v>Economic affairs</c:v>
                </c:pt>
                <c:pt idx="13">
                  <c:v>Public order and safety</c:v>
                </c:pt>
                <c:pt idx="14">
                  <c:v>Education</c:v>
                </c:pt>
                <c:pt idx="15">
                  <c:v>Health</c:v>
                </c:pt>
                <c:pt idx="16">
                  <c:v>Social affairs</c:v>
                </c:pt>
                <c:pt idx="17">
                  <c:v>Environment</c:v>
                </c:pt>
              </c:strCache>
            </c:strRef>
          </c:cat>
          <c:val>
            <c:numRef>
              <c:f>'Q21 - sector'!$J$262:$J$279</c:f>
              <c:numCache>
                <c:formatCode>0</c:formatCode>
                <c:ptCount val="18"/>
                <c:pt idx="0">
                  <c:v>65.625</c:v>
                </c:pt>
                <c:pt idx="1">
                  <c:v>78.125</c:v>
                </c:pt>
                <c:pt idx="2">
                  <c:v>78.125</c:v>
                </c:pt>
                <c:pt idx="3">
                  <c:v>106.25</c:v>
                </c:pt>
                <c:pt idx="4">
                  <c:v>106.25</c:v>
                </c:pt>
                <c:pt idx="5">
                  <c:v>100</c:v>
                </c:pt>
                <c:pt idx="6">
                  <c:v>112.5</c:v>
                </c:pt>
                <c:pt idx="7">
                  <c:v>118.75</c:v>
                </c:pt>
                <c:pt idx="8">
                  <c:v>128.125</c:v>
                </c:pt>
                <c:pt idx="9">
                  <c:v>137.5</c:v>
                </c:pt>
                <c:pt idx="10">
                  <c:v>137.5</c:v>
                </c:pt>
                <c:pt idx="11">
                  <c:v>146.875</c:v>
                </c:pt>
                <c:pt idx="12">
                  <c:v>162.5</c:v>
                </c:pt>
                <c:pt idx="13">
                  <c:v>165.625</c:v>
                </c:pt>
                <c:pt idx="14">
                  <c:v>175</c:v>
                </c:pt>
                <c:pt idx="15">
                  <c:v>171.875</c:v>
                </c:pt>
                <c:pt idx="16">
                  <c:v>178.125</c:v>
                </c:pt>
                <c:pt idx="17">
                  <c:v>193.75</c:v>
                </c:pt>
              </c:numCache>
            </c:numRef>
          </c:val>
        </c:ser>
        <c:ser>
          <c:idx val="1"/>
          <c:order val="1"/>
          <c:tx>
            <c:v>Outputs</c:v>
          </c:tx>
          <c:spPr>
            <a:solidFill>
              <a:schemeClr val="tx2">
                <a:lumMod val="50000"/>
              </a:schemeClr>
            </a:solidFill>
          </c:spPr>
          <c:invertIfNegative val="0"/>
          <c:cat>
            <c:strRef>
              <c:f>'Q21 - sector'!$G$262:$G$279</c:f>
              <c:strCache>
                <c:ptCount val="18"/>
                <c:pt idx="0">
                  <c:v>Internal operations</c:v>
                </c:pt>
                <c:pt idx="1">
                  <c:v>Trust in government</c:v>
                </c:pt>
                <c:pt idx="2">
                  <c:v>Inclusiveness</c:v>
                </c:pt>
                <c:pt idx="3">
                  <c:v>Gender equality</c:v>
                </c:pt>
                <c:pt idx="4">
                  <c:v>Direct service delivery</c:v>
                </c:pt>
                <c:pt idx="5">
                  <c:v>Revenue administration</c:v>
                </c:pt>
                <c:pt idx="6">
                  <c:v>Transfers to other organisations</c:v>
                </c:pt>
                <c:pt idx="7">
                  <c:v>Transfers to individuals</c:v>
                </c:pt>
                <c:pt idx="8">
                  <c:v>Housing</c:v>
                </c:pt>
                <c:pt idx="9">
                  <c:v>Recreation, culture, religion</c:v>
                </c:pt>
                <c:pt idx="10">
                  <c:v>Defence</c:v>
                </c:pt>
                <c:pt idx="11">
                  <c:v>General public services</c:v>
                </c:pt>
                <c:pt idx="12">
                  <c:v>Economic affairs</c:v>
                </c:pt>
                <c:pt idx="13">
                  <c:v>Public order and safety</c:v>
                </c:pt>
                <c:pt idx="14">
                  <c:v>Education</c:v>
                </c:pt>
                <c:pt idx="15">
                  <c:v>Health</c:v>
                </c:pt>
                <c:pt idx="16">
                  <c:v>Social affairs</c:v>
                </c:pt>
                <c:pt idx="17">
                  <c:v>Environment</c:v>
                </c:pt>
              </c:strCache>
            </c:strRef>
          </c:cat>
          <c:val>
            <c:numRef>
              <c:f>'Q21 - sector'!$I$262:$I$279</c:f>
              <c:numCache>
                <c:formatCode>0</c:formatCode>
                <c:ptCount val="18"/>
                <c:pt idx="0">
                  <c:v>103.125</c:v>
                </c:pt>
                <c:pt idx="1">
                  <c:v>90.625</c:v>
                </c:pt>
                <c:pt idx="2">
                  <c:v>93.75</c:v>
                </c:pt>
                <c:pt idx="3">
                  <c:v>121.875</c:v>
                </c:pt>
                <c:pt idx="4">
                  <c:v>134.375</c:v>
                </c:pt>
                <c:pt idx="5">
                  <c:v>143.75</c:v>
                </c:pt>
                <c:pt idx="6">
                  <c:v>153.125</c:v>
                </c:pt>
                <c:pt idx="7">
                  <c:v>150</c:v>
                </c:pt>
                <c:pt idx="8">
                  <c:v>168.75</c:v>
                </c:pt>
                <c:pt idx="9">
                  <c:v>178.125</c:v>
                </c:pt>
                <c:pt idx="10">
                  <c:v>187.5</c:v>
                </c:pt>
                <c:pt idx="11">
                  <c:v>184.375</c:v>
                </c:pt>
                <c:pt idx="12">
                  <c:v>196.875</c:v>
                </c:pt>
                <c:pt idx="13">
                  <c:v>206.25</c:v>
                </c:pt>
                <c:pt idx="14">
                  <c:v>203.125</c:v>
                </c:pt>
                <c:pt idx="15">
                  <c:v>209.375</c:v>
                </c:pt>
                <c:pt idx="16">
                  <c:v>206.25</c:v>
                </c:pt>
                <c:pt idx="17">
                  <c:v>209.375</c:v>
                </c:pt>
              </c:numCache>
            </c:numRef>
          </c:val>
        </c:ser>
        <c:dLbls>
          <c:showLegendKey val="0"/>
          <c:showVal val="0"/>
          <c:showCatName val="0"/>
          <c:showSerName val="0"/>
          <c:showPercent val="0"/>
          <c:showBubbleSize val="0"/>
        </c:dLbls>
        <c:gapWidth val="150"/>
        <c:axId val="441087488"/>
        <c:axId val="442574720"/>
      </c:barChart>
      <c:barChart>
        <c:barDir val="bar"/>
        <c:grouping val="clustered"/>
        <c:varyColors val="0"/>
        <c:ser>
          <c:idx val="2"/>
          <c:order val="2"/>
          <c:tx>
            <c:v>Impact</c:v>
          </c:tx>
          <c:spPr>
            <a:noFill/>
          </c:spPr>
          <c:invertIfNegative val="0"/>
          <c:val>
            <c:numRef>
              <c:f>'Q21 - sector'!$L$262:$L$279</c:f>
              <c:numCache>
                <c:formatCode>General</c:formatCode>
                <c:ptCount val="18"/>
                <c:pt idx="0">
                  <c:v>39</c:v>
                </c:pt>
                <c:pt idx="1">
                  <c:v>36</c:v>
                </c:pt>
                <c:pt idx="2">
                  <c:v>47</c:v>
                </c:pt>
                <c:pt idx="3">
                  <c:v>35</c:v>
                </c:pt>
                <c:pt idx="4">
                  <c:v>38</c:v>
                </c:pt>
                <c:pt idx="5">
                  <c:v>44</c:v>
                </c:pt>
                <c:pt idx="6">
                  <c:v>40</c:v>
                </c:pt>
                <c:pt idx="7">
                  <c:v>27</c:v>
                </c:pt>
                <c:pt idx="8">
                  <c:v>53</c:v>
                </c:pt>
                <c:pt idx="9">
                  <c:v>56</c:v>
                </c:pt>
                <c:pt idx="10">
                  <c:v>53</c:v>
                </c:pt>
                <c:pt idx="11">
                  <c:v>46</c:v>
                </c:pt>
                <c:pt idx="12">
                  <c:v>60</c:v>
                </c:pt>
                <c:pt idx="13">
                  <c:v>61</c:v>
                </c:pt>
                <c:pt idx="14">
                  <c:v>39</c:v>
                </c:pt>
                <c:pt idx="15">
                  <c:v>58</c:v>
                </c:pt>
                <c:pt idx="16">
                  <c:v>56</c:v>
                </c:pt>
                <c:pt idx="17">
                  <c:v>61</c:v>
                </c:pt>
              </c:numCache>
            </c:numRef>
          </c:val>
        </c:ser>
        <c:dLbls>
          <c:showLegendKey val="0"/>
          <c:showVal val="0"/>
          <c:showCatName val="0"/>
          <c:showSerName val="0"/>
          <c:showPercent val="0"/>
          <c:showBubbleSize val="0"/>
        </c:dLbls>
        <c:gapWidth val="150"/>
        <c:axId val="442603008"/>
        <c:axId val="442596352"/>
      </c:barChart>
      <c:catAx>
        <c:axId val="441087488"/>
        <c:scaling>
          <c:orientation val="minMax"/>
        </c:scaling>
        <c:delete val="0"/>
        <c:axPos val="l"/>
        <c:majorTickMark val="out"/>
        <c:minorTickMark val="none"/>
        <c:tickLblPos val="nextTo"/>
        <c:crossAx val="442574720"/>
        <c:crosses val="autoZero"/>
        <c:auto val="1"/>
        <c:lblAlgn val="ctr"/>
        <c:lblOffset val="100"/>
        <c:noMultiLvlLbl val="0"/>
      </c:catAx>
      <c:valAx>
        <c:axId val="442574720"/>
        <c:scaling>
          <c:orientation val="minMax"/>
          <c:max val="400"/>
        </c:scaling>
        <c:delete val="0"/>
        <c:axPos val="b"/>
        <c:numFmt formatCode="0" sourceLinked="1"/>
        <c:majorTickMark val="none"/>
        <c:minorTickMark val="none"/>
        <c:tickLblPos val="none"/>
        <c:crossAx val="441087488"/>
        <c:crosses val="autoZero"/>
        <c:crossBetween val="between"/>
      </c:valAx>
      <c:valAx>
        <c:axId val="442596352"/>
        <c:scaling>
          <c:orientation val="minMax"/>
        </c:scaling>
        <c:delete val="0"/>
        <c:axPos val="t"/>
        <c:numFmt formatCode="General" sourceLinked="1"/>
        <c:majorTickMark val="none"/>
        <c:minorTickMark val="none"/>
        <c:tickLblPos val="none"/>
        <c:crossAx val="442603008"/>
        <c:crosses val="max"/>
        <c:crossBetween val="between"/>
      </c:valAx>
      <c:catAx>
        <c:axId val="442603008"/>
        <c:scaling>
          <c:orientation val="minMax"/>
        </c:scaling>
        <c:delete val="1"/>
        <c:axPos val="l"/>
        <c:majorTickMark val="out"/>
        <c:minorTickMark val="none"/>
        <c:tickLblPos val="nextTo"/>
        <c:crossAx val="442596352"/>
        <c:crosses val="autoZero"/>
        <c:auto val="1"/>
        <c:lblAlgn val="ctr"/>
        <c:lblOffset val="100"/>
        <c:noMultiLvlLbl val="0"/>
      </c:catAx>
    </c:plotArea>
    <c:legend>
      <c:legendPos val="r"/>
      <c:layout>
        <c:manualLayout>
          <c:xMode val="edge"/>
          <c:yMode val="edge"/>
          <c:x val="0.78393381899913317"/>
          <c:y val="0.7495803634178213"/>
          <c:w val="0.15961908749866999"/>
          <c:h val="0.14538165271426184"/>
        </c:manualLayout>
      </c:layout>
      <c:overlay val="0"/>
    </c:legend>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4"/>
            <c:invertIfNegative val="0"/>
            <c:bubble3D val="0"/>
            <c:spPr>
              <a:noFill/>
              <a:ln>
                <a:solidFill>
                  <a:schemeClr val="tx2"/>
                </a:solidFill>
              </a:ln>
            </c:spPr>
          </c:dPt>
          <c:cat>
            <c:strRef>
              <c:f>'Q24-25 - target setting'!$G$1:$J$1</c:f>
              <c:strCache>
                <c:ptCount val="4"/>
                <c:pt idx="0">
                  <c:v>Yes, for all programmes</c:v>
                </c:pt>
                <c:pt idx="1">
                  <c:v>Yes, for most programmes</c:v>
                </c:pt>
                <c:pt idx="2">
                  <c:v>Yes, for only priority programmes</c:v>
                </c:pt>
                <c:pt idx="3">
                  <c:v>No</c:v>
                </c:pt>
              </c:strCache>
            </c:strRef>
          </c:cat>
          <c:val>
            <c:numRef>
              <c:f>'Q24-25 - target setting'!$G$2:$J$2</c:f>
              <c:numCache>
                <c:formatCode>General</c:formatCode>
                <c:ptCount val="4"/>
                <c:pt idx="0">
                  <c:v>10</c:v>
                </c:pt>
                <c:pt idx="1">
                  <c:v>7</c:v>
                </c:pt>
                <c:pt idx="2">
                  <c:v>10</c:v>
                </c:pt>
                <c:pt idx="3">
                  <c:v>5</c:v>
                </c:pt>
              </c:numCache>
            </c:numRef>
          </c:val>
        </c:ser>
        <c:dLbls>
          <c:showLegendKey val="0"/>
          <c:showVal val="0"/>
          <c:showCatName val="0"/>
          <c:showSerName val="0"/>
          <c:showPercent val="0"/>
          <c:showBubbleSize val="0"/>
        </c:dLbls>
        <c:gapWidth val="150"/>
        <c:axId val="481778688"/>
        <c:axId val="606478720"/>
      </c:barChart>
      <c:catAx>
        <c:axId val="481778688"/>
        <c:scaling>
          <c:orientation val="minMax"/>
        </c:scaling>
        <c:delete val="0"/>
        <c:axPos val="b"/>
        <c:majorTickMark val="out"/>
        <c:minorTickMark val="none"/>
        <c:tickLblPos val="nextTo"/>
        <c:crossAx val="606478720"/>
        <c:crosses val="autoZero"/>
        <c:auto val="1"/>
        <c:lblAlgn val="ctr"/>
        <c:lblOffset val="100"/>
        <c:noMultiLvlLbl val="0"/>
      </c:catAx>
      <c:valAx>
        <c:axId val="606478720"/>
        <c:scaling>
          <c:orientation val="minMax"/>
        </c:scaling>
        <c:delete val="0"/>
        <c:axPos val="l"/>
        <c:numFmt formatCode="General" sourceLinked="1"/>
        <c:majorTickMark val="out"/>
        <c:minorTickMark val="none"/>
        <c:tickLblPos val="nextTo"/>
        <c:crossAx val="481778688"/>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8457661604944293"/>
          <c:y val="5.0925925925925923E-2"/>
          <c:w val="0.57763189257308623"/>
          <c:h val="0.84580562600728759"/>
        </c:manualLayout>
      </c:layout>
      <c:barChart>
        <c:barDir val="bar"/>
        <c:grouping val="clustered"/>
        <c:varyColors val="0"/>
        <c:ser>
          <c:idx val="0"/>
          <c:order val="0"/>
          <c:invertIfNegative val="0"/>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chemeClr val="accent1"/>
              </a:solidFill>
              <a:ln>
                <a:solidFill>
                  <a:schemeClr val="accent1"/>
                </a:solidFill>
              </a:ln>
            </c:spPr>
          </c:dPt>
          <c:cat>
            <c:strRef>
              <c:f>'Q32 - challenges'!$E$30:$E$46</c:f>
              <c:strCache>
                <c:ptCount val="17"/>
                <c:pt idx="0">
                  <c:v>Competition for funding</c:v>
                </c:pt>
                <c:pt idx="1">
                  <c:v>Lack of framework/guidance</c:v>
                </c:pt>
                <c:pt idx="2">
                  <c:v>Inconsistencies/duplication CBAs and Line Ministries</c:v>
                </c:pt>
                <c:pt idx="3">
                  <c:v>Focus on performance decreases once funds have been allocated</c:v>
                </c:pt>
                <c:pt idx="4">
                  <c:v>Lack of adequate ICT</c:v>
                </c:pt>
                <c:pt idx="5">
                  <c:v>Gaming</c:v>
                </c:pt>
                <c:pt idx="6">
                  <c:v>Bureaucratic procedures</c:v>
                </c:pt>
                <c:pt idx="7">
                  <c:v>Unclear objectives</c:v>
                </c:pt>
                <c:pt idx="8">
                  <c:v>Lack of leadership/commitment</c:v>
                </c:pt>
                <c:pt idx="9">
                  <c:v>Performance information not relevant</c:v>
                </c:pt>
                <c:pt idx="10">
                  <c:v>Information overload</c:v>
                </c:pt>
                <c:pt idx="11">
                  <c:v>Performance information plays unclear role</c:v>
                </c:pt>
                <c:pt idx="12">
                  <c:v>Lack of info on efficiency</c:v>
                </c:pt>
                <c:pt idx="13">
                  <c:v>Lack accurate/timely data</c:v>
                </c:pt>
                <c:pt idx="14">
                  <c:v>Lack of capacity/training</c:v>
                </c:pt>
                <c:pt idx="15">
                  <c:v>Lack of resources</c:v>
                </c:pt>
                <c:pt idx="16">
                  <c:v>Lack of performance culture</c:v>
                </c:pt>
              </c:strCache>
            </c:strRef>
          </c:cat>
          <c:val>
            <c:numRef>
              <c:f>'Q32 - challenges'!$D$30:$D$46</c:f>
              <c:numCache>
                <c:formatCode>General</c:formatCode>
                <c:ptCount val="17"/>
                <c:pt idx="0">
                  <c:v>48</c:v>
                </c:pt>
                <c:pt idx="1">
                  <c:v>61</c:v>
                </c:pt>
                <c:pt idx="2">
                  <c:v>65</c:v>
                </c:pt>
                <c:pt idx="3">
                  <c:v>67</c:v>
                </c:pt>
                <c:pt idx="4">
                  <c:v>67</c:v>
                </c:pt>
                <c:pt idx="5">
                  <c:v>69</c:v>
                </c:pt>
                <c:pt idx="6">
                  <c:v>75</c:v>
                </c:pt>
                <c:pt idx="7">
                  <c:v>82</c:v>
                </c:pt>
                <c:pt idx="8">
                  <c:v>83</c:v>
                </c:pt>
                <c:pt idx="9">
                  <c:v>84</c:v>
                </c:pt>
                <c:pt idx="10">
                  <c:v>85</c:v>
                </c:pt>
                <c:pt idx="11">
                  <c:v>86</c:v>
                </c:pt>
                <c:pt idx="12">
                  <c:v>86</c:v>
                </c:pt>
                <c:pt idx="13">
                  <c:v>87</c:v>
                </c:pt>
                <c:pt idx="14">
                  <c:v>89</c:v>
                </c:pt>
                <c:pt idx="15">
                  <c:v>91</c:v>
                </c:pt>
                <c:pt idx="16">
                  <c:v>100</c:v>
                </c:pt>
              </c:numCache>
            </c:numRef>
          </c:val>
        </c:ser>
        <c:dLbls>
          <c:showLegendKey val="0"/>
          <c:showVal val="0"/>
          <c:showCatName val="0"/>
          <c:showSerName val="0"/>
          <c:showPercent val="0"/>
          <c:showBubbleSize val="0"/>
        </c:dLbls>
        <c:gapWidth val="150"/>
        <c:axId val="608355072"/>
        <c:axId val="608356992"/>
      </c:barChart>
      <c:catAx>
        <c:axId val="608355072"/>
        <c:scaling>
          <c:orientation val="minMax"/>
        </c:scaling>
        <c:delete val="0"/>
        <c:axPos val="l"/>
        <c:majorTickMark val="out"/>
        <c:minorTickMark val="none"/>
        <c:tickLblPos val="nextTo"/>
        <c:txPr>
          <a:bodyPr/>
          <a:lstStyle/>
          <a:p>
            <a:pPr>
              <a:defRPr b="1"/>
            </a:pPr>
            <a:endParaRPr lang="en-US"/>
          </a:p>
        </c:txPr>
        <c:crossAx val="608356992"/>
        <c:crosses val="autoZero"/>
        <c:auto val="1"/>
        <c:lblAlgn val="ctr"/>
        <c:lblOffset val="100"/>
        <c:noMultiLvlLbl val="0"/>
      </c:catAx>
      <c:valAx>
        <c:axId val="608356992"/>
        <c:scaling>
          <c:orientation val="minMax"/>
          <c:max val="150"/>
        </c:scaling>
        <c:delete val="0"/>
        <c:axPos val="b"/>
        <c:numFmt formatCode="General" sourceLinked="1"/>
        <c:majorTickMark val="none"/>
        <c:minorTickMark val="none"/>
        <c:tickLblPos val="none"/>
        <c:crossAx val="608355072"/>
        <c:crosses val="autoZero"/>
        <c:crossBetween val="between"/>
      </c:valAx>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0"/>
            <c:invertIfNegative val="0"/>
            <c:bubble3D val="0"/>
            <c:spPr>
              <a:noFill/>
              <a:ln>
                <a:solidFill>
                  <a:schemeClr val="bg1">
                    <a:lumMod val="85000"/>
                  </a:schemeClr>
                </a:solidFill>
              </a:ln>
            </c:spPr>
          </c:dPt>
          <c:dPt>
            <c:idx val="1"/>
            <c:invertIfNegative val="0"/>
            <c:bubble3D val="0"/>
            <c:spPr>
              <a:solidFill>
                <a:schemeClr val="bg1">
                  <a:lumMod val="75000"/>
                </a:schemeClr>
              </a:solidFill>
            </c:spPr>
          </c:dPt>
          <c:dPt>
            <c:idx val="2"/>
            <c:invertIfNegative val="0"/>
            <c:bubble3D val="0"/>
            <c:spPr>
              <a:solidFill>
                <a:schemeClr val="tx1">
                  <a:lumMod val="65000"/>
                  <a:lumOff val="35000"/>
                </a:schemeClr>
              </a:solidFill>
            </c:spPr>
          </c:dPt>
          <c:dPt>
            <c:idx val="3"/>
            <c:invertIfNegative val="0"/>
            <c:bubble3D val="0"/>
            <c:spPr>
              <a:solidFill>
                <a:schemeClr val="tx1">
                  <a:lumMod val="65000"/>
                  <a:lumOff val="35000"/>
                </a:schemeClr>
              </a:solidFill>
            </c:spPr>
          </c:dPt>
          <c:dPt>
            <c:idx val="4"/>
            <c:invertIfNegative val="0"/>
            <c:bubble3D val="0"/>
            <c:spPr>
              <a:solidFill>
                <a:schemeClr val="tx1"/>
              </a:solidFill>
            </c:spPr>
          </c:dPt>
          <c:cat>
            <c:strRef>
              <c:f>'Q40-41 - eval require'!$H$17:$H$21</c:f>
              <c:strCache>
                <c:ptCount val="5"/>
                <c:pt idx="0">
                  <c:v>N/A</c:v>
                </c:pt>
                <c:pt idx="1">
                  <c:v>Neither</c:v>
                </c:pt>
                <c:pt idx="2">
                  <c:v>Legally binding requirement only</c:v>
                </c:pt>
                <c:pt idx="3">
                  <c:v>Central guidance only</c:v>
                </c:pt>
                <c:pt idx="4">
                  <c:v>Central guidance + legal requirement</c:v>
                </c:pt>
              </c:strCache>
            </c:strRef>
          </c:cat>
          <c:val>
            <c:numRef>
              <c:f>'Q40-41 - eval require'!$J$17:$J$21</c:f>
              <c:numCache>
                <c:formatCode>General</c:formatCode>
                <c:ptCount val="5"/>
                <c:pt idx="0">
                  <c:v>5.882352941176471</c:v>
                </c:pt>
                <c:pt idx="1">
                  <c:v>26.470588235294116</c:v>
                </c:pt>
                <c:pt idx="2">
                  <c:v>8.8235294117647065</c:v>
                </c:pt>
                <c:pt idx="3">
                  <c:v>8.8235294117647065</c:v>
                </c:pt>
                <c:pt idx="4">
                  <c:v>50</c:v>
                </c:pt>
              </c:numCache>
            </c:numRef>
          </c:val>
        </c:ser>
        <c:dLbls>
          <c:showLegendKey val="0"/>
          <c:showVal val="0"/>
          <c:showCatName val="0"/>
          <c:showSerName val="0"/>
          <c:showPercent val="0"/>
          <c:showBubbleSize val="0"/>
        </c:dLbls>
        <c:gapWidth val="150"/>
        <c:axId val="649020544"/>
        <c:axId val="649022848"/>
      </c:barChart>
      <c:catAx>
        <c:axId val="649020544"/>
        <c:scaling>
          <c:orientation val="minMax"/>
        </c:scaling>
        <c:delete val="0"/>
        <c:axPos val="l"/>
        <c:majorTickMark val="out"/>
        <c:minorTickMark val="none"/>
        <c:tickLblPos val="nextTo"/>
        <c:crossAx val="649022848"/>
        <c:crosses val="autoZero"/>
        <c:auto val="1"/>
        <c:lblAlgn val="ctr"/>
        <c:lblOffset val="100"/>
        <c:noMultiLvlLbl val="0"/>
      </c:catAx>
      <c:valAx>
        <c:axId val="649022848"/>
        <c:scaling>
          <c:orientation val="minMax"/>
        </c:scaling>
        <c:delete val="0"/>
        <c:axPos val="b"/>
        <c:numFmt formatCode="General" sourceLinked="1"/>
        <c:majorTickMark val="out"/>
        <c:minorTickMark val="none"/>
        <c:tickLblPos val="nextTo"/>
        <c:crossAx val="649020544"/>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2982392825896765"/>
          <c:y val="5.0925925925925923E-2"/>
          <c:w val="0.5396205161854768"/>
          <c:h val="0.7613942495044137"/>
        </c:manualLayout>
      </c:layout>
      <c:barChart>
        <c:barDir val="bar"/>
        <c:grouping val="clustered"/>
        <c:varyColors val="0"/>
        <c:ser>
          <c:idx val="0"/>
          <c:order val="0"/>
          <c:spPr>
            <a:solidFill>
              <a:schemeClr val="tx2">
                <a:lumMod val="50000"/>
              </a:schemeClr>
            </a:solidFill>
          </c:spPr>
          <c:invertIfNegative val="0"/>
          <c:cat>
            <c:strRef>
              <c:f>'Q47 - eval use'!$C$51:$C$54</c:f>
              <c:strCache>
                <c:ptCount val="4"/>
                <c:pt idx="0">
                  <c:v>Supreme Audit performance audit</c:v>
                </c:pt>
                <c:pt idx="1">
                  <c:v>Commission/external evalutation</c:v>
                </c:pt>
                <c:pt idx="2">
                  <c:v>CBA-led evaluation</c:v>
                </c:pt>
                <c:pt idx="3">
                  <c:v>Line Ministries/Agencies self-evaluation</c:v>
                </c:pt>
              </c:strCache>
            </c:strRef>
          </c:cat>
          <c:val>
            <c:numRef>
              <c:f>'Q47 - eval use'!$D$51:$D$54</c:f>
              <c:numCache>
                <c:formatCode>General</c:formatCode>
                <c:ptCount val="4"/>
                <c:pt idx="0">
                  <c:v>54</c:v>
                </c:pt>
                <c:pt idx="1">
                  <c:v>57</c:v>
                </c:pt>
                <c:pt idx="2">
                  <c:v>69</c:v>
                </c:pt>
                <c:pt idx="3">
                  <c:v>70</c:v>
                </c:pt>
              </c:numCache>
            </c:numRef>
          </c:val>
        </c:ser>
        <c:dLbls>
          <c:showLegendKey val="0"/>
          <c:showVal val="0"/>
          <c:showCatName val="0"/>
          <c:showSerName val="0"/>
          <c:showPercent val="0"/>
          <c:showBubbleSize val="0"/>
        </c:dLbls>
        <c:gapWidth val="150"/>
        <c:axId val="776069120"/>
        <c:axId val="776070656"/>
      </c:barChart>
      <c:catAx>
        <c:axId val="776069120"/>
        <c:scaling>
          <c:orientation val="minMax"/>
        </c:scaling>
        <c:delete val="0"/>
        <c:axPos val="l"/>
        <c:majorTickMark val="out"/>
        <c:minorTickMark val="none"/>
        <c:tickLblPos val="nextTo"/>
        <c:crossAx val="776070656"/>
        <c:crosses val="autoZero"/>
        <c:auto val="1"/>
        <c:lblAlgn val="ctr"/>
        <c:lblOffset val="100"/>
        <c:noMultiLvlLbl val="0"/>
      </c:catAx>
      <c:valAx>
        <c:axId val="776070656"/>
        <c:scaling>
          <c:orientation val="minMax"/>
          <c:max val="150"/>
        </c:scaling>
        <c:delete val="0"/>
        <c:axPos val="b"/>
        <c:numFmt formatCode="General" sourceLinked="1"/>
        <c:majorTickMark val="none"/>
        <c:minorTickMark val="none"/>
        <c:tickLblPos val="none"/>
        <c:crossAx val="776069120"/>
        <c:crosses val="autoZero"/>
        <c:crossBetween val="between"/>
      </c:valAx>
    </c:plotArea>
    <c:plotVisOnly val="1"/>
    <c:dispBlanksAs val="gap"/>
    <c:showDLblsOverMax val="0"/>
  </c:chart>
  <c:spPr>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055946682478205"/>
          <c:y val="4.2813401801416649E-2"/>
          <c:w val="0.84052642295936719"/>
          <c:h val="0.87600746703718457"/>
        </c:manualLayout>
      </c:layout>
      <c:barChart>
        <c:barDir val="col"/>
        <c:grouping val="clustered"/>
        <c:varyColors val="0"/>
        <c:ser>
          <c:idx val="1"/>
          <c:order val="0"/>
          <c:tx>
            <c:strRef>
              <c:f>'Q28,29 - consequences'!$F$101</c:f>
              <c:strCache>
                <c:ptCount val="1"/>
                <c:pt idx="0">
                  <c:v>Budget response</c:v>
                </c:pt>
              </c:strCache>
            </c:strRef>
          </c:tx>
          <c:spPr>
            <a:solidFill>
              <a:schemeClr val="tx2">
                <a:lumMod val="50000"/>
              </a:schemeClr>
            </a:solidFill>
            <a:ln>
              <a:solidFill>
                <a:schemeClr val="tx1"/>
              </a:solidFill>
            </a:ln>
          </c:spPr>
          <c:invertIfNegative val="0"/>
          <c:cat>
            <c:strRef>
              <c:f>'Q28,29 - consequences'!$G$50:$K$50</c:f>
              <c:strCache>
                <c:ptCount val="5"/>
                <c:pt idx="0">
                  <c:v>Always</c:v>
                </c:pt>
                <c:pt idx="1">
                  <c:v>Usually</c:v>
                </c:pt>
                <c:pt idx="2">
                  <c:v>Occasionally</c:v>
                </c:pt>
                <c:pt idx="3">
                  <c:v>Rarely</c:v>
                </c:pt>
                <c:pt idx="4">
                  <c:v>Never</c:v>
                </c:pt>
              </c:strCache>
            </c:strRef>
          </c:cat>
          <c:val>
            <c:numRef>
              <c:f>'Q28,29 - consequences'!$G$101:$K$101</c:f>
              <c:numCache>
                <c:formatCode>General</c:formatCode>
                <c:ptCount val="5"/>
                <c:pt idx="0">
                  <c:v>0</c:v>
                </c:pt>
                <c:pt idx="1">
                  <c:v>2.9702970297029703</c:v>
                </c:pt>
                <c:pt idx="2">
                  <c:v>28.712871287128714</c:v>
                </c:pt>
                <c:pt idx="3">
                  <c:v>50.495049504950494</c:v>
                </c:pt>
                <c:pt idx="4">
                  <c:v>17.821782178217823</c:v>
                </c:pt>
              </c:numCache>
            </c:numRef>
          </c:val>
        </c:ser>
        <c:ser>
          <c:idx val="3"/>
          <c:order val="1"/>
          <c:tx>
            <c:strRef>
              <c:f>'Q28,29 - consequences'!$F$102</c:f>
              <c:strCache>
                <c:ptCount val="1"/>
                <c:pt idx="0">
                  <c:v>Management response</c:v>
                </c:pt>
              </c:strCache>
            </c:strRef>
          </c:tx>
          <c:spPr>
            <a:solidFill>
              <a:schemeClr val="accent1">
                <a:lumMod val="75000"/>
              </a:schemeClr>
            </a:solidFill>
            <a:ln>
              <a:solidFill>
                <a:schemeClr val="tx1"/>
              </a:solidFill>
            </a:ln>
          </c:spPr>
          <c:invertIfNegative val="0"/>
          <c:cat>
            <c:strRef>
              <c:f>'Q28,29 - consequences'!$G$50:$K$50</c:f>
              <c:strCache>
                <c:ptCount val="5"/>
                <c:pt idx="0">
                  <c:v>Always</c:v>
                </c:pt>
                <c:pt idx="1">
                  <c:v>Usually</c:v>
                </c:pt>
                <c:pt idx="2">
                  <c:v>Occasionally</c:v>
                </c:pt>
                <c:pt idx="3">
                  <c:v>Rarely</c:v>
                </c:pt>
                <c:pt idx="4">
                  <c:v>Never</c:v>
                </c:pt>
              </c:strCache>
            </c:strRef>
          </c:cat>
          <c:val>
            <c:numRef>
              <c:f>'Q28,29 - consequences'!$G$102:$K$102</c:f>
              <c:numCache>
                <c:formatCode>General</c:formatCode>
                <c:ptCount val="5"/>
                <c:pt idx="0">
                  <c:v>14.814814814814815</c:v>
                </c:pt>
                <c:pt idx="1">
                  <c:v>18.518518518518519</c:v>
                </c:pt>
                <c:pt idx="2">
                  <c:v>38.888888888888886</c:v>
                </c:pt>
                <c:pt idx="3">
                  <c:v>18.518518518518519</c:v>
                </c:pt>
                <c:pt idx="4">
                  <c:v>9.2592592592592595</c:v>
                </c:pt>
              </c:numCache>
            </c:numRef>
          </c:val>
        </c:ser>
        <c:ser>
          <c:idx val="4"/>
          <c:order val="2"/>
          <c:tx>
            <c:strRef>
              <c:f>'Q28,29 - consequences'!$F$103</c:f>
              <c:strCache>
                <c:ptCount val="1"/>
                <c:pt idx="0">
                  <c:v>No response</c:v>
                </c:pt>
              </c:strCache>
            </c:strRef>
          </c:tx>
          <c:spPr>
            <a:noFill/>
            <a:ln>
              <a:solidFill>
                <a:schemeClr val="tx1"/>
              </a:solidFill>
            </a:ln>
          </c:spPr>
          <c:invertIfNegative val="0"/>
          <c:cat>
            <c:strRef>
              <c:f>'Q28,29 - consequences'!$G$50:$K$50</c:f>
              <c:strCache>
                <c:ptCount val="5"/>
                <c:pt idx="0">
                  <c:v>Always</c:v>
                </c:pt>
                <c:pt idx="1">
                  <c:v>Usually</c:v>
                </c:pt>
                <c:pt idx="2">
                  <c:v>Occasionally</c:v>
                </c:pt>
                <c:pt idx="3">
                  <c:v>Rarely</c:v>
                </c:pt>
                <c:pt idx="4">
                  <c:v>Never</c:v>
                </c:pt>
              </c:strCache>
            </c:strRef>
          </c:cat>
          <c:val>
            <c:numRef>
              <c:f>'Q28,29 - consequences'!$G$103:$K$103</c:f>
              <c:numCache>
                <c:formatCode>General</c:formatCode>
                <c:ptCount val="5"/>
                <c:pt idx="0">
                  <c:v>0</c:v>
                </c:pt>
                <c:pt idx="1">
                  <c:v>40.74074074074074</c:v>
                </c:pt>
                <c:pt idx="2">
                  <c:v>25.925925925925927</c:v>
                </c:pt>
                <c:pt idx="3">
                  <c:v>25.925925925925927</c:v>
                </c:pt>
                <c:pt idx="4">
                  <c:v>7.4074074074074074</c:v>
                </c:pt>
              </c:numCache>
            </c:numRef>
          </c:val>
        </c:ser>
        <c:dLbls>
          <c:showLegendKey val="0"/>
          <c:showVal val="0"/>
          <c:showCatName val="0"/>
          <c:showSerName val="0"/>
          <c:showPercent val="0"/>
          <c:showBubbleSize val="0"/>
        </c:dLbls>
        <c:gapWidth val="150"/>
        <c:axId val="94392704"/>
        <c:axId val="94394240"/>
      </c:barChart>
      <c:catAx>
        <c:axId val="94392704"/>
        <c:scaling>
          <c:orientation val="minMax"/>
        </c:scaling>
        <c:delete val="0"/>
        <c:axPos val="b"/>
        <c:majorTickMark val="out"/>
        <c:minorTickMark val="none"/>
        <c:tickLblPos val="nextTo"/>
        <c:crossAx val="94394240"/>
        <c:crosses val="autoZero"/>
        <c:auto val="1"/>
        <c:lblAlgn val="ctr"/>
        <c:lblOffset val="100"/>
        <c:noMultiLvlLbl val="0"/>
      </c:catAx>
      <c:valAx>
        <c:axId val="94394240"/>
        <c:scaling>
          <c:orientation val="minMax"/>
          <c:max val="50"/>
        </c:scaling>
        <c:delete val="0"/>
        <c:axPos val="l"/>
        <c:title>
          <c:tx>
            <c:rich>
              <a:bodyPr rot="-5400000" vert="horz"/>
              <a:lstStyle/>
              <a:p>
                <a:pPr>
                  <a:defRPr/>
                </a:pPr>
                <a:r>
                  <a:rPr lang="en-US"/>
                  <a:t>Frequency of action (%)</a:t>
                </a:r>
              </a:p>
            </c:rich>
          </c:tx>
          <c:overlay val="0"/>
        </c:title>
        <c:numFmt formatCode="General" sourceLinked="1"/>
        <c:majorTickMark val="out"/>
        <c:minorTickMark val="none"/>
        <c:tickLblPos val="nextTo"/>
        <c:crossAx val="94392704"/>
        <c:crosses val="autoZero"/>
        <c:crossBetween val="between"/>
      </c:valAx>
    </c:plotArea>
    <c:legend>
      <c:legendPos val="r"/>
      <c:layout>
        <c:manualLayout>
          <c:xMode val="edge"/>
          <c:yMode val="edge"/>
          <c:x val="0.15260262641757866"/>
          <c:y val="6.0997908549441794E-2"/>
          <c:w val="0.30940416542865168"/>
          <c:h val="0.17150441123602056"/>
        </c:manualLayout>
      </c:layout>
      <c:overlay val="0"/>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0.81594</cdr:x>
      <cdr:y>0.60622</cdr:y>
    </cdr:from>
    <cdr:to>
      <cdr:x>0.81818</cdr:x>
      <cdr:y>0.85622</cdr:y>
    </cdr:to>
    <cdr:cxnSp macro="">
      <cdr:nvCxnSpPr>
        <cdr:cNvPr id="5" name="Straight Connector 4"/>
        <cdr:cNvCxnSpPr/>
      </cdr:nvCxnSpPr>
      <cdr:spPr>
        <a:xfrm xmlns:a="http://schemas.openxmlformats.org/drawingml/2006/main">
          <a:off x="6893360" y="789715"/>
          <a:ext cx="18925" cy="325671"/>
        </a:xfrm>
        <a:prstGeom xmlns:a="http://schemas.openxmlformats.org/drawingml/2006/main" prst="line">
          <a:avLst/>
        </a:prstGeom>
        <a:ln xmlns:a="http://schemas.openxmlformats.org/drawingml/2006/main" w="25400">
          <a:solidFill>
            <a:schemeClr val="bg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0.41385</cdr:x>
      <cdr:y>0.10165</cdr:y>
    </cdr:from>
    <cdr:to>
      <cdr:x>0.41404</cdr:x>
      <cdr:y>0.21277</cdr:y>
    </cdr:to>
    <cdr:cxnSp macro="">
      <cdr:nvCxnSpPr>
        <cdr:cNvPr id="23" name="Straight Connector 22"/>
        <cdr:cNvCxnSpPr/>
      </cdr:nvCxnSpPr>
      <cdr:spPr>
        <a:xfrm xmlns:a="http://schemas.openxmlformats.org/drawingml/2006/main">
          <a:off x="3496372" y="132418"/>
          <a:ext cx="1605" cy="144754"/>
        </a:xfrm>
        <a:prstGeom xmlns:a="http://schemas.openxmlformats.org/drawingml/2006/main" prst="line">
          <a:avLst/>
        </a:prstGeom>
        <a:ln xmlns:a="http://schemas.openxmlformats.org/drawingml/2006/main" w="25400">
          <a:solidFill>
            <a:schemeClr val="bg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0.81594</cdr:x>
      <cdr:y>0.60622</cdr:y>
    </cdr:from>
    <cdr:to>
      <cdr:x>0.81818</cdr:x>
      <cdr:y>0.85622</cdr:y>
    </cdr:to>
    <cdr:cxnSp macro="">
      <cdr:nvCxnSpPr>
        <cdr:cNvPr id="17" name="Straight Connector 4"/>
        <cdr:cNvCxnSpPr/>
      </cdr:nvCxnSpPr>
      <cdr:spPr>
        <a:xfrm xmlns:a="http://schemas.openxmlformats.org/drawingml/2006/main">
          <a:off x="6893360" y="789715"/>
          <a:ext cx="18925" cy="325671"/>
        </a:xfrm>
        <a:prstGeom xmlns:a="http://schemas.openxmlformats.org/drawingml/2006/main" prst="line">
          <a:avLst/>
        </a:prstGeom>
        <a:ln xmlns:a="http://schemas.openxmlformats.org/drawingml/2006/main" w="25400">
          <a:solidFill>
            <a:schemeClr val="bg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0.41385</cdr:x>
      <cdr:y>0.10165</cdr:y>
    </cdr:from>
    <cdr:to>
      <cdr:x>0.41404</cdr:x>
      <cdr:y>0.21277</cdr:y>
    </cdr:to>
    <cdr:cxnSp macro="">
      <cdr:nvCxnSpPr>
        <cdr:cNvPr id="24" name="Straight Connector 22"/>
        <cdr:cNvCxnSpPr/>
      </cdr:nvCxnSpPr>
      <cdr:spPr>
        <a:xfrm xmlns:a="http://schemas.openxmlformats.org/drawingml/2006/main">
          <a:off x="3496372" y="132418"/>
          <a:ext cx="1605" cy="144754"/>
        </a:xfrm>
        <a:prstGeom xmlns:a="http://schemas.openxmlformats.org/drawingml/2006/main" prst="line">
          <a:avLst/>
        </a:prstGeom>
        <a:ln xmlns:a="http://schemas.openxmlformats.org/drawingml/2006/main" w="25400">
          <a:solidFill>
            <a:schemeClr val="bg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0.28579</cdr:x>
      <cdr:y>0.1594</cdr:y>
    </cdr:from>
    <cdr:to>
      <cdr:x>1</cdr:x>
      <cdr:y>0.22926</cdr:y>
    </cdr:to>
    <cdr:sp macro="" textlink="">
      <cdr:nvSpPr>
        <cdr:cNvPr id="16" name="TextBox 1"/>
        <cdr:cNvSpPr txBox="1"/>
      </cdr:nvSpPr>
      <cdr:spPr>
        <a:xfrm xmlns:a="http://schemas.openxmlformats.org/drawingml/2006/main">
          <a:off x="1383016" y="609018"/>
          <a:ext cx="3452220" cy="266921"/>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GB" sz="1000" b="0" i="1"/>
            <a:t>Central Budget Authority provides instructions on selection of objectives</a:t>
          </a:r>
        </a:p>
      </cdr:txBody>
    </cdr:sp>
  </cdr:relSizeAnchor>
  <cdr:relSizeAnchor xmlns:cdr="http://schemas.openxmlformats.org/drawingml/2006/chartDrawing">
    <cdr:from>
      <cdr:x>0.27695</cdr:x>
      <cdr:y>0.05941</cdr:y>
    </cdr:from>
    <cdr:to>
      <cdr:x>0.95933</cdr:x>
      <cdr:y>0.11561</cdr:y>
    </cdr:to>
    <cdr:sp macro="" textlink="">
      <cdr:nvSpPr>
        <cdr:cNvPr id="19" name="TextBox 1"/>
        <cdr:cNvSpPr txBox="1"/>
      </cdr:nvSpPr>
      <cdr:spPr>
        <a:xfrm xmlns:a="http://schemas.openxmlformats.org/drawingml/2006/main">
          <a:off x="1338837" y="227018"/>
          <a:ext cx="3298774" cy="214751"/>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GB" sz="1000" b="0" i="1"/>
            <a:t>Other entity provides instructions on selection of objectives</a:t>
          </a:r>
        </a:p>
      </cdr:txBody>
    </cdr:sp>
  </cdr:relSizeAnchor>
  <cdr:relSizeAnchor xmlns:cdr="http://schemas.openxmlformats.org/drawingml/2006/chartDrawing">
    <cdr:from>
      <cdr:x>0.28005</cdr:x>
      <cdr:y>0.40281</cdr:y>
    </cdr:from>
    <cdr:to>
      <cdr:x>0.73445</cdr:x>
      <cdr:y>0.45791</cdr:y>
    </cdr:to>
    <cdr:sp macro="" textlink="">
      <cdr:nvSpPr>
        <cdr:cNvPr id="20" name="TextBox 1"/>
        <cdr:cNvSpPr txBox="1"/>
      </cdr:nvSpPr>
      <cdr:spPr>
        <a:xfrm xmlns:a="http://schemas.openxmlformats.org/drawingml/2006/main">
          <a:off x="1311794" y="1340598"/>
          <a:ext cx="2128412" cy="183400"/>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GB" sz="1000" b="0" i="1"/>
            <a:t>Set of national outcome goals</a:t>
          </a:r>
        </a:p>
      </cdr:txBody>
    </cdr:sp>
  </cdr:relSizeAnchor>
  <cdr:relSizeAnchor xmlns:cdr="http://schemas.openxmlformats.org/drawingml/2006/chartDrawing">
    <cdr:from>
      <cdr:x>0.28195</cdr:x>
      <cdr:y>0.28018</cdr:y>
    </cdr:from>
    <cdr:to>
      <cdr:x>0.94313</cdr:x>
      <cdr:y>0.35384</cdr:y>
    </cdr:to>
    <cdr:sp macro="" textlink="">
      <cdr:nvSpPr>
        <cdr:cNvPr id="25" name="TextBox 1"/>
        <cdr:cNvSpPr txBox="1"/>
      </cdr:nvSpPr>
      <cdr:spPr>
        <a:xfrm xmlns:a="http://schemas.openxmlformats.org/drawingml/2006/main">
          <a:off x="1362986" y="1070618"/>
          <a:ext cx="3196289" cy="281470"/>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GB" sz="1000" b="0" i="1"/>
            <a:t>Set of statistical indicators on national performance</a:t>
          </a:r>
        </a:p>
      </cdr:txBody>
    </cdr:sp>
  </cdr:relSizeAnchor>
  <cdr:relSizeAnchor xmlns:cdr="http://schemas.openxmlformats.org/drawingml/2006/chartDrawing">
    <cdr:from>
      <cdr:x>0.24607</cdr:x>
      <cdr:y>0.78313</cdr:y>
    </cdr:from>
    <cdr:to>
      <cdr:x>0.80622</cdr:x>
      <cdr:y>0.85522</cdr:y>
    </cdr:to>
    <cdr:sp macro="" textlink="">
      <cdr:nvSpPr>
        <cdr:cNvPr id="26" name="TextBox 1"/>
        <cdr:cNvSpPr txBox="1"/>
      </cdr:nvSpPr>
      <cdr:spPr>
        <a:xfrm xmlns:a="http://schemas.openxmlformats.org/drawingml/2006/main">
          <a:off x="1152598" y="2606373"/>
          <a:ext cx="2623784" cy="239921"/>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GB" sz="1000" b="0" i="1"/>
            <a:t>International performance benchmarks</a:t>
          </a:r>
        </a:p>
      </cdr:txBody>
    </cdr:sp>
  </cdr:relSizeAnchor>
  <cdr:relSizeAnchor xmlns:cdr="http://schemas.openxmlformats.org/drawingml/2006/chartDrawing">
    <cdr:from>
      <cdr:x>0.27745</cdr:x>
      <cdr:y>0.53221</cdr:y>
    </cdr:from>
    <cdr:to>
      <cdr:x>0.87321</cdr:x>
      <cdr:y>0.61953</cdr:y>
    </cdr:to>
    <cdr:sp macro="" textlink="">
      <cdr:nvSpPr>
        <cdr:cNvPr id="27" name="TextBox 1"/>
        <cdr:cNvSpPr txBox="1"/>
      </cdr:nvSpPr>
      <cdr:spPr>
        <a:xfrm xmlns:a="http://schemas.openxmlformats.org/drawingml/2006/main">
          <a:off x="1299583" y="1771271"/>
          <a:ext cx="2790564" cy="290609"/>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GB" sz="1000" b="0" i="1"/>
            <a:t>Annual report on national achievement</a:t>
          </a:r>
        </a:p>
      </cdr:txBody>
    </cdr:sp>
  </cdr:relSizeAnchor>
  <cdr:relSizeAnchor xmlns:cdr="http://schemas.openxmlformats.org/drawingml/2006/chartDrawing">
    <cdr:from>
      <cdr:x>0.27935</cdr:x>
      <cdr:y>0.65517</cdr:y>
    </cdr:from>
    <cdr:to>
      <cdr:x>0.73206</cdr:x>
      <cdr:y>0.72054</cdr:y>
    </cdr:to>
    <cdr:sp macro="" textlink="">
      <cdr:nvSpPr>
        <cdr:cNvPr id="28" name="TextBox 1"/>
        <cdr:cNvSpPr txBox="1"/>
      </cdr:nvSpPr>
      <cdr:spPr>
        <a:xfrm xmlns:a="http://schemas.openxmlformats.org/drawingml/2006/main">
          <a:off x="1308478" y="2180488"/>
          <a:ext cx="2120522" cy="217570"/>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GB" sz="1000" b="0" i="1"/>
            <a:t>Set of Key National Indicators</a:t>
          </a:r>
        </a:p>
      </cdr:txBody>
    </cdr:sp>
  </cdr:relSizeAnchor>
  <cdr:relSizeAnchor xmlns:cdr="http://schemas.openxmlformats.org/drawingml/2006/chartDrawing">
    <cdr:from>
      <cdr:x>0.20587</cdr:x>
      <cdr:y>0.90231</cdr:y>
    </cdr:from>
    <cdr:to>
      <cdr:x>0.97713</cdr:x>
      <cdr:y>0.95509</cdr:y>
    </cdr:to>
    <cdr:sp macro="" textlink="">
      <cdr:nvSpPr>
        <cdr:cNvPr id="29" name="TextBox 1"/>
        <cdr:cNvSpPr txBox="1"/>
      </cdr:nvSpPr>
      <cdr:spPr>
        <a:xfrm xmlns:a="http://schemas.openxmlformats.org/drawingml/2006/main">
          <a:off x="995085" y="3447555"/>
          <a:ext cx="3727978" cy="201661"/>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GB" sz="1000" b="0" i="1">
              <a:effectLst/>
              <a:latin typeface="+mn-lt"/>
              <a:ea typeface="+mn-ea"/>
              <a:cs typeface="+mn-cs"/>
            </a:rPr>
            <a:t>A framework for linking sectoral with</a:t>
          </a:r>
          <a:r>
            <a:rPr lang="en-GB" sz="1000" b="0" i="1" baseline="0">
              <a:effectLst/>
              <a:latin typeface="+mn-lt"/>
              <a:ea typeface="+mn-ea"/>
              <a:cs typeface="+mn-cs"/>
            </a:rPr>
            <a:t> national </a:t>
          </a:r>
          <a:r>
            <a:rPr lang="en-GB" sz="1000" b="0" i="1">
              <a:effectLst/>
              <a:latin typeface="+mn-lt"/>
              <a:ea typeface="+mn-ea"/>
              <a:cs typeface="+mn-cs"/>
            </a:rPr>
            <a:t>output/outcome goals</a:t>
          </a:r>
          <a:endParaRPr lang="en-GB" sz="800">
            <a:effectLst/>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0.41842</cdr:x>
      <cdr:y>0.92167</cdr:y>
    </cdr:from>
    <cdr:to>
      <cdr:x>0.52464</cdr:x>
      <cdr:y>0.97954</cdr:y>
    </cdr:to>
    <cdr:sp macro="" textlink="">
      <cdr:nvSpPr>
        <cdr:cNvPr id="2" name="TextBox 1"/>
        <cdr:cNvSpPr txBox="1"/>
      </cdr:nvSpPr>
      <cdr:spPr>
        <a:xfrm xmlns:a="http://schemas.openxmlformats.org/drawingml/2006/main">
          <a:off x="1650459" y="4367768"/>
          <a:ext cx="418972" cy="2742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a:t>Low</a:t>
          </a:r>
        </a:p>
      </cdr:txBody>
    </cdr:sp>
  </cdr:relSizeAnchor>
  <cdr:relSizeAnchor xmlns:cdr="http://schemas.openxmlformats.org/drawingml/2006/chartDrawing">
    <cdr:from>
      <cdr:x>0.89378</cdr:x>
      <cdr:y>0.91357</cdr:y>
    </cdr:from>
    <cdr:to>
      <cdr:x>1</cdr:x>
      <cdr:y>0.97143</cdr:y>
    </cdr:to>
    <cdr:sp macro="" textlink="">
      <cdr:nvSpPr>
        <cdr:cNvPr id="3" name="TextBox 1"/>
        <cdr:cNvSpPr txBox="1"/>
      </cdr:nvSpPr>
      <cdr:spPr>
        <a:xfrm xmlns:a="http://schemas.openxmlformats.org/drawingml/2006/main">
          <a:off x="3525499" y="4329362"/>
          <a:ext cx="418972" cy="274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High</a:t>
          </a:r>
        </a:p>
      </cdr:txBody>
    </cdr:sp>
  </cdr:relSizeAnchor>
</c:userShapes>
</file>

<file path=word/drawings/drawing3.xml><?xml version="1.0" encoding="utf-8"?>
<c:userShapes xmlns:c="http://schemas.openxmlformats.org/drawingml/2006/chart">
  <cdr:relSizeAnchor xmlns:cdr="http://schemas.openxmlformats.org/drawingml/2006/chartDrawing">
    <cdr:from>
      <cdr:x>0.41842</cdr:x>
      <cdr:y>0.92167</cdr:y>
    </cdr:from>
    <cdr:to>
      <cdr:x>0.52464</cdr:x>
      <cdr:y>0.97954</cdr:y>
    </cdr:to>
    <cdr:sp macro="" textlink="">
      <cdr:nvSpPr>
        <cdr:cNvPr id="2" name="TextBox 1"/>
        <cdr:cNvSpPr txBox="1"/>
      </cdr:nvSpPr>
      <cdr:spPr>
        <a:xfrm xmlns:a="http://schemas.openxmlformats.org/drawingml/2006/main">
          <a:off x="1650459" y="4367768"/>
          <a:ext cx="418972" cy="2742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a:t>Low</a:t>
          </a:r>
        </a:p>
      </cdr:txBody>
    </cdr:sp>
  </cdr:relSizeAnchor>
  <cdr:relSizeAnchor xmlns:cdr="http://schemas.openxmlformats.org/drawingml/2006/chartDrawing">
    <cdr:from>
      <cdr:x>0.89378</cdr:x>
      <cdr:y>0.91357</cdr:y>
    </cdr:from>
    <cdr:to>
      <cdr:x>1</cdr:x>
      <cdr:y>0.97143</cdr:y>
    </cdr:to>
    <cdr:sp macro="" textlink="">
      <cdr:nvSpPr>
        <cdr:cNvPr id="3" name="TextBox 1"/>
        <cdr:cNvSpPr txBox="1"/>
      </cdr:nvSpPr>
      <cdr:spPr>
        <a:xfrm xmlns:a="http://schemas.openxmlformats.org/drawingml/2006/main">
          <a:off x="3525499" y="4329362"/>
          <a:ext cx="418972" cy="274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High</a:t>
          </a:r>
        </a:p>
      </cdr:txBody>
    </cdr:sp>
  </cdr:relSizeAnchor>
</c:userShapes>
</file>

<file path=word/drawings/drawing4.xml><?xml version="1.0" encoding="utf-8"?>
<c:userShapes xmlns:c="http://schemas.openxmlformats.org/drawingml/2006/chart">
  <cdr:relSizeAnchor xmlns:cdr="http://schemas.openxmlformats.org/drawingml/2006/chartDrawing">
    <cdr:from>
      <cdr:x>0.39792</cdr:x>
      <cdr:y>0.84438</cdr:y>
    </cdr:from>
    <cdr:to>
      <cdr:x>0.51042</cdr:x>
      <cdr:y>0.95389</cdr:y>
    </cdr:to>
    <cdr:sp macro="" textlink="">
      <cdr:nvSpPr>
        <cdr:cNvPr id="2" name="TextBox 1"/>
        <cdr:cNvSpPr txBox="1"/>
      </cdr:nvSpPr>
      <cdr:spPr>
        <a:xfrm xmlns:a="http://schemas.openxmlformats.org/drawingml/2006/main">
          <a:off x="1819275" y="1395413"/>
          <a:ext cx="514350"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a:t>Low</a:t>
          </a:r>
        </a:p>
      </cdr:txBody>
    </cdr:sp>
  </cdr:relSizeAnchor>
  <cdr:relSizeAnchor xmlns:cdr="http://schemas.openxmlformats.org/drawingml/2006/chartDrawing">
    <cdr:from>
      <cdr:x>0.89167</cdr:x>
      <cdr:y>0.83766</cdr:y>
    </cdr:from>
    <cdr:to>
      <cdr:x>0.99028</cdr:x>
      <cdr:y>0.96542</cdr:y>
    </cdr:to>
    <cdr:sp macro="" textlink="">
      <cdr:nvSpPr>
        <cdr:cNvPr id="3" name="TextBox 1"/>
        <cdr:cNvSpPr txBox="1"/>
      </cdr:nvSpPr>
      <cdr:spPr>
        <a:xfrm xmlns:a="http://schemas.openxmlformats.org/drawingml/2006/main">
          <a:off x="4076700" y="1384300"/>
          <a:ext cx="450850" cy="21113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High</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OECDHarvard.XSL" StyleName="OECD Harvard"/>
</file>

<file path=customXml/itemProps1.xml><?xml version="1.0" encoding="utf-8"?>
<ds:datastoreItem xmlns:ds="http://schemas.openxmlformats.org/officeDocument/2006/customXml" ds:itemID="{489F4792-684A-45F8-8643-B3E6567A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987ECB83.dotm</Template>
  <TotalTime>383</TotalTime>
  <Pages>44</Pages>
  <Words>14135</Words>
  <Characters>84844</Characters>
  <Application>Microsoft Office Word</Application>
  <DocSecurity>0</DocSecurity>
  <Lines>1247</Lines>
  <Paragraphs>395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OECD Best Practices for Performance Budgeting</vt:lpstr>
      <vt:lpstr/>
    </vt:vector>
  </TitlesOfParts>
  <Company>O.E.C.D.</Company>
  <LinksUpToDate>false</LinksUpToDate>
  <CharactersWithSpaces>98584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OECD Best Practices for Performance Budgeting</dc:title>
  <dc:creator>LECONTE-LUCAS Hélène</dc:creator>
  <cp:lastModifiedBy>LECONTE-LUCAS Hélène</cp:lastModifiedBy>
  <cp:revision>30</cp:revision>
  <cp:lastPrinted>2017-11-09T13:24:00Z</cp:lastPrinted>
  <dcterms:created xsi:type="dcterms:W3CDTF">2017-11-06T15:37:00Z</dcterms:created>
  <dcterms:modified xsi:type="dcterms:W3CDTF">2017-11-09T13:27:00Z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jor Version">
    <vt:lpwstr>1</vt:lpwstr>
  </property>
  <property fmtid="{D5CDD505-2E9C-101B-9397-08002B2CF9AE}" pid="3" name="Minor Version">
    <vt:lpwstr>0</vt:lpwstr>
  </property>
  <property fmtid="{D5CDD505-2E9C-101B-9397-08002B2CF9AE}" pid="4" name="Build">
    <vt:lpwstr>20110530-001</vt:lpwstr>
  </property>
</Properties>
</file>