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DA38" w14:textId="77777777" w:rsidR="005A18B6" w:rsidRDefault="005A18B6">
      <w:pPr>
        <w:pStyle w:val="BodyText"/>
        <w:rPr>
          <w:rFonts w:ascii="Times New Roman"/>
          <w:sz w:val="29"/>
        </w:rPr>
      </w:pPr>
    </w:p>
    <w:p w14:paraId="0F435523" w14:textId="77777777" w:rsidR="005A18B6" w:rsidRDefault="00215CC6">
      <w:pPr>
        <w:pStyle w:val="BodyText"/>
        <w:ind w:left="6760"/>
        <w:rPr>
          <w:rFonts w:ascii="Times New Roman"/>
          <w:sz w:val="20"/>
        </w:rPr>
      </w:pPr>
      <w:r>
        <w:rPr>
          <w:rFonts w:ascii="Times New Roman"/>
          <w:noProof/>
          <w:sz w:val="20"/>
        </w:rPr>
        <w:drawing>
          <wp:inline distT="0" distB="0" distL="0" distR="0" wp14:anchorId="6439232D" wp14:editId="7F07576D">
            <wp:extent cx="541537" cy="6244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1537" cy="624459"/>
                    </a:xfrm>
                    <a:prstGeom prst="rect">
                      <a:avLst/>
                    </a:prstGeom>
                  </pic:spPr>
                </pic:pic>
              </a:graphicData>
            </a:graphic>
          </wp:inline>
        </w:drawing>
      </w:r>
    </w:p>
    <w:p w14:paraId="2525DB6F" w14:textId="77777777" w:rsidR="005A18B6" w:rsidRDefault="005A18B6">
      <w:pPr>
        <w:pStyle w:val="BodyText"/>
        <w:spacing w:before="8"/>
        <w:rPr>
          <w:rFonts w:ascii="Times New Roman"/>
          <w:sz w:val="6"/>
        </w:rPr>
      </w:pPr>
    </w:p>
    <w:p w14:paraId="3860023F" w14:textId="77777777" w:rsidR="005A18B6" w:rsidRDefault="00215CC6">
      <w:pPr>
        <w:spacing w:before="89"/>
        <w:ind w:left="5102" w:right="5097" w:hanging="1"/>
        <w:jc w:val="center"/>
        <w:rPr>
          <w:b/>
          <w:sz w:val="32"/>
        </w:rPr>
      </w:pPr>
      <w:r>
        <w:rPr>
          <w:b/>
          <w:sz w:val="32"/>
        </w:rPr>
        <w:t>MONTENEGRO MINISTRY OF FINANCE</w:t>
      </w:r>
    </w:p>
    <w:p w14:paraId="56430B52" w14:textId="77777777" w:rsidR="005A18B6" w:rsidRDefault="005A18B6">
      <w:pPr>
        <w:pStyle w:val="BodyText"/>
        <w:rPr>
          <w:b/>
          <w:sz w:val="20"/>
        </w:rPr>
      </w:pPr>
    </w:p>
    <w:p w14:paraId="651619DC" w14:textId="77777777" w:rsidR="005A18B6" w:rsidRDefault="005A18B6">
      <w:pPr>
        <w:pStyle w:val="BodyText"/>
        <w:rPr>
          <w:b/>
          <w:sz w:val="20"/>
        </w:rPr>
      </w:pPr>
    </w:p>
    <w:p w14:paraId="1BEAFB4B" w14:textId="77777777" w:rsidR="005A18B6" w:rsidRDefault="005A18B6">
      <w:pPr>
        <w:pStyle w:val="BodyText"/>
        <w:rPr>
          <w:b/>
          <w:sz w:val="20"/>
        </w:rPr>
      </w:pPr>
    </w:p>
    <w:p w14:paraId="20B73514" w14:textId="77777777" w:rsidR="005A18B6" w:rsidRDefault="005A18B6">
      <w:pPr>
        <w:pStyle w:val="BodyText"/>
        <w:rPr>
          <w:b/>
          <w:sz w:val="20"/>
        </w:rPr>
      </w:pPr>
    </w:p>
    <w:p w14:paraId="2F7C0906" w14:textId="77777777" w:rsidR="005A18B6" w:rsidRDefault="005A18B6">
      <w:pPr>
        <w:pStyle w:val="BodyText"/>
        <w:rPr>
          <w:b/>
          <w:sz w:val="20"/>
        </w:rPr>
      </w:pPr>
    </w:p>
    <w:p w14:paraId="4472ECF7" w14:textId="77777777" w:rsidR="005A18B6" w:rsidRDefault="005A18B6">
      <w:pPr>
        <w:pStyle w:val="BodyText"/>
        <w:rPr>
          <w:b/>
          <w:sz w:val="20"/>
        </w:rPr>
      </w:pPr>
    </w:p>
    <w:p w14:paraId="07F9AC01" w14:textId="77777777" w:rsidR="005A18B6" w:rsidRDefault="005A18B6">
      <w:pPr>
        <w:pStyle w:val="BodyText"/>
        <w:rPr>
          <w:b/>
          <w:sz w:val="20"/>
        </w:rPr>
      </w:pPr>
    </w:p>
    <w:p w14:paraId="104867E6" w14:textId="77777777" w:rsidR="005A18B6" w:rsidRDefault="005A18B6">
      <w:pPr>
        <w:pStyle w:val="BodyText"/>
        <w:rPr>
          <w:b/>
          <w:sz w:val="20"/>
        </w:rPr>
      </w:pPr>
    </w:p>
    <w:p w14:paraId="44C6AB9C" w14:textId="77777777" w:rsidR="005A18B6" w:rsidRDefault="005A18B6">
      <w:pPr>
        <w:pStyle w:val="BodyText"/>
        <w:rPr>
          <w:b/>
          <w:sz w:val="20"/>
        </w:rPr>
      </w:pPr>
    </w:p>
    <w:p w14:paraId="14B25D56" w14:textId="77777777" w:rsidR="005A18B6" w:rsidRDefault="003040A4">
      <w:pPr>
        <w:pStyle w:val="BodyText"/>
        <w:spacing w:before="1"/>
        <w:rPr>
          <w:b/>
          <w:sz w:val="22"/>
        </w:rPr>
      </w:pPr>
      <w:r>
        <w:pict w14:anchorId="57B1E7E2">
          <v:shapetype id="_x0000_t202" coordsize="21600,21600" o:spt="202" path="m,l,21600r21600,l21600,xe">
            <v:stroke joinstyle="miter"/>
            <v:path gradientshapeok="t" o:connecttype="rect"/>
          </v:shapetype>
          <v:shape id="docshape2" o:spid="_x0000_s1028" type="#_x0000_t202" style="position:absolute;margin-left:66.35pt;margin-top:14.2pt;width:709.35pt;height:70.7pt;z-index:-15728640;mso-wrap-distance-left:0;mso-wrap-distance-right:0;mso-position-horizontal-relative:page" filled="f" strokeweight=".48pt">
            <v:textbox inset="0,0,0,0">
              <w:txbxContent>
                <w:p w14:paraId="49C4501A" w14:textId="77777777" w:rsidR="005A18B6" w:rsidRDefault="00215CC6">
                  <w:pPr>
                    <w:spacing w:before="19"/>
                    <w:ind w:left="710" w:right="713"/>
                    <w:jc w:val="center"/>
                    <w:rPr>
                      <w:b/>
                      <w:sz w:val="44"/>
                    </w:rPr>
                  </w:pPr>
                  <w:r>
                    <w:rPr>
                      <w:b/>
                      <w:color w:val="FF0000"/>
                      <w:sz w:val="44"/>
                    </w:rPr>
                    <w:t>CONSOLIDATED TREASURY ACCOUNT</w:t>
                  </w:r>
                </w:p>
              </w:txbxContent>
            </v:textbox>
            <w10:wrap type="topAndBottom" anchorx="page"/>
          </v:shape>
        </w:pict>
      </w:r>
    </w:p>
    <w:p w14:paraId="19B361AB" w14:textId="77777777" w:rsidR="005A18B6" w:rsidRDefault="005A18B6">
      <w:pPr>
        <w:pStyle w:val="BodyText"/>
        <w:rPr>
          <w:b/>
          <w:sz w:val="20"/>
        </w:rPr>
      </w:pPr>
    </w:p>
    <w:p w14:paraId="11B6A428" w14:textId="77777777" w:rsidR="005A18B6" w:rsidRDefault="005A18B6">
      <w:pPr>
        <w:pStyle w:val="BodyText"/>
        <w:rPr>
          <w:b/>
          <w:sz w:val="20"/>
        </w:rPr>
      </w:pPr>
    </w:p>
    <w:p w14:paraId="26C44D80" w14:textId="77777777" w:rsidR="005A18B6" w:rsidRDefault="005A18B6">
      <w:pPr>
        <w:pStyle w:val="BodyText"/>
        <w:rPr>
          <w:b/>
          <w:sz w:val="20"/>
        </w:rPr>
      </w:pPr>
    </w:p>
    <w:p w14:paraId="53DDFF77" w14:textId="77777777" w:rsidR="005A18B6" w:rsidRDefault="005A18B6">
      <w:pPr>
        <w:pStyle w:val="BodyText"/>
        <w:rPr>
          <w:b/>
          <w:sz w:val="20"/>
        </w:rPr>
      </w:pPr>
    </w:p>
    <w:p w14:paraId="069E5B84" w14:textId="77777777" w:rsidR="005A18B6" w:rsidRDefault="005A18B6">
      <w:pPr>
        <w:pStyle w:val="BodyText"/>
        <w:rPr>
          <w:b/>
          <w:sz w:val="20"/>
        </w:rPr>
      </w:pPr>
    </w:p>
    <w:p w14:paraId="04297DEB" w14:textId="77777777" w:rsidR="005A18B6" w:rsidRDefault="005A18B6">
      <w:pPr>
        <w:pStyle w:val="BodyText"/>
        <w:rPr>
          <w:b/>
          <w:sz w:val="20"/>
        </w:rPr>
      </w:pPr>
    </w:p>
    <w:p w14:paraId="46D0653B" w14:textId="77777777" w:rsidR="005A18B6" w:rsidRDefault="005A18B6">
      <w:pPr>
        <w:pStyle w:val="BodyText"/>
        <w:rPr>
          <w:b/>
          <w:sz w:val="20"/>
        </w:rPr>
      </w:pPr>
    </w:p>
    <w:p w14:paraId="43C85F80" w14:textId="77777777" w:rsidR="005A18B6" w:rsidRDefault="003040A4">
      <w:pPr>
        <w:pStyle w:val="BodyText"/>
        <w:spacing w:before="8"/>
        <w:rPr>
          <w:b/>
          <w:sz w:val="11"/>
        </w:rPr>
      </w:pPr>
      <w:r>
        <w:pict w14:anchorId="5F19A988">
          <v:shape id="docshape3" o:spid="_x0000_s1027" type="#_x0000_t202" style="position:absolute;margin-left:66.35pt;margin-top:8.15pt;width:709.35pt;height:75.85pt;z-index:-15728128;mso-wrap-distance-left:0;mso-wrap-distance-right:0;mso-position-horizontal-relative:page" filled="f" strokeweight=".48pt">
            <v:textbox inset="0,0,0,0">
              <w:txbxContent>
                <w:p w14:paraId="75DF7F04" w14:textId="77777777" w:rsidR="005A18B6" w:rsidRDefault="00215CC6">
                  <w:pPr>
                    <w:spacing w:before="19"/>
                    <w:ind w:left="708" w:right="715"/>
                    <w:jc w:val="center"/>
                    <w:rPr>
                      <w:i/>
                      <w:sz w:val="32"/>
                    </w:rPr>
                  </w:pPr>
                  <w:r>
                    <w:rPr>
                      <w:i/>
                      <w:sz w:val="32"/>
                    </w:rPr>
                    <w:t>Svetlana Vukićević, Director General of the State Treasury Directorate</w:t>
                  </w:r>
                </w:p>
                <w:p w14:paraId="1A18C281" w14:textId="77777777" w:rsidR="005A18B6" w:rsidRDefault="00215CC6">
                  <w:pPr>
                    <w:spacing w:before="253" w:line="276" w:lineRule="auto"/>
                    <w:ind w:left="710" w:right="715"/>
                    <w:jc w:val="center"/>
                    <w:rPr>
                      <w:i/>
                      <w:sz w:val="32"/>
                    </w:rPr>
                  </w:pPr>
                  <w:r>
                    <w:rPr>
                      <w:i/>
                      <w:sz w:val="32"/>
                    </w:rPr>
                    <w:t>Mersija Purišić, Head of the Cash Management, Debt Servicing, Government and Public Debt Records Directorate (Back Office)</w:t>
                  </w:r>
                </w:p>
              </w:txbxContent>
            </v:textbox>
            <w10:wrap type="topAndBottom" anchorx="page"/>
          </v:shape>
        </w:pict>
      </w:r>
    </w:p>
    <w:p w14:paraId="79048DE2" w14:textId="77777777" w:rsidR="005A18B6" w:rsidRDefault="005A18B6">
      <w:pPr>
        <w:rPr>
          <w:sz w:val="11"/>
        </w:rPr>
        <w:sectPr w:rsidR="005A18B6">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1100" w:right="1220" w:bottom="1200" w:left="1220" w:header="0" w:footer="1000" w:gutter="0"/>
          <w:pgNumType w:start="1"/>
          <w:cols w:space="720"/>
        </w:sectPr>
      </w:pPr>
    </w:p>
    <w:p w14:paraId="3EC415E1" w14:textId="77777777" w:rsidR="005A18B6" w:rsidRDefault="005A18B6">
      <w:pPr>
        <w:pStyle w:val="BodyText"/>
        <w:rPr>
          <w:b/>
          <w:sz w:val="20"/>
        </w:rPr>
      </w:pPr>
    </w:p>
    <w:p w14:paraId="03883F78" w14:textId="77777777" w:rsidR="005A18B6" w:rsidRDefault="005A18B6">
      <w:pPr>
        <w:pStyle w:val="BodyText"/>
        <w:rPr>
          <w:b/>
          <w:sz w:val="20"/>
        </w:rPr>
      </w:pPr>
    </w:p>
    <w:p w14:paraId="1CF79332" w14:textId="77777777" w:rsidR="005A18B6" w:rsidRDefault="005A18B6">
      <w:pPr>
        <w:pStyle w:val="BodyText"/>
        <w:rPr>
          <w:b/>
          <w:sz w:val="20"/>
        </w:rPr>
      </w:pPr>
    </w:p>
    <w:p w14:paraId="60D6AC45" w14:textId="77777777" w:rsidR="005A18B6" w:rsidRDefault="005A18B6">
      <w:pPr>
        <w:pStyle w:val="BodyText"/>
        <w:rPr>
          <w:b/>
          <w:sz w:val="20"/>
        </w:rPr>
      </w:pPr>
    </w:p>
    <w:p w14:paraId="269BBB5E" w14:textId="77777777" w:rsidR="005A18B6" w:rsidRDefault="005A18B6">
      <w:pPr>
        <w:pStyle w:val="BodyText"/>
        <w:rPr>
          <w:b/>
          <w:sz w:val="20"/>
        </w:rPr>
      </w:pPr>
    </w:p>
    <w:p w14:paraId="3F6FD8FE" w14:textId="77777777" w:rsidR="005A18B6" w:rsidRDefault="005A18B6">
      <w:pPr>
        <w:pStyle w:val="BodyText"/>
        <w:rPr>
          <w:b/>
          <w:sz w:val="20"/>
        </w:rPr>
      </w:pPr>
    </w:p>
    <w:p w14:paraId="40E46BEE" w14:textId="77777777" w:rsidR="005A18B6" w:rsidRDefault="005A18B6">
      <w:pPr>
        <w:pStyle w:val="BodyText"/>
        <w:rPr>
          <w:b/>
          <w:sz w:val="20"/>
        </w:rPr>
      </w:pPr>
    </w:p>
    <w:p w14:paraId="160D5345" w14:textId="77777777" w:rsidR="005A18B6" w:rsidRDefault="005A18B6">
      <w:pPr>
        <w:pStyle w:val="BodyText"/>
        <w:spacing w:before="8"/>
        <w:rPr>
          <w:b/>
          <w:sz w:val="17"/>
        </w:rPr>
      </w:pPr>
    </w:p>
    <w:p w14:paraId="18402E53" w14:textId="77777777" w:rsidR="005A18B6" w:rsidRDefault="00215CC6">
      <w:pPr>
        <w:pStyle w:val="Heading1"/>
        <w:spacing w:before="85"/>
        <w:ind w:left="5799" w:right="5799"/>
      </w:pPr>
      <w:r>
        <w:rPr>
          <w:color w:val="FF0000"/>
        </w:rPr>
        <w:t>Legal basis</w:t>
      </w:r>
    </w:p>
    <w:p w14:paraId="713DD8BA" w14:textId="77777777" w:rsidR="005A18B6" w:rsidRDefault="005A18B6">
      <w:pPr>
        <w:pStyle w:val="BodyText"/>
        <w:rPr>
          <w:b/>
          <w:sz w:val="48"/>
        </w:rPr>
      </w:pPr>
    </w:p>
    <w:p w14:paraId="6CB048B6" w14:textId="77777777" w:rsidR="005A18B6" w:rsidRDefault="005A18B6">
      <w:pPr>
        <w:pStyle w:val="BodyText"/>
        <w:rPr>
          <w:b/>
          <w:sz w:val="48"/>
        </w:rPr>
      </w:pPr>
    </w:p>
    <w:p w14:paraId="41E252BF" w14:textId="77777777" w:rsidR="005A18B6" w:rsidRDefault="005A18B6">
      <w:pPr>
        <w:pStyle w:val="BodyText"/>
        <w:spacing w:before="10"/>
        <w:rPr>
          <w:b/>
          <w:sz w:val="54"/>
        </w:rPr>
      </w:pPr>
    </w:p>
    <w:p w14:paraId="228D4121" w14:textId="77777777" w:rsidR="005A18B6" w:rsidRDefault="00215CC6">
      <w:pPr>
        <w:pStyle w:val="ListParagraph"/>
        <w:numPr>
          <w:ilvl w:val="0"/>
          <w:numId w:val="6"/>
        </w:numPr>
        <w:tabs>
          <w:tab w:val="left" w:pos="1649"/>
        </w:tabs>
        <w:ind w:hanging="361"/>
        <w:rPr>
          <w:b/>
          <w:sz w:val="40"/>
        </w:rPr>
      </w:pPr>
      <w:r>
        <w:rPr>
          <w:b/>
          <w:color w:val="FF0000"/>
          <w:sz w:val="40"/>
        </w:rPr>
        <w:t>Budget and Fiscal Responsibility Act</w:t>
      </w:r>
    </w:p>
    <w:p w14:paraId="20085D5E" w14:textId="77777777" w:rsidR="005A18B6" w:rsidRDefault="00215CC6">
      <w:pPr>
        <w:pStyle w:val="ListParagraph"/>
        <w:numPr>
          <w:ilvl w:val="0"/>
          <w:numId w:val="6"/>
        </w:numPr>
        <w:tabs>
          <w:tab w:val="left" w:pos="1649"/>
        </w:tabs>
        <w:spacing w:before="65"/>
        <w:ind w:hanging="361"/>
        <w:rPr>
          <w:b/>
          <w:sz w:val="40"/>
        </w:rPr>
      </w:pPr>
      <w:r>
        <w:rPr>
          <w:b/>
          <w:color w:val="FF0000"/>
          <w:sz w:val="40"/>
        </w:rPr>
        <w:t>Instructions on the Work of the State Treasury</w:t>
      </w:r>
    </w:p>
    <w:p w14:paraId="7BF29279" w14:textId="77777777" w:rsidR="005A18B6" w:rsidRDefault="005A18B6">
      <w:pPr>
        <w:rPr>
          <w:sz w:val="40"/>
        </w:rPr>
        <w:sectPr w:rsidR="005A18B6">
          <w:pgSz w:w="16840" w:h="11910" w:orient="landscape"/>
          <w:pgMar w:top="1100" w:right="1220" w:bottom="1200" w:left="1220" w:header="0" w:footer="1000" w:gutter="0"/>
          <w:cols w:space="720"/>
        </w:sectPr>
      </w:pPr>
    </w:p>
    <w:p w14:paraId="23EA160F" w14:textId="77777777" w:rsidR="005A18B6" w:rsidRDefault="005A18B6">
      <w:pPr>
        <w:pStyle w:val="BodyText"/>
        <w:rPr>
          <w:b/>
          <w:sz w:val="20"/>
        </w:rPr>
      </w:pPr>
    </w:p>
    <w:p w14:paraId="665CF8B7" w14:textId="77777777" w:rsidR="005A18B6" w:rsidRDefault="005A18B6">
      <w:pPr>
        <w:pStyle w:val="BodyText"/>
        <w:rPr>
          <w:b/>
          <w:sz w:val="20"/>
        </w:rPr>
      </w:pPr>
    </w:p>
    <w:p w14:paraId="17BE7853" w14:textId="77777777" w:rsidR="005A18B6" w:rsidRDefault="005A18B6">
      <w:pPr>
        <w:pStyle w:val="BodyText"/>
        <w:rPr>
          <w:b/>
          <w:sz w:val="20"/>
        </w:rPr>
      </w:pPr>
    </w:p>
    <w:p w14:paraId="011AB497" w14:textId="77777777" w:rsidR="005A18B6" w:rsidRDefault="005A18B6">
      <w:pPr>
        <w:pStyle w:val="BodyText"/>
        <w:rPr>
          <w:b/>
          <w:sz w:val="20"/>
        </w:rPr>
      </w:pPr>
    </w:p>
    <w:p w14:paraId="788EAD50" w14:textId="77777777" w:rsidR="005A18B6" w:rsidRDefault="005A18B6">
      <w:pPr>
        <w:pStyle w:val="BodyText"/>
        <w:rPr>
          <w:b/>
          <w:sz w:val="20"/>
        </w:rPr>
      </w:pPr>
    </w:p>
    <w:p w14:paraId="149BD991" w14:textId="77777777" w:rsidR="005A18B6" w:rsidRDefault="005A18B6">
      <w:pPr>
        <w:pStyle w:val="BodyText"/>
        <w:rPr>
          <w:b/>
          <w:sz w:val="20"/>
        </w:rPr>
      </w:pPr>
    </w:p>
    <w:p w14:paraId="39F6464D" w14:textId="77777777" w:rsidR="005A18B6" w:rsidRDefault="005A18B6">
      <w:pPr>
        <w:pStyle w:val="BodyText"/>
        <w:spacing w:before="9"/>
        <w:rPr>
          <w:b/>
          <w:sz w:val="18"/>
        </w:rPr>
      </w:pPr>
    </w:p>
    <w:p w14:paraId="37F3BB69" w14:textId="77777777" w:rsidR="005A18B6" w:rsidRDefault="00215CC6">
      <w:pPr>
        <w:pStyle w:val="ListParagraph"/>
        <w:numPr>
          <w:ilvl w:val="1"/>
          <w:numId w:val="6"/>
        </w:numPr>
        <w:tabs>
          <w:tab w:val="left" w:pos="4861"/>
        </w:tabs>
        <w:spacing w:before="88"/>
        <w:ind w:hanging="4498"/>
        <w:rPr>
          <w:b/>
          <w:sz w:val="40"/>
        </w:rPr>
      </w:pPr>
      <w:r>
        <w:rPr>
          <w:b/>
          <w:color w:val="001F5F"/>
          <w:sz w:val="40"/>
        </w:rPr>
        <w:t>Consolidated Treasury Account</w:t>
      </w:r>
    </w:p>
    <w:p w14:paraId="1C6970E8" w14:textId="77777777" w:rsidR="005A18B6" w:rsidRDefault="005A18B6">
      <w:pPr>
        <w:pStyle w:val="BodyText"/>
        <w:spacing w:before="3"/>
        <w:rPr>
          <w:b/>
          <w:sz w:val="52"/>
        </w:rPr>
      </w:pPr>
    </w:p>
    <w:p w14:paraId="141D2BE2" w14:textId="77777777" w:rsidR="005A18B6" w:rsidRDefault="00215CC6">
      <w:pPr>
        <w:pStyle w:val="Heading2"/>
        <w:numPr>
          <w:ilvl w:val="1"/>
          <w:numId w:val="5"/>
        </w:numPr>
        <w:tabs>
          <w:tab w:val="left" w:pos="1366"/>
        </w:tabs>
        <w:spacing w:before="0"/>
        <w:ind w:hanging="721"/>
      </w:pPr>
      <w:r>
        <w:rPr>
          <w:color w:val="006FC0"/>
        </w:rPr>
        <w:t>Definition and basic terms</w:t>
      </w:r>
    </w:p>
    <w:p w14:paraId="3E292809" w14:textId="77777777" w:rsidR="005A18B6" w:rsidRDefault="005A18B6">
      <w:pPr>
        <w:pStyle w:val="BodyText"/>
        <w:rPr>
          <w:b/>
          <w:sz w:val="40"/>
        </w:rPr>
      </w:pPr>
    </w:p>
    <w:p w14:paraId="4BF1BE2E" w14:textId="77777777" w:rsidR="005A18B6" w:rsidRDefault="00215CC6">
      <w:pPr>
        <w:pStyle w:val="ListParagraph"/>
        <w:numPr>
          <w:ilvl w:val="2"/>
          <w:numId w:val="5"/>
        </w:numPr>
        <w:tabs>
          <w:tab w:val="left" w:pos="1289"/>
        </w:tabs>
        <w:spacing w:before="276"/>
        <w:ind w:right="223"/>
        <w:jc w:val="both"/>
        <w:rPr>
          <w:sz w:val="36"/>
        </w:rPr>
      </w:pPr>
      <w:r>
        <w:rPr>
          <w:sz w:val="36"/>
        </w:rPr>
        <w:t>The Consolidated Treasury Account, in the sense of the Budget and Fiscal Responsibility Act, includes all the accounts that record government money, used for state budget execution;</w:t>
      </w:r>
    </w:p>
    <w:p w14:paraId="1419CD8B" w14:textId="77777777" w:rsidR="005A18B6" w:rsidRDefault="005A18B6">
      <w:pPr>
        <w:pStyle w:val="BodyText"/>
        <w:spacing w:before="3"/>
        <w:rPr>
          <w:sz w:val="46"/>
        </w:rPr>
      </w:pPr>
    </w:p>
    <w:p w14:paraId="3CEF1760" w14:textId="77777777" w:rsidR="005A18B6" w:rsidRDefault="00215CC6">
      <w:pPr>
        <w:pStyle w:val="ListParagraph"/>
        <w:numPr>
          <w:ilvl w:val="2"/>
          <w:numId w:val="5"/>
        </w:numPr>
        <w:tabs>
          <w:tab w:val="left" w:pos="1289"/>
        </w:tabs>
        <w:ind w:right="218"/>
        <w:jc w:val="both"/>
        <w:rPr>
          <w:sz w:val="36"/>
        </w:rPr>
      </w:pPr>
      <w:r>
        <w:rPr>
          <w:sz w:val="36"/>
        </w:rPr>
        <w:t>The Consolidated Treasury Account is established and held with the state administration body competent for finance affairs – Ministry of Finance;</w:t>
      </w:r>
    </w:p>
    <w:p w14:paraId="3B609B76" w14:textId="77777777" w:rsidR="005A18B6" w:rsidRDefault="005A18B6">
      <w:pPr>
        <w:pStyle w:val="BodyText"/>
        <w:spacing w:before="6"/>
        <w:rPr>
          <w:sz w:val="46"/>
        </w:rPr>
      </w:pPr>
    </w:p>
    <w:p w14:paraId="0438D2B1" w14:textId="77777777" w:rsidR="005A18B6" w:rsidRDefault="00215CC6">
      <w:pPr>
        <w:pStyle w:val="ListParagraph"/>
        <w:numPr>
          <w:ilvl w:val="2"/>
          <w:numId w:val="5"/>
        </w:numPr>
        <w:tabs>
          <w:tab w:val="left" w:pos="1289"/>
        </w:tabs>
        <w:ind w:right="224"/>
        <w:jc w:val="both"/>
        <w:rPr>
          <w:sz w:val="36"/>
        </w:rPr>
      </w:pPr>
      <w:r>
        <w:rPr>
          <w:sz w:val="36"/>
        </w:rPr>
        <w:t>The Ministry of Finance concludes a contract with the Central Bank or resident bank of the State for the performance of banking operations on behalf of the State.</w:t>
      </w:r>
    </w:p>
    <w:p w14:paraId="12F77518" w14:textId="77777777" w:rsidR="005A18B6" w:rsidRDefault="005A18B6">
      <w:pPr>
        <w:jc w:val="both"/>
        <w:rPr>
          <w:sz w:val="36"/>
        </w:rPr>
        <w:sectPr w:rsidR="005A18B6">
          <w:pgSz w:w="16840" w:h="11910" w:orient="landscape"/>
          <w:pgMar w:top="1100" w:right="1220" w:bottom="1200" w:left="1220" w:header="0" w:footer="1000" w:gutter="0"/>
          <w:cols w:space="720"/>
        </w:sectPr>
      </w:pPr>
    </w:p>
    <w:p w14:paraId="3A53D450" w14:textId="77777777" w:rsidR="005A18B6" w:rsidRDefault="005A18B6">
      <w:pPr>
        <w:pStyle w:val="BodyText"/>
        <w:rPr>
          <w:sz w:val="20"/>
        </w:rPr>
      </w:pPr>
    </w:p>
    <w:p w14:paraId="3D04DC8D" w14:textId="77777777" w:rsidR="005A18B6" w:rsidRDefault="005A18B6">
      <w:pPr>
        <w:pStyle w:val="BodyText"/>
        <w:rPr>
          <w:sz w:val="20"/>
        </w:rPr>
      </w:pPr>
    </w:p>
    <w:p w14:paraId="7E8DDEBE" w14:textId="77777777" w:rsidR="005A18B6" w:rsidRDefault="005A18B6">
      <w:pPr>
        <w:pStyle w:val="BodyText"/>
        <w:rPr>
          <w:sz w:val="20"/>
        </w:rPr>
      </w:pPr>
    </w:p>
    <w:p w14:paraId="23A710D7" w14:textId="77777777" w:rsidR="005A18B6" w:rsidRDefault="005A18B6">
      <w:pPr>
        <w:pStyle w:val="BodyText"/>
        <w:rPr>
          <w:sz w:val="20"/>
        </w:rPr>
      </w:pPr>
    </w:p>
    <w:p w14:paraId="5B3DDEA5" w14:textId="77777777" w:rsidR="005A18B6" w:rsidRDefault="005A18B6">
      <w:pPr>
        <w:pStyle w:val="BodyText"/>
        <w:spacing w:before="10"/>
        <w:rPr>
          <w:sz w:val="23"/>
        </w:rPr>
      </w:pPr>
    </w:p>
    <w:p w14:paraId="6F935846" w14:textId="77777777" w:rsidR="005A18B6" w:rsidRDefault="00215CC6">
      <w:pPr>
        <w:spacing w:before="88"/>
        <w:ind w:left="503"/>
        <w:rPr>
          <w:sz w:val="36"/>
        </w:rPr>
      </w:pPr>
      <w:r>
        <w:rPr>
          <w:sz w:val="36"/>
        </w:rPr>
        <w:t xml:space="preserve">The </w:t>
      </w:r>
      <w:r>
        <w:rPr>
          <w:b/>
          <w:bCs/>
          <w:sz w:val="36"/>
        </w:rPr>
        <w:t>Consolidated Treasury Account (CTA)</w:t>
      </w:r>
      <w:r>
        <w:rPr>
          <w:sz w:val="36"/>
        </w:rPr>
        <w:t xml:space="preserve"> comprises the following:</w:t>
      </w:r>
    </w:p>
    <w:p w14:paraId="02AE6AB2" w14:textId="77777777" w:rsidR="005A18B6" w:rsidRDefault="005A18B6">
      <w:pPr>
        <w:pStyle w:val="BodyText"/>
        <w:spacing w:before="3"/>
        <w:rPr>
          <w:sz w:val="46"/>
        </w:rPr>
      </w:pPr>
    </w:p>
    <w:p w14:paraId="783FEC7A" w14:textId="77777777" w:rsidR="005A18B6" w:rsidRDefault="00215CC6">
      <w:pPr>
        <w:pStyle w:val="ListParagraph"/>
        <w:numPr>
          <w:ilvl w:val="0"/>
          <w:numId w:val="4"/>
        </w:numPr>
        <w:tabs>
          <w:tab w:val="left" w:pos="1649"/>
        </w:tabs>
        <w:ind w:right="217"/>
        <w:jc w:val="both"/>
        <w:rPr>
          <w:sz w:val="36"/>
        </w:rPr>
      </w:pPr>
      <w:r>
        <w:rPr>
          <w:b/>
          <w:bCs/>
          <w:sz w:val="36"/>
        </w:rPr>
        <w:t>State Treasury Central Account</w:t>
      </w:r>
      <w:r>
        <w:rPr>
          <w:sz w:val="36"/>
        </w:rPr>
        <w:t xml:space="preserve"> (account where money is transferred from revenue accounts and then distributed) – held in the Central Bank;</w:t>
      </w:r>
    </w:p>
    <w:p w14:paraId="475FFEE8" w14:textId="77777777" w:rsidR="005A18B6" w:rsidRDefault="00215CC6">
      <w:pPr>
        <w:pStyle w:val="ListParagraph"/>
        <w:numPr>
          <w:ilvl w:val="0"/>
          <w:numId w:val="4"/>
        </w:numPr>
        <w:tabs>
          <w:tab w:val="left" w:pos="1649"/>
        </w:tabs>
        <w:spacing w:before="59"/>
        <w:ind w:right="217"/>
        <w:jc w:val="both"/>
        <w:rPr>
          <w:sz w:val="36"/>
        </w:rPr>
      </w:pPr>
      <w:r>
        <w:rPr>
          <w:b/>
          <w:bCs/>
          <w:sz w:val="36"/>
        </w:rPr>
        <w:t>State Treasury Main Account</w:t>
      </w:r>
      <w:r>
        <w:rPr>
          <w:sz w:val="36"/>
        </w:rPr>
        <w:t xml:space="preserve"> (account used for government money transactions for the purpose of spending organisations charged to funds planned under the annual budget act) – held in the Central Bank;</w:t>
      </w:r>
    </w:p>
    <w:p w14:paraId="48C2DB21" w14:textId="77777777" w:rsidR="005A18B6" w:rsidRDefault="00215CC6">
      <w:pPr>
        <w:pStyle w:val="ListParagraph"/>
        <w:numPr>
          <w:ilvl w:val="0"/>
          <w:numId w:val="4"/>
        </w:numPr>
        <w:tabs>
          <w:tab w:val="left" w:pos="1649"/>
        </w:tabs>
        <w:spacing w:before="62"/>
        <w:ind w:right="214"/>
        <w:jc w:val="both"/>
        <w:rPr>
          <w:sz w:val="36"/>
        </w:rPr>
      </w:pPr>
      <w:r>
        <w:rPr>
          <w:b/>
          <w:bCs/>
          <w:sz w:val="36"/>
        </w:rPr>
        <w:t>Bank accounts held for special purposes</w:t>
      </w:r>
      <w:r>
        <w:rPr>
          <w:sz w:val="36"/>
        </w:rPr>
        <w:t xml:space="preserve"> (accounts necessary for successful and efficient implementation of programmes and activities, e.g. for the realisation of projects financed by dedicated loans, projects financed by donations and IPA funds, etc.) – held in the Central Bank and commercial resident banks.</w:t>
      </w:r>
    </w:p>
    <w:p w14:paraId="765D5A73" w14:textId="77777777" w:rsidR="005A18B6" w:rsidRDefault="005A18B6">
      <w:pPr>
        <w:jc w:val="both"/>
        <w:rPr>
          <w:sz w:val="36"/>
        </w:rPr>
        <w:sectPr w:rsidR="005A18B6">
          <w:pgSz w:w="16840" w:h="11910" w:orient="landscape"/>
          <w:pgMar w:top="1100" w:right="1220" w:bottom="1200" w:left="1220" w:header="0" w:footer="1000" w:gutter="0"/>
          <w:cols w:space="720"/>
        </w:sectPr>
      </w:pPr>
    </w:p>
    <w:p w14:paraId="7663E955" w14:textId="77777777" w:rsidR="005A18B6" w:rsidRDefault="005A18B6">
      <w:pPr>
        <w:pStyle w:val="BodyText"/>
        <w:spacing w:before="5"/>
        <w:rPr>
          <w:sz w:val="21"/>
        </w:rPr>
      </w:pPr>
    </w:p>
    <w:p w14:paraId="71FB4FF2" w14:textId="77777777" w:rsidR="005A18B6" w:rsidRDefault="00215CC6">
      <w:pPr>
        <w:pStyle w:val="BodyText"/>
        <w:spacing w:before="88"/>
        <w:ind w:left="503"/>
      </w:pPr>
      <w:r>
        <w:t>Revenue (receipts) that are part of the CTA, include:</w:t>
      </w:r>
    </w:p>
    <w:p w14:paraId="5136F0AC" w14:textId="77777777" w:rsidR="005A18B6" w:rsidRDefault="005A18B6">
      <w:pPr>
        <w:pStyle w:val="BodyText"/>
        <w:spacing w:before="5"/>
        <w:rPr>
          <w:sz w:val="46"/>
        </w:rPr>
      </w:pPr>
    </w:p>
    <w:p w14:paraId="43BBD6C4" w14:textId="77777777" w:rsidR="005A18B6" w:rsidRDefault="00215CC6">
      <w:pPr>
        <w:pStyle w:val="ListParagraph"/>
        <w:numPr>
          <w:ilvl w:val="0"/>
          <w:numId w:val="3"/>
        </w:numPr>
        <w:tabs>
          <w:tab w:val="left" w:pos="641"/>
        </w:tabs>
        <w:rPr>
          <w:sz w:val="36"/>
        </w:rPr>
      </w:pPr>
      <w:r>
        <w:rPr>
          <w:sz w:val="36"/>
        </w:rPr>
        <w:t>current revenue (taxes, contributions, duties, remunerations, concessions and other revenue);</w:t>
      </w:r>
    </w:p>
    <w:p w14:paraId="182B06B4" w14:textId="77777777" w:rsidR="005A18B6" w:rsidRDefault="00215CC6">
      <w:pPr>
        <w:pStyle w:val="ListParagraph"/>
        <w:numPr>
          <w:ilvl w:val="0"/>
          <w:numId w:val="3"/>
        </w:numPr>
        <w:tabs>
          <w:tab w:val="left" w:pos="641"/>
        </w:tabs>
        <w:spacing w:before="59"/>
        <w:rPr>
          <w:sz w:val="36"/>
        </w:rPr>
      </w:pPr>
      <w:r>
        <w:rPr>
          <w:sz w:val="36"/>
        </w:rPr>
        <w:t>receipts from sales of assets;</w:t>
      </w:r>
    </w:p>
    <w:p w14:paraId="45ACF7A4" w14:textId="77777777" w:rsidR="005A18B6" w:rsidRDefault="00215CC6">
      <w:pPr>
        <w:pStyle w:val="ListParagraph"/>
        <w:numPr>
          <w:ilvl w:val="0"/>
          <w:numId w:val="3"/>
        </w:numPr>
        <w:tabs>
          <w:tab w:val="left" w:pos="641"/>
        </w:tabs>
        <w:spacing w:before="62"/>
        <w:rPr>
          <w:sz w:val="36"/>
        </w:rPr>
      </w:pPr>
      <w:r>
        <w:rPr>
          <w:sz w:val="36"/>
        </w:rPr>
        <w:t>receipts from loan repayments;</w:t>
      </w:r>
    </w:p>
    <w:p w14:paraId="17A516A9" w14:textId="77777777" w:rsidR="005A18B6" w:rsidRDefault="00215CC6">
      <w:pPr>
        <w:pStyle w:val="ListParagraph"/>
        <w:numPr>
          <w:ilvl w:val="0"/>
          <w:numId w:val="3"/>
        </w:numPr>
        <w:tabs>
          <w:tab w:val="left" w:pos="641"/>
        </w:tabs>
        <w:spacing w:before="59"/>
        <w:rPr>
          <w:sz w:val="36"/>
        </w:rPr>
      </w:pPr>
      <w:r>
        <w:rPr>
          <w:sz w:val="36"/>
        </w:rPr>
        <w:t>donations and transfers;</w:t>
      </w:r>
    </w:p>
    <w:p w14:paraId="33632132" w14:textId="77777777" w:rsidR="005A18B6" w:rsidRDefault="00215CC6">
      <w:pPr>
        <w:pStyle w:val="ListParagraph"/>
        <w:numPr>
          <w:ilvl w:val="0"/>
          <w:numId w:val="3"/>
        </w:numPr>
        <w:tabs>
          <w:tab w:val="left" w:pos="640"/>
        </w:tabs>
        <w:spacing w:before="61"/>
        <w:ind w:left="639" w:hanging="420"/>
        <w:rPr>
          <w:sz w:val="36"/>
        </w:rPr>
      </w:pPr>
      <w:r>
        <w:rPr>
          <w:sz w:val="36"/>
        </w:rPr>
        <w:t>loans and credits (domestic and foreign);</w:t>
      </w:r>
    </w:p>
    <w:p w14:paraId="7CFD3FCC" w14:textId="77777777" w:rsidR="005A18B6" w:rsidRDefault="00215CC6">
      <w:pPr>
        <w:pStyle w:val="ListParagraph"/>
        <w:numPr>
          <w:ilvl w:val="0"/>
          <w:numId w:val="3"/>
        </w:numPr>
        <w:tabs>
          <w:tab w:val="left" w:pos="641"/>
        </w:tabs>
        <w:spacing w:before="59"/>
        <w:rPr>
          <w:sz w:val="36"/>
        </w:rPr>
      </w:pPr>
      <w:r>
        <w:rPr>
          <w:sz w:val="36"/>
        </w:rPr>
        <w:t>other revenue in accordance with the law.</w:t>
      </w:r>
    </w:p>
    <w:p w14:paraId="1A855DA3" w14:textId="77777777" w:rsidR="005A18B6" w:rsidRDefault="005A18B6">
      <w:pPr>
        <w:pStyle w:val="BodyText"/>
        <w:spacing w:before="5"/>
        <w:rPr>
          <w:sz w:val="46"/>
        </w:rPr>
      </w:pPr>
    </w:p>
    <w:p w14:paraId="0965F8AE" w14:textId="77777777" w:rsidR="005A18B6" w:rsidRDefault="00215CC6">
      <w:pPr>
        <w:pStyle w:val="BodyText"/>
        <w:ind w:left="503"/>
      </w:pPr>
      <w:r>
        <w:t>Expenditure that is part of the CTA, includes:</w:t>
      </w:r>
    </w:p>
    <w:p w14:paraId="2801E31C" w14:textId="77777777" w:rsidR="005A18B6" w:rsidRDefault="005A18B6">
      <w:pPr>
        <w:pStyle w:val="BodyText"/>
        <w:spacing w:before="3"/>
        <w:rPr>
          <w:sz w:val="46"/>
        </w:rPr>
      </w:pPr>
    </w:p>
    <w:p w14:paraId="6B726FFA" w14:textId="77777777" w:rsidR="005A18B6" w:rsidRDefault="00215CC6">
      <w:pPr>
        <w:pStyle w:val="ListParagraph"/>
        <w:numPr>
          <w:ilvl w:val="0"/>
          <w:numId w:val="2"/>
        </w:numPr>
        <w:tabs>
          <w:tab w:val="left" w:pos="760"/>
        </w:tabs>
        <w:ind w:right="222" w:firstLine="0"/>
        <w:jc w:val="both"/>
        <w:rPr>
          <w:sz w:val="36"/>
        </w:rPr>
      </w:pPr>
      <w:r>
        <w:rPr>
          <w:sz w:val="36"/>
        </w:rPr>
        <w:t>current expenditure for: gross wages and contributions payable by employers, other personal income, expenditure for materials and services, current maintenance, interest, rent, subsidies and other expenditure;</w:t>
      </w:r>
    </w:p>
    <w:p w14:paraId="203EBC9D" w14:textId="77777777" w:rsidR="005A18B6" w:rsidRDefault="00215CC6">
      <w:pPr>
        <w:pStyle w:val="ListParagraph"/>
        <w:numPr>
          <w:ilvl w:val="0"/>
          <w:numId w:val="2"/>
        </w:numPr>
        <w:tabs>
          <w:tab w:val="left" w:pos="640"/>
        </w:tabs>
        <w:spacing w:before="63"/>
        <w:ind w:left="639" w:hanging="420"/>
        <w:jc w:val="both"/>
        <w:rPr>
          <w:sz w:val="36"/>
        </w:rPr>
      </w:pPr>
      <w:r>
        <w:rPr>
          <w:sz w:val="36"/>
        </w:rPr>
        <w:t>social welfare transfers;</w:t>
      </w:r>
    </w:p>
    <w:p w14:paraId="21D69101" w14:textId="77777777" w:rsidR="005A18B6" w:rsidRDefault="00215CC6">
      <w:pPr>
        <w:pStyle w:val="ListParagraph"/>
        <w:numPr>
          <w:ilvl w:val="0"/>
          <w:numId w:val="2"/>
        </w:numPr>
        <w:tabs>
          <w:tab w:val="left" w:pos="641"/>
        </w:tabs>
        <w:spacing w:before="60"/>
        <w:ind w:left="640" w:hanging="421"/>
        <w:jc w:val="both"/>
        <w:rPr>
          <w:sz w:val="36"/>
        </w:rPr>
      </w:pPr>
      <w:r>
        <w:rPr>
          <w:sz w:val="36"/>
        </w:rPr>
        <w:t>transfers to institutions, individuals, non-government and public sector;</w:t>
      </w:r>
    </w:p>
    <w:p w14:paraId="3F858F28" w14:textId="77777777" w:rsidR="005A18B6" w:rsidRDefault="00215CC6">
      <w:pPr>
        <w:pStyle w:val="ListParagraph"/>
        <w:numPr>
          <w:ilvl w:val="0"/>
          <w:numId w:val="2"/>
        </w:numPr>
        <w:tabs>
          <w:tab w:val="left" w:pos="714"/>
        </w:tabs>
        <w:spacing w:before="59"/>
        <w:ind w:right="223" w:firstLine="0"/>
        <w:jc w:val="both"/>
        <w:rPr>
          <w:sz w:val="36"/>
        </w:rPr>
      </w:pPr>
      <w:r>
        <w:rPr>
          <w:sz w:val="36"/>
        </w:rPr>
        <w:t>capital expenditure for acquisition and investment maintenance of financial and non-financial assets;</w:t>
      </w:r>
    </w:p>
    <w:p w14:paraId="01D1C96D" w14:textId="77777777" w:rsidR="005A18B6" w:rsidRDefault="00215CC6">
      <w:pPr>
        <w:pStyle w:val="BodyText"/>
        <w:spacing w:before="62"/>
        <w:ind w:left="220"/>
        <w:jc w:val="both"/>
      </w:pPr>
      <w:r>
        <w:t>5) given loans and credits;</w:t>
      </w:r>
    </w:p>
    <w:p w14:paraId="6829108B" w14:textId="77777777" w:rsidR="005A18B6" w:rsidRDefault="005A18B6">
      <w:pPr>
        <w:jc w:val="both"/>
        <w:sectPr w:rsidR="005A18B6">
          <w:pgSz w:w="16840" w:h="11910" w:orient="landscape"/>
          <w:pgMar w:top="1100" w:right="1220" w:bottom="1200" w:left="1220" w:header="0" w:footer="1000" w:gutter="0"/>
          <w:cols w:space="720"/>
        </w:sectPr>
      </w:pPr>
    </w:p>
    <w:p w14:paraId="0A6C9C50" w14:textId="77777777" w:rsidR="005A18B6" w:rsidRDefault="005A18B6">
      <w:pPr>
        <w:pStyle w:val="BodyText"/>
        <w:spacing w:before="5"/>
        <w:rPr>
          <w:sz w:val="21"/>
        </w:rPr>
      </w:pPr>
    </w:p>
    <w:p w14:paraId="03B55E31" w14:textId="77777777" w:rsidR="005A18B6" w:rsidRDefault="00215CC6">
      <w:pPr>
        <w:pStyle w:val="ListParagraph"/>
        <w:numPr>
          <w:ilvl w:val="0"/>
          <w:numId w:val="1"/>
        </w:numPr>
        <w:tabs>
          <w:tab w:val="left" w:pos="641"/>
        </w:tabs>
        <w:spacing w:before="88"/>
        <w:rPr>
          <w:sz w:val="36"/>
        </w:rPr>
      </w:pPr>
      <w:r>
        <w:rPr>
          <w:sz w:val="36"/>
        </w:rPr>
        <w:t>repayments of debt, guarantees and liabilities from previous years;</w:t>
      </w:r>
    </w:p>
    <w:p w14:paraId="5FEB28F5" w14:textId="77777777" w:rsidR="005A18B6" w:rsidRDefault="00215CC6">
      <w:pPr>
        <w:pStyle w:val="ListParagraph"/>
        <w:numPr>
          <w:ilvl w:val="0"/>
          <w:numId w:val="1"/>
        </w:numPr>
        <w:tabs>
          <w:tab w:val="left" w:pos="641"/>
        </w:tabs>
        <w:spacing w:before="59"/>
        <w:rPr>
          <w:sz w:val="36"/>
        </w:rPr>
      </w:pPr>
      <w:r>
        <w:rPr>
          <w:sz w:val="36"/>
        </w:rPr>
        <w:t>other payments in accordance with the law.</w:t>
      </w:r>
    </w:p>
    <w:p w14:paraId="5B8F30D2" w14:textId="77777777" w:rsidR="005A18B6" w:rsidRDefault="005A18B6">
      <w:pPr>
        <w:pStyle w:val="BodyText"/>
        <w:rPr>
          <w:sz w:val="40"/>
        </w:rPr>
      </w:pPr>
    </w:p>
    <w:p w14:paraId="1F50BEC2" w14:textId="77777777" w:rsidR="005A18B6" w:rsidRDefault="00215CC6">
      <w:pPr>
        <w:pStyle w:val="Heading2"/>
        <w:numPr>
          <w:ilvl w:val="1"/>
          <w:numId w:val="5"/>
        </w:numPr>
        <w:tabs>
          <w:tab w:val="left" w:pos="1366"/>
        </w:tabs>
        <w:spacing w:before="326"/>
        <w:ind w:hanging="721"/>
      </w:pPr>
      <w:r>
        <w:rPr>
          <w:color w:val="006FC0"/>
        </w:rPr>
        <w:t>Public sector coverage by the Consolidated Treasury Account</w:t>
      </w:r>
    </w:p>
    <w:p w14:paraId="77B2E37A" w14:textId="77777777" w:rsidR="005A18B6" w:rsidRDefault="005A18B6">
      <w:pPr>
        <w:pStyle w:val="BodyText"/>
        <w:spacing w:before="8"/>
        <w:rPr>
          <w:b/>
          <w:sz w:val="32"/>
        </w:rPr>
      </w:pPr>
    </w:p>
    <w:p w14:paraId="24CDB8B5" w14:textId="77777777" w:rsidR="005A18B6" w:rsidRDefault="00215CC6">
      <w:pPr>
        <w:pStyle w:val="BodyText"/>
        <w:spacing w:line="276" w:lineRule="auto"/>
        <w:ind w:left="220" w:right="215"/>
        <w:jc w:val="both"/>
      </w:pPr>
      <w:r>
        <w:t>The public sector is not completely covered by the Consolidated Treasury Account, given the fact that, by definition, it is made up of government bodies, municipalities, public institutions, independent regulatory bodies, companies and legal persons in which the state holds a majority share.</w:t>
      </w:r>
    </w:p>
    <w:p w14:paraId="0333B520" w14:textId="77777777" w:rsidR="005A18B6" w:rsidRDefault="00215CC6">
      <w:pPr>
        <w:pStyle w:val="BodyText"/>
        <w:spacing w:before="199"/>
        <w:ind w:left="320"/>
        <w:jc w:val="both"/>
      </w:pPr>
      <w:r>
        <w:t>In accordance with the above, the following is covered:</w:t>
      </w:r>
    </w:p>
    <w:p w14:paraId="71B83708" w14:textId="77777777" w:rsidR="005A18B6" w:rsidRDefault="00215CC6">
      <w:pPr>
        <w:pStyle w:val="ListParagraph"/>
        <w:numPr>
          <w:ilvl w:val="2"/>
          <w:numId w:val="5"/>
        </w:numPr>
        <w:tabs>
          <w:tab w:val="left" w:pos="1289"/>
        </w:tabs>
        <w:spacing w:before="263" w:line="276" w:lineRule="auto"/>
        <w:ind w:right="215"/>
        <w:jc w:val="both"/>
        <w:rPr>
          <w:sz w:val="36"/>
        </w:rPr>
      </w:pPr>
      <w:r>
        <w:rPr>
          <w:sz w:val="36"/>
        </w:rPr>
        <w:t>government bodies, such as ministries, administrative bodies, state funds (Pension and Disability Insurance Fund, Health Insurance Fund), judicial bodies, the Parliament, the President, etc. are completely covered by the Consolidated Treasury Account;</w:t>
      </w:r>
    </w:p>
    <w:p w14:paraId="432426C5" w14:textId="77777777" w:rsidR="005A18B6" w:rsidRDefault="005A18B6">
      <w:pPr>
        <w:pStyle w:val="BodyText"/>
        <w:spacing w:before="3"/>
        <w:rPr>
          <w:sz w:val="41"/>
        </w:rPr>
      </w:pPr>
    </w:p>
    <w:p w14:paraId="5CF01D85" w14:textId="77777777" w:rsidR="005A18B6" w:rsidRDefault="00215CC6">
      <w:pPr>
        <w:pStyle w:val="ListParagraph"/>
        <w:numPr>
          <w:ilvl w:val="2"/>
          <w:numId w:val="5"/>
        </w:numPr>
        <w:tabs>
          <w:tab w:val="left" w:pos="1289"/>
        </w:tabs>
        <w:spacing w:line="276" w:lineRule="auto"/>
        <w:ind w:right="226"/>
        <w:jc w:val="both"/>
        <w:rPr>
          <w:sz w:val="36"/>
        </w:rPr>
      </w:pPr>
      <w:r>
        <w:rPr>
          <w:sz w:val="36"/>
        </w:rPr>
        <w:t>public institutions such as cultural and welfare institutions are completely covered by the Consolidated Treasury Account;</w:t>
      </w:r>
    </w:p>
    <w:p w14:paraId="02A95BE0" w14:textId="77777777" w:rsidR="005A18B6" w:rsidRDefault="005A18B6">
      <w:pPr>
        <w:pStyle w:val="BodyText"/>
        <w:spacing w:before="3"/>
        <w:rPr>
          <w:sz w:val="41"/>
        </w:rPr>
      </w:pPr>
    </w:p>
    <w:p w14:paraId="1C816E6B" w14:textId="38E0649B" w:rsidR="005A18B6" w:rsidRPr="00215CC6" w:rsidRDefault="00215CC6" w:rsidP="00215CC6">
      <w:pPr>
        <w:pStyle w:val="ListParagraph"/>
        <w:numPr>
          <w:ilvl w:val="2"/>
          <w:numId w:val="5"/>
        </w:numPr>
        <w:tabs>
          <w:tab w:val="left" w:pos="1289"/>
        </w:tabs>
        <w:spacing w:before="88" w:line="276" w:lineRule="auto"/>
        <w:ind w:right="213"/>
        <w:jc w:val="both"/>
        <w:rPr>
          <w:sz w:val="36"/>
        </w:rPr>
      </w:pPr>
      <w:r w:rsidRPr="00215CC6">
        <w:rPr>
          <w:sz w:val="36"/>
        </w:rPr>
        <w:lastRenderedPageBreak/>
        <w:t>public institutions such as educational institutions (universities, schools, kindergartens) and health institutions (clinical centres, hospitals and health centres) are partially</w:t>
      </w:r>
      <w:r>
        <w:rPr>
          <w:sz w:val="36"/>
        </w:rPr>
        <w:t xml:space="preserve"> </w:t>
      </w:r>
      <w:r w:rsidRPr="00215CC6">
        <w:rPr>
          <w:sz w:val="36"/>
        </w:rPr>
        <w:t>covered by the Consolidated Treasury Account – a complete consolidation of all public institutions is underway;</w:t>
      </w:r>
    </w:p>
    <w:p w14:paraId="2C75D318" w14:textId="77777777" w:rsidR="005A18B6" w:rsidRDefault="005A18B6">
      <w:pPr>
        <w:pStyle w:val="BodyText"/>
        <w:spacing w:before="4"/>
        <w:rPr>
          <w:sz w:val="41"/>
        </w:rPr>
      </w:pPr>
    </w:p>
    <w:p w14:paraId="3F2FF97D" w14:textId="77777777" w:rsidR="005A18B6" w:rsidRDefault="00215CC6">
      <w:pPr>
        <w:pStyle w:val="ListParagraph"/>
        <w:numPr>
          <w:ilvl w:val="2"/>
          <w:numId w:val="5"/>
        </w:numPr>
        <w:tabs>
          <w:tab w:val="left" w:pos="1289"/>
        </w:tabs>
        <w:spacing w:line="276" w:lineRule="auto"/>
        <w:ind w:right="216"/>
        <w:jc w:val="both"/>
        <w:rPr>
          <w:sz w:val="36"/>
        </w:rPr>
      </w:pPr>
      <w:r>
        <w:rPr>
          <w:sz w:val="36"/>
        </w:rPr>
        <w:t>municipalities, independent regulatory bodies, companies and legal persons in which the state holds a majority share are not covered by the Consolidated Treasury Account (all of them established and independent in accordance with special legislation).</w:t>
      </w:r>
    </w:p>
    <w:p w14:paraId="2E830BF9" w14:textId="77777777" w:rsidR="005A18B6" w:rsidRDefault="005A18B6">
      <w:pPr>
        <w:pStyle w:val="BodyText"/>
        <w:rPr>
          <w:sz w:val="40"/>
        </w:rPr>
      </w:pPr>
    </w:p>
    <w:p w14:paraId="746F27F2" w14:textId="77777777" w:rsidR="005A18B6" w:rsidRDefault="005A18B6">
      <w:pPr>
        <w:pStyle w:val="BodyText"/>
        <w:rPr>
          <w:sz w:val="49"/>
        </w:rPr>
      </w:pPr>
    </w:p>
    <w:p w14:paraId="675C5C9B" w14:textId="77777777" w:rsidR="005A18B6" w:rsidRDefault="00215CC6">
      <w:pPr>
        <w:pStyle w:val="Heading2"/>
        <w:numPr>
          <w:ilvl w:val="1"/>
          <w:numId w:val="5"/>
        </w:numPr>
        <w:tabs>
          <w:tab w:val="left" w:pos="1366"/>
        </w:tabs>
        <w:ind w:hanging="721"/>
      </w:pPr>
      <w:r>
        <w:rPr>
          <w:color w:val="006FC0"/>
        </w:rPr>
        <w:t>Powers of the State Treasury</w:t>
      </w:r>
    </w:p>
    <w:p w14:paraId="5D59A383" w14:textId="77777777" w:rsidR="005A18B6" w:rsidRDefault="005A18B6">
      <w:pPr>
        <w:pStyle w:val="BodyText"/>
        <w:rPr>
          <w:b/>
        </w:rPr>
      </w:pPr>
    </w:p>
    <w:p w14:paraId="52E2C66F" w14:textId="77777777" w:rsidR="005A18B6" w:rsidRDefault="00215CC6">
      <w:pPr>
        <w:pStyle w:val="BodyText"/>
        <w:ind w:left="220" w:right="213"/>
        <w:jc w:val="both"/>
      </w:pPr>
      <w:r>
        <w:t>The State Treasury may dispose of cash held in the Main Account of the Treasury and non-dedicated deposit accounts, for the purpose of executing state budget and cash management.</w:t>
      </w:r>
    </w:p>
    <w:p w14:paraId="60E3751A" w14:textId="77777777" w:rsidR="005A18B6" w:rsidRDefault="005A18B6">
      <w:pPr>
        <w:pStyle w:val="BodyText"/>
      </w:pPr>
    </w:p>
    <w:p w14:paraId="11104C0D" w14:textId="77777777" w:rsidR="005A18B6" w:rsidRDefault="00215CC6">
      <w:pPr>
        <w:pStyle w:val="BodyText"/>
        <w:ind w:left="220" w:right="216"/>
        <w:jc w:val="both"/>
      </w:pPr>
      <w:r>
        <w:t>The State Treasury may not dispose of funds held in special dedicated accounts for the purpose of cash management. Funds in these accounts are used exclusively for their intended purpose.</w:t>
      </w:r>
    </w:p>
    <w:p w14:paraId="39424DE3" w14:textId="77777777" w:rsidR="005A18B6" w:rsidRDefault="005A18B6">
      <w:pPr>
        <w:jc w:val="both"/>
        <w:sectPr w:rsidR="005A18B6">
          <w:pgSz w:w="16840" w:h="11910" w:orient="landscape"/>
          <w:pgMar w:top="1100" w:right="1220" w:bottom="1200" w:left="1220" w:header="0" w:footer="1000" w:gutter="0"/>
          <w:cols w:space="720"/>
        </w:sectPr>
      </w:pPr>
    </w:p>
    <w:p w14:paraId="3FB2DC06" w14:textId="77777777" w:rsidR="005A18B6" w:rsidRDefault="005A18B6">
      <w:pPr>
        <w:pStyle w:val="BodyText"/>
        <w:spacing w:before="2"/>
        <w:rPr>
          <w:sz w:val="21"/>
        </w:rPr>
      </w:pPr>
    </w:p>
    <w:p w14:paraId="4BAFB4DC" w14:textId="77777777" w:rsidR="005A18B6" w:rsidRDefault="00215CC6">
      <w:pPr>
        <w:pStyle w:val="BodyText"/>
        <w:spacing w:before="89"/>
        <w:ind w:left="220" w:right="217"/>
        <w:jc w:val="both"/>
      </w:pPr>
      <w:r>
        <w:t>Also, the State Treasury may not dispose of funds held in accounts of all public institutions (educational, cultural and health institutions), although they are essentially covered by the Consolidated Treasury Account.</w:t>
      </w:r>
    </w:p>
    <w:p w14:paraId="2EBA3E3B" w14:textId="77777777" w:rsidR="005A18B6" w:rsidRDefault="005A18B6">
      <w:pPr>
        <w:pStyle w:val="BodyText"/>
        <w:rPr>
          <w:sz w:val="20"/>
        </w:rPr>
      </w:pPr>
    </w:p>
    <w:p w14:paraId="39F21CE6" w14:textId="77777777" w:rsidR="005A18B6" w:rsidRDefault="005A18B6">
      <w:pPr>
        <w:pStyle w:val="BodyText"/>
        <w:rPr>
          <w:sz w:val="20"/>
        </w:rPr>
      </w:pPr>
    </w:p>
    <w:p w14:paraId="184B77A1" w14:textId="77777777" w:rsidR="005A18B6" w:rsidRDefault="005A18B6">
      <w:pPr>
        <w:pStyle w:val="BodyText"/>
        <w:rPr>
          <w:sz w:val="20"/>
        </w:rPr>
      </w:pPr>
    </w:p>
    <w:p w14:paraId="22390753" w14:textId="77777777" w:rsidR="005A18B6" w:rsidRDefault="005A18B6">
      <w:pPr>
        <w:pStyle w:val="BodyText"/>
        <w:rPr>
          <w:sz w:val="20"/>
        </w:rPr>
      </w:pPr>
    </w:p>
    <w:p w14:paraId="00DAB899" w14:textId="77777777" w:rsidR="005A18B6" w:rsidRDefault="005A18B6">
      <w:pPr>
        <w:pStyle w:val="BodyText"/>
        <w:rPr>
          <w:sz w:val="20"/>
        </w:rPr>
      </w:pPr>
    </w:p>
    <w:p w14:paraId="61E876F5" w14:textId="77777777" w:rsidR="005A18B6" w:rsidRDefault="005A18B6">
      <w:pPr>
        <w:pStyle w:val="BodyText"/>
        <w:rPr>
          <w:sz w:val="20"/>
        </w:rPr>
      </w:pPr>
    </w:p>
    <w:p w14:paraId="2E2889BF" w14:textId="77777777" w:rsidR="005A18B6" w:rsidRDefault="003040A4">
      <w:pPr>
        <w:pStyle w:val="BodyText"/>
        <w:spacing w:before="2"/>
        <w:rPr>
          <w:sz w:val="27"/>
        </w:rPr>
      </w:pPr>
      <w:r>
        <w:pict w14:anchorId="7689BDD7">
          <v:shape id="docshape4" o:spid="_x0000_s1026" type="#_x0000_t202" style="position:absolute;margin-left:66.35pt;margin-top:17.05pt;width:709.35pt;height:91.25pt;z-index:-15727616;mso-wrap-distance-left:0;mso-wrap-distance-right:0;mso-position-horizontal-relative:page" filled="f" strokeweight=".48pt">
            <v:textbox inset="0,0,0,0">
              <w:txbxContent>
                <w:p w14:paraId="3957D820" w14:textId="77777777" w:rsidR="005A18B6" w:rsidRDefault="005A18B6">
                  <w:pPr>
                    <w:pStyle w:val="BodyText"/>
                    <w:rPr>
                      <w:sz w:val="40"/>
                    </w:rPr>
                  </w:pPr>
                </w:p>
                <w:p w14:paraId="7A0B0496" w14:textId="77777777" w:rsidR="005A18B6" w:rsidRDefault="005A18B6">
                  <w:pPr>
                    <w:pStyle w:val="BodyText"/>
                    <w:rPr>
                      <w:sz w:val="40"/>
                    </w:rPr>
                  </w:pPr>
                </w:p>
                <w:p w14:paraId="13BBDAD7" w14:textId="77777777" w:rsidR="005A18B6" w:rsidRDefault="005A18B6">
                  <w:pPr>
                    <w:pStyle w:val="BodyText"/>
                    <w:spacing w:before="7"/>
                    <w:rPr>
                      <w:sz w:val="34"/>
                    </w:rPr>
                  </w:pPr>
                </w:p>
                <w:p w14:paraId="28C736C2" w14:textId="77777777" w:rsidR="005A18B6" w:rsidRDefault="00215CC6">
                  <w:pPr>
                    <w:spacing w:before="1"/>
                    <w:ind w:left="710" w:right="710"/>
                    <w:jc w:val="center"/>
                    <w:rPr>
                      <w:b/>
                      <w:sz w:val="36"/>
                    </w:rPr>
                  </w:pPr>
                  <w:r>
                    <w:rPr>
                      <w:b/>
                      <w:sz w:val="36"/>
                    </w:rPr>
                    <w:t>THANK YOU</w:t>
                  </w:r>
                </w:p>
              </w:txbxContent>
            </v:textbox>
            <w10:wrap type="topAndBottom" anchorx="page"/>
          </v:shape>
        </w:pict>
      </w:r>
    </w:p>
    <w:sectPr w:rsidR="005A18B6">
      <w:pgSz w:w="16840" w:h="11910" w:orient="landscape"/>
      <w:pgMar w:top="1100" w:right="1220" w:bottom="1200" w:left="12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32ED" w14:textId="77777777" w:rsidR="00215CC6" w:rsidRDefault="00215CC6">
      <w:r>
        <w:separator/>
      </w:r>
    </w:p>
  </w:endnote>
  <w:endnote w:type="continuationSeparator" w:id="0">
    <w:p w14:paraId="5FACDA46" w14:textId="77777777" w:rsidR="00215CC6" w:rsidRDefault="0021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8F4F" w14:textId="77777777" w:rsidR="003040A4" w:rsidRDefault="00304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8F6B" w14:textId="77777777" w:rsidR="005A18B6" w:rsidRDefault="003040A4">
    <w:pPr>
      <w:pStyle w:val="BodyText"/>
      <w:spacing w:line="14" w:lineRule="auto"/>
      <w:rPr>
        <w:sz w:val="20"/>
      </w:rPr>
    </w:pPr>
    <w:r>
      <w:pict w14:anchorId="7E92333B">
        <v:shapetype id="_x0000_t202" coordsize="21600,21600" o:spt="202" path="m,l,21600r21600,l21600,xe">
          <v:stroke joinstyle="miter"/>
          <v:path gradientshapeok="t" o:connecttype="rect"/>
        </v:shapetype>
        <v:shape id="docshape1" o:spid="_x0000_s2049" type="#_x0000_t202" style="position:absolute;margin-left:761.5pt;margin-top:534.3pt;width:12.6pt;height:13.05pt;z-index:-251658752;mso-position-horizontal-relative:page;mso-position-vertical-relative:page" filled="f" stroked="f">
          <v:textbox inset="0,0,0,0">
            <w:txbxContent>
              <w:p w14:paraId="63257BB7" w14:textId="77777777" w:rsidR="005A18B6" w:rsidRDefault="00215CC6">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732A" w14:textId="77777777" w:rsidR="003040A4" w:rsidRDefault="00304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4439" w14:textId="77777777" w:rsidR="00215CC6" w:rsidRDefault="00215CC6">
      <w:r>
        <w:separator/>
      </w:r>
    </w:p>
  </w:footnote>
  <w:footnote w:type="continuationSeparator" w:id="0">
    <w:p w14:paraId="7DFC33C6" w14:textId="77777777" w:rsidR="00215CC6" w:rsidRDefault="0021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865D" w14:textId="77777777" w:rsidR="003040A4" w:rsidRDefault="00304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9E22" w14:textId="77777777" w:rsidR="003040A4" w:rsidRDefault="00304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B702" w14:textId="77777777" w:rsidR="003040A4" w:rsidRDefault="00304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C2C20"/>
    <w:multiLevelType w:val="hybridMultilevel"/>
    <w:tmpl w:val="1396A2AA"/>
    <w:lvl w:ilvl="0" w:tplc="D186774A">
      <w:start w:val="6"/>
      <w:numFmt w:val="decimal"/>
      <w:lvlText w:val="%1)"/>
      <w:lvlJc w:val="left"/>
      <w:pPr>
        <w:ind w:left="640" w:hanging="421"/>
        <w:jc w:val="left"/>
      </w:pPr>
      <w:rPr>
        <w:rFonts w:ascii="Arial" w:eastAsia="Arial" w:hAnsi="Arial" w:cs="Arial" w:hint="default"/>
        <w:b w:val="0"/>
        <w:bCs w:val="0"/>
        <w:i w:val="0"/>
        <w:iCs w:val="0"/>
        <w:sz w:val="36"/>
        <w:szCs w:val="36"/>
        <w:lang w:val="bs" w:eastAsia="en-US" w:bidi="ar-SA"/>
      </w:rPr>
    </w:lvl>
    <w:lvl w:ilvl="1" w:tplc="B37070C2">
      <w:numFmt w:val="bullet"/>
      <w:lvlText w:val="•"/>
      <w:lvlJc w:val="left"/>
      <w:pPr>
        <w:ind w:left="2015" w:hanging="421"/>
      </w:pPr>
      <w:rPr>
        <w:rFonts w:hint="default"/>
        <w:lang w:val="bs" w:eastAsia="en-US" w:bidi="ar-SA"/>
      </w:rPr>
    </w:lvl>
    <w:lvl w:ilvl="2" w:tplc="2FDA4DCA">
      <w:numFmt w:val="bullet"/>
      <w:lvlText w:val="•"/>
      <w:lvlJc w:val="left"/>
      <w:pPr>
        <w:ind w:left="3391" w:hanging="421"/>
      </w:pPr>
      <w:rPr>
        <w:rFonts w:hint="default"/>
        <w:lang w:val="bs" w:eastAsia="en-US" w:bidi="ar-SA"/>
      </w:rPr>
    </w:lvl>
    <w:lvl w:ilvl="3" w:tplc="95AEDAAC">
      <w:numFmt w:val="bullet"/>
      <w:lvlText w:val="•"/>
      <w:lvlJc w:val="left"/>
      <w:pPr>
        <w:ind w:left="4767" w:hanging="421"/>
      </w:pPr>
      <w:rPr>
        <w:rFonts w:hint="default"/>
        <w:lang w:val="bs" w:eastAsia="en-US" w:bidi="ar-SA"/>
      </w:rPr>
    </w:lvl>
    <w:lvl w:ilvl="4" w:tplc="94B4275A">
      <w:numFmt w:val="bullet"/>
      <w:lvlText w:val="•"/>
      <w:lvlJc w:val="left"/>
      <w:pPr>
        <w:ind w:left="6143" w:hanging="421"/>
      </w:pPr>
      <w:rPr>
        <w:rFonts w:hint="default"/>
        <w:lang w:val="bs" w:eastAsia="en-US" w:bidi="ar-SA"/>
      </w:rPr>
    </w:lvl>
    <w:lvl w:ilvl="5" w:tplc="1466E7CA">
      <w:numFmt w:val="bullet"/>
      <w:lvlText w:val="•"/>
      <w:lvlJc w:val="left"/>
      <w:pPr>
        <w:ind w:left="7519" w:hanging="421"/>
      </w:pPr>
      <w:rPr>
        <w:rFonts w:hint="default"/>
        <w:lang w:val="bs" w:eastAsia="en-US" w:bidi="ar-SA"/>
      </w:rPr>
    </w:lvl>
    <w:lvl w:ilvl="6" w:tplc="E78C905E">
      <w:numFmt w:val="bullet"/>
      <w:lvlText w:val="•"/>
      <w:lvlJc w:val="left"/>
      <w:pPr>
        <w:ind w:left="8895" w:hanging="421"/>
      </w:pPr>
      <w:rPr>
        <w:rFonts w:hint="default"/>
        <w:lang w:val="bs" w:eastAsia="en-US" w:bidi="ar-SA"/>
      </w:rPr>
    </w:lvl>
    <w:lvl w:ilvl="7" w:tplc="F68C1556">
      <w:numFmt w:val="bullet"/>
      <w:lvlText w:val="•"/>
      <w:lvlJc w:val="left"/>
      <w:pPr>
        <w:ind w:left="10270" w:hanging="421"/>
      </w:pPr>
      <w:rPr>
        <w:rFonts w:hint="default"/>
        <w:lang w:val="bs" w:eastAsia="en-US" w:bidi="ar-SA"/>
      </w:rPr>
    </w:lvl>
    <w:lvl w:ilvl="8" w:tplc="E3780448">
      <w:numFmt w:val="bullet"/>
      <w:lvlText w:val="•"/>
      <w:lvlJc w:val="left"/>
      <w:pPr>
        <w:ind w:left="11646" w:hanging="421"/>
      </w:pPr>
      <w:rPr>
        <w:rFonts w:hint="default"/>
        <w:lang w:val="bs" w:eastAsia="en-US" w:bidi="ar-SA"/>
      </w:rPr>
    </w:lvl>
  </w:abstractNum>
  <w:abstractNum w:abstractNumId="1" w15:restartNumberingAfterBreak="0">
    <w:nsid w:val="307078CF"/>
    <w:multiLevelType w:val="multilevel"/>
    <w:tmpl w:val="CDF60E1A"/>
    <w:lvl w:ilvl="0">
      <w:start w:val="1"/>
      <w:numFmt w:val="decimal"/>
      <w:lvlText w:val="%1"/>
      <w:lvlJc w:val="left"/>
      <w:pPr>
        <w:ind w:left="1365" w:hanging="720"/>
        <w:jc w:val="left"/>
      </w:pPr>
      <w:rPr>
        <w:rFonts w:hint="default"/>
        <w:lang w:val="bs" w:eastAsia="en-US" w:bidi="ar-SA"/>
      </w:rPr>
    </w:lvl>
    <w:lvl w:ilvl="1">
      <w:start w:val="1"/>
      <w:numFmt w:val="decimal"/>
      <w:lvlText w:val="%1.%2."/>
      <w:lvlJc w:val="left"/>
      <w:pPr>
        <w:ind w:left="1365" w:hanging="720"/>
        <w:jc w:val="left"/>
      </w:pPr>
      <w:rPr>
        <w:rFonts w:ascii="Arial" w:eastAsia="Arial" w:hAnsi="Arial" w:cs="Arial" w:hint="default"/>
        <w:b/>
        <w:bCs/>
        <w:i w:val="0"/>
        <w:iCs w:val="0"/>
        <w:color w:val="006FC0"/>
        <w:sz w:val="36"/>
        <w:szCs w:val="36"/>
        <w:lang w:val="bs" w:eastAsia="en-US" w:bidi="ar-SA"/>
      </w:rPr>
    </w:lvl>
    <w:lvl w:ilvl="2">
      <w:numFmt w:val="bullet"/>
      <w:lvlText w:val="-"/>
      <w:lvlJc w:val="left"/>
      <w:pPr>
        <w:ind w:left="1288" w:hanging="360"/>
      </w:pPr>
      <w:rPr>
        <w:rFonts w:ascii="Times New Roman" w:eastAsia="Times New Roman" w:hAnsi="Times New Roman" w:cs="Times New Roman" w:hint="default"/>
        <w:b w:val="0"/>
        <w:bCs w:val="0"/>
        <w:i w:val="0"/>
        <w:iCs w:val="0"/>
        <w:sz w:val="36"/>
        <w:szCs w:val="36"/>
        <w:lang w:val="bs" w:eastAsia="en-US" w:bidi="ar-SA"/>
      </w:rPr>
    </w:lvl>
    <w:lvl w:ilvl="3">
      <w:numFmt w:val="bullet"/>
      <w:lvlText w:val="•"/>
      <w:lvlJc w:val="left"/>
      <w:pPr>
        <w:ind w:left="4257" w:hanging="360"/>
      </w:pPr>
      <w:rPr>
        <w:rFonts w:hint="default"/>
        <w:lang w:val="bs" w:eastAsia="en-US" w:bidi="ar-SA"/>
      </w:rPr>
    </w:lvl>
    <w:lvl w:ilvl="4">
      <w:numFmt w:val="bullet"/>
      <w:lvlText w:val="•"/>
      <w:lvlJc w:val="left"/>
      <w:pPr>
        <w:ind w:left="5706" w:hanging="360"/>
      </w:pPr>
      <w:rPr>
        <w:rFonts w:hint="default"/>
        <w:lang w:val="bs" w:eastAsia="en-US" w:bidi="ar-SA"/>
      </w:rPr>
    </w:lvl>
    <w:lvl w:ilvl="5">
      <w:numFmt w:val="bullet"/>
      <w:lvlText w:val="•"/>
      <w:lvlJc w:val="left"/>
      <w:pPr>
        <w:ind w:left="7154" w:hanging="360"/>
      </w:pPr>
      <w:rPr>
        <w:rFonts w:hint="default"/>
        <w:lang w:val="bs" w:eastAsia="en-US" w:bidi="ar-SA"/>
      </w:rPr>
    </w:lvl>
    <w:lvl w:ilvl="6">
      <w:numFmt w:val="bullet"/>
      <w:lvlText w:val="•"/>
      <w:lvlJc w:val="left"/>
      <w:pPr>
        <w:ind w:left="8603" w:hanging="360"/>
      </w:pPr>
      <w:rPr>
        <w:rFonts w:hint="default"/>
        <w:lang w:val="bs" w:eastAsia="en-US" w:bidi="ar-SA"/>
      </w:rPr>
    </w:lvl>
    <w:lvl w:ilvl="7">
      <w:numFmt w:val="bullet"/>
      <w:lvlText w:val="•"/>
      <w:lvlJc w:val="left"/>
      <w:pPr>
        <w:ind w:left="10052" w:hanging="360"/>
      </w:pPr>
      <w:rPr>
        <w:rFonts w:hint="default"/>
        <w:lang w:val="bs" w:eastAsia="en-US" w:bidi="ar-SA"/>
      </w:rPr>
    </w:lvl>
    <w:lvl w:ilvl="8">
      <w:numFmt w:val="bullet"/>
      <w:lvlText w:val="•"/>
      <w:lvlJc w:val="left"/>
      <w:pPr>
        <w:ind w:left="11500" w:hanging="360"/>
      </w:pPr>
      <w:rPr>
        <w:rFonts w:hint="default"/>
        <w:lang w:val="bs" w:eastAsia="en-US" w:bidi="ar-SA"/>
      </w:rPr>
    </w:lvl>
  </w:abstractNum>
  <w:abstractNum w:abstractNumId="2" w15:restartNumberingAfterBreak="0">
    <w:nsid w:val="46E86674"/>
    <w:multiLevelType w:val="hybridMultilevel"/>
    <w:tmpl w:val="742C5908"/>
    <w:lvl w:ilvl="0" w:tplc="1242DFB4">
      <w:start w:val="1"/>
      <w:numFmt w:val="decimal"/>
      <w:lvlText w:val="%1)"/>
      <w:lvlJc w:val="left"/>
      <w:pPr>
        <w:ind w:left="640" w:hanging="421"/>
        <w:jc w:val="left"/>
      </w:pPr>
      <w:rPr>
        <w:rFonts w:ascii="Arial" w:eastAsia="Arial" w:hAnsi="Arial" w:cs="Arial" w:hint="default"/>
        <w:b w:val="0"/>
        <w:bCs w:val="0"/>
        <w:i w:val="0"/>
        <w:iCs w:val="0"/>
        <w:sz w:val="36"/>
        <w:szCs w:val="36"/>
        <w:lang w:val="bs" w:eastAsia="en-US" w:bidi="ar-SA"/>
      </w:rPr>
    </w:lvl>
    <w:lvl w:ilvl="1" w:tplc="936290BE">
      <w:numFmt w:val="bullet"/>
      <w:lvlText w:val="•"/>
      <w:lvlJc w:val="left"/>
      <w:pPr>
        <w:ind w:left="2015" w:hanging="421"/>
      </w:pPr>
      <w:rPr>
        <w:rFonts w:hint="default"/>
        <w:lang w:val="bs" w:eastAsia="en-US" w:bidi="ar-SA"/>
      </w:rPr>
    </w:lvl>
    <w:lvl w:ilvl="2" w:tplc="585E8A38">
      <w:numFmt w:val="bullet"/>
      <w:lvlText w:val="•"/>
      <w:lvlJc w:val="left"/>
      <w:pPr>
        <w:ind w:left="3391" w:hanging="421"/>
      </w:pPr>
      <w:rPr>
        <w:rFonts w:hint="default"/>
        <w:lang w:val="bs" w:eastAsia="en-US" w:bidi="ar-SA"/>
      </w:rPr>
    </w:lvl>
    <w:lvl w:ilvl="3" w:tplc="EBF487F0">
      <w:numFmt w:val="bullet"/>
      <w:lvlText w:val="•"/>
      <w:lvlJc w:val="left"/>
      <w:pPr>
        <w:ind w:left="4767" w:hanging="421"/>
      </w:pPr>
      <w:rPr>
        <w:rFonts w:hint="default"/>
        <w:lang w:val="bs" w:eastAsia="en-US" w:bidi="ar-SA"/>
      </w:rPr>
    </w:lvl>
    <w:lvl w:ilvl="4" w:tplc="851AD41C">
      <w:numFmt w:val="bullet"/>
      <w:lvlText w:val="•"/>
      <w:lvlJc w:val="left"/>
      <w:pPr>
        <w:ind w:left="6143" w:hanging="421"/>
      </w:pPr>
      <w:rPr>
        <w:rFonts w:hint="default"/>
        <w:lang w:val="bs" w:eastAsia="en-US" w:bidi="ar-SA"/>
      </w:rPr>
    </w:lvl>
    <w:lvl w:ilvl="5" w:tplc="CFC8BE3A">
      <w:numFmt w:val="bullet"/>
      <w:lvlText w:val="•"/>
      <w:lvlJc w:val="left"/>
      <w:pPr>
        <w:ind w:left="7519" w:hanging="421"/>
      </w:pPr>
      <w:rPr>
        <w:rFonts w:hint="default"/>
        <w:lang w:val="bs" w:eastAsia="en-US" w:bidi="ar-SA"/>
      </w:rPr>
    </w:lvl>
    <w:lvl w:ilvl="6" w:tplc="4F642A4E">
      <w:numFmt w:val="bullet"/>
      <w:lvlText w:val="•"/>
      <w:lvlJc w:val="left"/>
      <w:pPr>
        <w:ind w:left="8895" w:hanging="421"/>
      </w:pPr>
      <w:rPr>
        <w:rFonts w:hint="default"/>
        <w:lang w:val="bs" w:eastAsia="en-US" w:bidi="ar-SA"/>
      </w:rPr>
    </w:lvl>
    <w:lvl w:ilvl="7" w:tplc="4350C45A">
      <w:numFmt w:val="bullet"/>
      <w:lvlText w:val="•"/>
      <w:lvlJc w:val="left"/>
      <w:pPr>
        <w:ind w:left="10270" w:hanging="421"/>
      </w:pPr>
      <w:rPr>
        <w:rFonts w:hint="default"/>
        <w:lang w:val="bs" w:eastAsia="en-US" w:bidi="ar-SA"/>
      </w:rPr>
    </w:lvl>
    <w:lvl w:ilvl="8" w:tplc="3D7C0D0E">
      <w:numFmt w:val="bullet"/>
      <w:lvlText w:val="•"/>
      <w:lvlJc w:val="left"/>
      <w:pPr>
        <w:ind w:left="11646" w:hanging="421"/>
      </w:pPr>
      <w:rPr>
        <w:rFonts w:hint="default"/>
        <w:lang w:val="bs" w:eastAsia="en-US" w:bidi="ar-SA"/>
      </w:rPr>
    </w:lvl>
  </w:abstractNum>
  <w:abstractNum w:abstractNumId="3" w15:restartNumberingAfterBreak="0">
    <w:nsid w:val="61CA49F4"/>
    <w:multiLevelType w:val="hybridMultilevel"/>
    <w:tmpl w:val="C80E7494"/>
    <w:lvl w:ilvl="0" w:tplc="CBE22832">
      <w:start w:val="1"/>
      <w:numFmt w:val="decimal"/>
      <w:lvlText w:val="%1)"/>
      <w:lvlJc w:val="left"/>
      <w:pPr>
        <w:ind w:left="220" w:hanging="540"/>
        <w:jc w:val="left"/>
      </w:pPr>
      <w:rPr>
        <w:rFonts w:ascii="Arial" w:eastAsia="Arial" w:hAnsi="Arial" w:cs="Arial" w:hint="default"/>
        <w:b w:val="0"/>
        <w:bCs w:val="0"/>
        <w:i w:val="0"/>
        <w:iCs w:val="0"/>
        <w:sz w:val="36"/>
        <w:szCs w:val="36"/>
        <w:lang w:val="bs" w:eastAsia="en-US" w:bidi="ar-SA"/>
      </w:rPr>
    </w:lvl>
    <w:lvl w:ilvl="1" w:tplc="8DA2EA10">
      <w:numFmt w:val="bullet"/>
      <w:lvlText w:val="•"/>
      <w:lvlJc w:val="left"/>
      <w:pPr>
        <w:ind w:left="1637" w:hanging="540"/>
      </w:pPr>
      <w:rPr>
        <w:rFonts w:hint="default"/>
        <w:lang w:val="bs" w:eastAsia="en-US" w:bidi="ar-SA"/>
      </w:rPr>
    </w:lvl>
    <w:lvl w:ilvl="2" w:tplc="29DE9F18">
      <w:numFmt w:val="bullet"/>
      <w:lvlText w:val="•"/>
      <w:lvlJc w:val="left"/>
      <w:pPr>
        <w:ind w:left="3055" w:hanging="540"/>
      </w:pPr>
      <w:rPr>
        <w:rFonts w:hint="default"/>
        <w:lang w:val="bs" w:eastAsia="en-US" w:bidi="ar-SA"/>
      </w:rPr>
    </w:lvl>
    <w:lvl w:ilvl="3" w:tplc="E4E02B46">
      <w:numFmt w:val="bullet"/>
      <w:lvlText w:val="•"/>
      <w:lvlJc w:val="left"/>
      <w:pPr>
        <w:ind w:left="4473" w:hanging="540"/>
      </w:pPr>
      <w:rPr>
        <w:rFonts w:hint="default"/>
        <w:lang w:val="bs" w:eastAsia="en-US" w:bidi="ar-SA"/>
      </w:rPr>
    </w:lvl>
    <w:lvl w:ilvl="4" w:tplc="74CEA60C">
      <w:numFmt w:val="bullet"/>
      <w:lvlText w:val="•"/>
      <w:lvlJc w:val="left"/>
      <w:pPr>
        <w:ind w:left="5891" w:hanging="540"/>
      </w:pPr>
      <w:rPr>
        <w:rFonts w:hint="default"/>
        <w:lang w:val="bs" w:eastAsia="en-US" w:bidi="ar-SA"/>
      </w:rPr>
    </w:lvl>
    <w:lvl w:ilvl="5" w:tplc="9AA2C0EE">
      <w:numFmt w:val="bullet"/>
      <w:lvlText w:val="•"/>
      <w:lvlJc w:val="left"/>
      <w:pPr>
        <w:ind w:left="7309" w:hanging="540"/>
      </w:pPr>
      <w:rPr>
        <w:rFonts w:hint="default"/>
        <w:lang w:val="bs" w:eastAsia="en-US" w:bidi="ar-SA"/>
      </w:rPr>
    </w:lvl>
    <w:lvl w:ilvl="6" w:tplc="209C829A">
      <w:numFmt w:val="bullet"/>
      <w:lvlText w:val="•"/>
      <w:lvlJc w:val="left"/>
      <w:pPr>
        <w:ind w:left="8727" w:hanging="540"/>
      </w:pPr>
      <w:rPr>
        <w:rFonts w:hint="default"/>
        <w:lang w:val="bs" w:eastAsia="en-US" w:bidi="ar-SA"/>
      </w:rPr>
    </w:lvl>
    <w:lvl w:ilvl="7" w:tplc="D7F43558">
      <w:numFmt w:val="bullet"/>
      <w:lvlText w:val="•"/>
      <w:lvlJc w:val="left"/>
      <w:pPr>
        <w:ind w:left="10144" w:hanging="540"/>
      </w:pPr>
      <w:rPr>
        <w:rFonts w:hint="default"/>
        <w:lang w:val="bs" w:eastAsia="en-US" w:bidi="ar-SA"/>
      </w:rPr>
    </w:lvl>
    <w:lvl w:ilvl="8" w:tplc="D0AE46BE">
      <w:numFmt w:val="bullet"/>
      <w:lvlText w:val="•"/>
      <w:lvlJc w:val="left"/>
      <w:pPr>
        <w:ind w:left="11562" w:hanging="540"/>
      </w:pPr>
      <w:rPr>
        <w:rFonts w:hint="default"/>
        <w:lang w:val="bs" w:eastAsia="en-US" w:bidi="ar-SA"/>
      </w:rPr>
    </w:lvl>
  </w:abstractNum>
  <w:abstractNum w:abstractNumId="4" w15:restartNumberingAfterBreak="0">
    <w:nsid w:val="7C470754"/>
    <w:multiLevelType w:val="hybridMultilevel"/>
    <w:tmpl w:val="AD44A004"/>
    <w:lvl w:ilvl="0" w:tplc="33328E6A">
      <w:start w:val="1"/>
      <w:numFmt w:val="decimal"/>
      <w:lvlText w:val="%1."/>
      <w:lvlJc w:val="left"/>
      <w:pPr>
        <w:ind w:left="1648" w:hanging="360"/>
        <w:jc w:val="left"/>
      </w:pPr>
      <w:rPr>
        <w:rFonts w:ascii="Arial" w:eastAsia="Arial" w:hAnsi="Arial" w:cs="Arial" w:hint="default"/>
        <w:b w:val="0"/>
        <w:bCs w:val="0"/>
        <w:i w:val="0"/>
        <w:iCs w:val="0"/>
        <w:sz w:val="36"/>
        <w:szCs w:val="36"/>
        <w:lang w:val="bs" w:eastAsia="en-US" w:bidi="ar-SA"/>
      </w:rPr>
    </w:lvl>
    <w:lvl w:ilvl="1" w:tplc="EDE2B700">
      <w:numFmt w:val="bullet"/>
      <w:lvlText w:val="•"/>
      <w:lvlJc w:val="left"/>
      <w:pPr>
        <w:ind w:left="2915" w:hanging="360"/>
      </w:pPr>
      <w:rPr>
        <w:rFonts w:hint="default"/>
        <w:lang w:val="bs" w:eastAsia="en-US" w:bidi="ar-SA"/>
      </w:rPr>
    </w:lvl>
    <w:lvl w:ilvl="2" w:tplc="0B645F9A">
      <w:numFmt w:val="bullet"/>
      <w:lvlText w:val="•"/>
      <w:lvlJc w:val="left"/>
      <w:pPr>
        <w:ind w:left="4191" w:hanging="360"/>
      </w:pPr>
      <w:rPr>
        <w:rFonts w:hint="default"/>
        <w:lang w:val="bs" w:eastAsia="en-US" w:bidi="ar-SA"/>
      </w:rPr>
    </w:lvl>
    <w:lvl w:ilvl="3" w:tplc="2CA88204">
      <w:numFmt w:val="bullet"/>
      <w:lvlText w:val="•"/>
      <w:lvlJc w:val="left"/>
      <w:pPr>
        <w:ind w:left="5467" w:hanging="360"/>
      </w:pPr>
      <w:rPr>
        <w:rFonts w:hint="default"/>
        <w:lang w:val="bs" w:eastAsia="en-US" w:bidi="ar-SA"/>
      </w:rPr>
    </w:lvl>
    <w:lvl w:ilvl="4" w:tplc="4A90F5C6">
      <w:numFmt w:val="bullet"/>
      <w:lvlText w:val="•"/>
      <w:lvlJc w:val="left"/>
      <w:pPr>
        <w:ind w:left="6743" w:hanging="360"/>
      </w:pPr>
      <w:rPr>
        <w:rFonts w:hint="default"/>
        <w:lang w:val="bs" w:eastAsia="en-US" w:bidi="ar-SA"/>
      </w:rPr>
    </w:lvl>
    <w:lvl w:ilvl="5" w:tplc="52B0B6BA">
      <w:numFmt w:val="bullet"/>
      <w:lvlText w:val="•"/>
      <w:lvlJc w:val="left"/>
      <w:pPr>
        <w:ind w:left="8019" w:hanging="360"/>
      </w:pPr>
      <w:rPr>
        <w:rFonts w:hint="default"/>
        <w:lang w:val="bs" w:eastAsia="en-US" w:bidi="ar-SA"/>
      </w:rPr>
    </w:lvl>
    <w:lvl w:ilvl="6" w:tplc="7F7655C0">
      <w:numFmt w:val="bullet"/>
      <w:lvlText w:val="•"/>
      <w:lvlJc w:val="left"/>
      <w:pPr>
        <w:ind w:left="9295" w:hanging="360"/>
      </w:pPr>
      <w:rPr>
        <w:rFonts w:hint="default"/>
        <w:lang w:val="bs" w:eastAsia="en-US" w:bidi="ar-SA"/>
      </w:rPr>
    </w:lvl>
    <w:lvl w:ilvl="7" w:tplc="F8463D92">
      <w:numFmt w:val="bullet"/>
      <w:lvlText w:val="•"/>
      <w:lvlJc w:val="left"/>
      <w:pPr>
        <w:ind w:left="10570" w:hanging="360"/>
      </w:pPr>
      <w:rPr>
        <w:rFonts w:hint="default"/>
        <w:lang w:val="bs" w:eastAsia="en-US" w:bidi="ar-SA"/>
      </w:rPr>
    </w:lvl>
    <w:lvl w:ilvl="8" w:tplc="8766CFB2">
      <w:numFmt w:val="bullet"/>
      <w:lvlText w:val="•"/>
      <w:lvlJc w:val="left"/>
      <w:pPr>
        <w:ind w:left="11846" w:hanging="360"/>
      </w:pPr>
      <w:rPr>
        <w:rFonts w:hint="default"/>
        <w:lang w:val="bs" w:eastAsia="en-US" w:bidi="ar-SA"/>
      </w:rPr>
    </w:lvl>
  </w:abstractNum>
  <w:abstractNum w:abstractNumId="5" w15:restartNumberingAfterBreak="0">
    <w:nsid w:val="7E874F60"/>
    <w:multiLevelType w:val="hybridMultilevel"/>
    <w:tmpl w:val="9E640C46"/>
    <w:lvl w:ilvl="0" w:tplc="242E65A4">
      <w:numFmt w:val="bullet"/>
      <w:lvlText w:val=""/>
      <w:lvlJc w:val="left"/>
      <w:pPr>
        <w:ind w:left="1648" w:hanging="360"/>
      </w:pPr>
      <w:rPr>
        <w:rFonts w:ascii="Symbol" w:eastAsia="Symbol" w:hAnsi="Symbol" w:cs="Symbol" w:hint="default"/>
        <w:b w:val="0"/>
        <w:bCs w:val="0"/>
        <w:i w:val="0"/>
        <w:iCs w:val="0"/>
        <w:color w:val="FF0000"/>
        <w:w w:val="100"/>
        <w:sz w:val="40"/>
        <w:szCs w:val="40"/>
        <w:lang w:val="bs" w:eastAsia="en-US" w:bidi="ar-SA"/>
      </w:rPr>
    </w:lvl>
    <w:lvl w:ilvl="1" w:tplc="E03AC726">
      <w:start w:val="1"/>
      <w:numFmt w:val="decimal"/>
      <w:lvlText w:val="%2."/>
      <w:lvlJc w:val="left"/>
      <w:pPr>
        <w:ind w:left="4860" w:hanging="360"/>
        <w:jc w:val="left"/>
      </w:pPr>
      <w:rPr>
        <w:rFonts w:ascii="Arial" w:eastAsia="Arial" w:hAnsi="Arial" w:cs="Arial" w:hint="default"/>
        <w:b/>
        <w:bCs/>
        <w:i w:val="0"/>
        <w:iCs w:val="0"/>
        <w:color w:val="001F5F"/>
        <w:w w:val="100"/>
        <w:sz w:val="40"/>
        <w:szCs w:val="40"/>
        <w:lang w:val="bs" w:eastAsia="en-US" w:bidi="ar-SA"/>
      </w:rPr>
    </w:lvl>
    <w:lvl w:ilvl="2" w:tplc="B8E82E0A">
      <w:numFmt w:val="bullet"/>
      <w:lvlText w:val="•"/>
      <w:lvlJc w:val="left"/>
      <w:pPr>
        <w:ind w:left="5919" w:hanging="360"/>
      </w:pPr>
      <w:rPr>
        <w:rFonts w:hint="default"/>
        <w:lang w:val="bs" w:eastAsia="en-US" w:bidi="ar-SA"/>
      </w:rPr>
    </w:lvl>
    <w:lvl w:ilvl="3" w:tplc="81287B68">
      <w:numFmt w:val="bullet"/>
      <w:lvlText w:val="•"/>
      <w:lvlJc w:val="left"/>
      <w:pPr>
        <w:ind w:left="6979" w:hanging="360"/>
      </w:pPr>
      <w:rPr>
        <w:rFonts w:hint="default"/>
        <w:lang w:val="bs" w:eastAsia="en-US" w:bidi="ar-SA"/>
      </w:rPr>
    </w:lvl>
    <w:lvl w:ilvl="4" w:tplc="DEEEF89A">
      <w:numFmt w:val="bullet"/>
      <w:lvlText w:val="•"/>
      <w:lvlJc w:val="left"/>
      <w:pPr>
        <w:ind w:left="8039" w:hanging="360"/>
      </w:pPr>
      <w:rPr>
        <w:rFonts w:hint="default"/>
        <w:lang w:val="bs" w:eastAsia="en-US" w:bidi="ar-SA"/>
      </w:rPr>
    </w:lvl>
    <w:lvl w:ilvl="5" w:tplc="D16462F0">
      <w:numFmt w:val="bullet"/>
      <w:lvlText w:val="•"/>
      <w:lvlJc w:val="left"/>
      <w:pPr>
        <w:ind w:left="9099" w:hanging="360"/>
      </w:pPr>
      <w:rPr>
        <w:rFonts w:hint="default"/>
        <w:lang w:val="bs" w:eastAsia="en-US" w:bidi="ar-SA"/>
      </w:rPr>
    </w:lvl>
    <w:lvl w:ilvl="6" w:tplc="240E98EC">
      <w:numFmt w:val="bullet"/>
      <w:lvlText w:val="•"/>
      <w:lvlJc w:val="left"/>
      <w:pPr>
        <w:ind w:left="10159" w:hanging="360"/>
      </w:pPr>
      <w:rPr>
        <w:rFonts w:hint="default"/>
        <w:lang w:val="bs" w:eastAsia="en-US" w:bidi="ar-SA"/>
      </w:rPr>
    </w:lvl>
    <w:lvl w:ilvl="7" w:tplc="1D34BAD4">
      <w:numFmt w:val="bullet"/>
      <w:lvlText w:val="•"/>
      <w:lvlJc w:val="left"/>
      <w:pPr>
        <w:ind w:left="11218" w:hanging="360"/>
      </w:pPr>
      <w:rPr>
        <w:rFonts w:hint="default"/>
        <w:lang w:val="bs" w:eastAsia="en-US" w:bidi="ar-SA"/>
      </w:rPr>
    </w:lvl>
    <w:lvl w:ilvl="8" w:tplc="E52EB9E6">
      <w:numFmt w:val="bullet"/>
      <w:lvlText w:val="•"/>
      <w:lvlJc w:val="left"/>
      <w:pPr>
        <w:ind w:left="12278" w:hanging="360"/>
      </w:pPr>
      <w:rPr>
        <w:rFonts w:hint="default"/>
        <w:lang w:val="bs" w:eastAsia="en-US" w:bidi="ar-SA"/>
      </w:rPr>
    </w:lvl>
  </w:abstractNum>
  <w:num w:numId="1" w16cid:durableId="1232695771">
    <w:abstractNumId w:val="0"/>
  </w:num>
  <w:num w:numId="2" w16cid:durableId="1710061293">
    <w:abstractNumId w:val="3"/>
  </w:num>
  <w:num w:numId="3" w16cid:durableId="1490635082">
    <w:abstractNumId w:val="2"/>
  </w:num>
  <w:num w:numId="4" w16cid:durableId="1602571263">
    <w:abstractNumId w:val="4"/>
  </w:num>
  <w:num w:numId="5" w16cid:durableId="1551650249">
    <w:abstractNumId w:val="1"/>
  </w:num>
  <w:num w:numId="6" w16cid:durableId="754594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A18B6"/>
    <w:rsid w:val="00215CC6"/>
    <w:rsid w:val="003040A4"/>
    <w:rsid w:val="005A18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1A6329"/>
  <w15:docId w15:val="{E57DFE96-FDA0-4F6B-A38F-DBCE83BE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9"/>
      <w:ind w:left="710" w:right="713"/>
      <w:jc w:val="center"/>
      <w:outlineLvl w:val="0"/>
    </w:pPr>
    <w:rPr>
      <w:b/>
      <w:bCs/>
      <w:sz w:val="44"/>
      <w:szCs w:val="44"/>
    </w:rPr>
  </w:style>
  <w:style w:type="paragraph" w:styleId="Heading2">
    <w:name w:val="heading 2"/>
    <w:basedOn w:val="Normal"/>
    <w:uiPriority w:val="9"/>
    <w:unhideWhenUsed/>
    <w:qFormat/>
    <w:pPr>
      <w:spacing w:before="1"/>
      <w:ind w:left="1365" w:hanging="72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6"/>
      <w:szCs w:val="36"/>
    </w:rPr>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40A4"/>
    <w:pPr>
      <w:tabs>
        <w:tab w:val="center" w:pos="4680"/>
        <w:tab w:val="right" w:pos="9360"/>
      </w:tabs>
    </w:pPr>
  </w:style>
  <w:style w:type="character" w:customStyle="1" w:styleId="HeaderChar">
    <w:name w:val="Header Char"/>
    <w:basedOn w:val="DefaultParagraphFont"/>
    <w:link w:val="Header"/>
    <w:uiPriority w:val="99"/>
    <w:rsid w:val="003040A4"/>
    <w:rPr>
      <w:rFonts w:ascii="Arial" w:eastAsia="Arial" w:hAnsi="Arial" w:cs="Arial"/>
    </w:rPr>
  </w:style>
  <w:style w:type="paragraph" w:styleId="Footer">
    <w:name w:val="footer"/>
    <w:basedOn w:val="Normal"/>
    <w:link w:val="FooterChar"/>
    <w:uiPriority w:val="99"/>
    <w:unhideWhenUsed/>
    <w:rsid w:val="003040A4"/>
    <w:pPr>
      <w:tabs>
        <w:tab w:val="center" w:pos="4680"/>
        <w:tab w:val="right" w:pos="9360"/>
      </w:tabs>
    </w:pPr>
  </w:style>
  <w:style w:type="character" w:customStyle="1" w:styleId="FooterChar">
    <w:name w:val="Footer Char"/>
    <w:basedOn w:val="DefaultParagraphFont"/>
    <w:link w:val="Footer"/>
    <w:uiPriority w:val="99"/>
    <w:rsid w:val="003040A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646</Words>
  <Characters>3683</Characters>
  <Application>Microsoft Office Word</Application>
  <DocSecurity>4</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mersija.purisic</dc:creator>
  <cp:lastModifiedBy>Tetiana Shalkivska</cp:lastModifiedBy>
  <cp:revision>2</cp:revision>
  <dcterms:created xsi:type="dcterms:W3CDTF">2023-12-07T16:45:00Z</dcterms:created>
  <dcterms:modified xsi:type="dcterms:W3CDTF">2023-12-07T16:45:00Z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2019</vt:lpwstr>
  </property>
  <property fmtid="{D5CDD505-2E9C-101B-9397-08002B2CF9AE}" pid="4" name="LastSaved">
    <vt:filetime>2023-12-04T00:00:00Z</vt:filetime>
  </property>
</Properties>
</file>