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37978" w14:textId="77777777" w:rsidR="00181598" w:rsidRPr="00260470" w:rsidRDefault="00181598" w:rsidP="00181598">
      <w:pPr>
        <w:pStyle w:val="NoSpacing"/>
        <w:jc w:val="center"/>
        <w:rPr>
          <w:rFonts w:ascii="Arial" w:eastAsia="Cambria" w:hAnsi="Arial"/>
          <w:b/>
          <w:bCs/>
          <w:color w:val="4C585A"/>
          <w:sz w:val="21"/>
          <w:szCs w:val="21"/>
        </w:rPr>
      </w:pPr>
    </w:p>
    <w:p w14:paraId="73D7D718" w14:textId="447D83A8" w:rsidR="00181598" w:rsidRPr="00E34B4B" w:rsidRDefault="00E34B4B" w:rsidP="00181598">
      <w:pPr>
        <w:pStyle w:val="NoSpacing"/>
        <w:jc w:val="center"/>
        <w:rPr>
          <w:rFonts w:ascii="Arial" w:eastAsia="Cambria" w:hAnsi="Arial"/>
          <w:b/>
          <w:bCs/>
          <w:color w:val="FF6B00"/>
          <w:sz w:val="21"/>
          <w:szCs w:val="21"/>
          <w:lang w:val="ru-RU"/>
        </w:rPr>
      </w:pPr>
      <w:r>
        <w:rPr>
          <w:rFonts w:ascii="Arial" w:eastAsia="Cambria" w:hAnsi="Arial"/>
          <w:b/>
          <w:bCs/>
          <w:color w:val="FF6B00"/>
          <w:sz w:val="21"/>
          <w:szCs w:val="21"/>
          <w:lang w:val="ru-RU"/>
        </w:rPr>
        <w:t xml:space="preserve">ПРИНЦИПЫ </w:t>
      </w:r>
      <w:r w:rsidR="00325B4D">
        <w:rPr>
          <w:rFonts w:ascii="Arial" w:eastAsia="Cambria" w:hAnsi="Arial"/>
          <w:b/>
          <w:bCs/>
          <w:color w:val="FF6B00"/>
          <w:sz w:val="21"/>
          <w:szCs w:val="21"/>
          <w:lang w:val="ru-RU"/>
        </w:rPr>
        <w:t xml:space="preserve">ОБЩЕСТВЕННОГО </w:t>
      </w:r>
      <w:r>
        <w:rPr>
          <w:rFonts w:ascii="Arial" w:eastAsia="Cambria" w:hAnsi="Arial"/>
          <w:b/>
          <w:bCs/>
          <w:color w:val="FF6B00"/>
          <w:sz w:val="21"/>
          <w:szCs w:val="21"/>
          <w:lang w:val="ru-RU"/>
        </w:rPr>
        <w:t xml:space="preserve">УЧАСТИЯ В </w:t>
      </w:r>
      <w:r w:rsidR="00325B4D">
        <w:rPr>
          <w:rFonts w:ascii="Arial" w:eastAsia="Cambria" w:hAnsi="Arial"/>
          <w:b/>
          <w:bCs/>
          <w:color w:val="FF6B00"/>
          <w:sz w:val="21"/>
          <w:szCs w:val="21"/>
          <w:lang w:val="ru-RU"/>
        </w:rPr>
        <w:t>НАЛОГОВО-</w:t>
      </w:r>
      <w:r>
        <w:rPr>
          <w:rFonts w:ascii="Arial" w:eastAsia="Cambria" w:hAnsi="Arial"/>
          <w:b/>
          <w:bCs/>
          <w:color w:val="FF6B00"/>
          <w:sz w:val="21"/>
          <w:szCs w:val="21"/>
          <w:lang w:val="ru-RU"/>
        </w:rPr>
        <w:t>БЮДЖЕТНОЙ ПОЛИТИКЕ</w:t>
      </w:r>
    </w:p>
    <w:p w14:paraId="77DDDB74" w14:textId="60D7638E" w:rsidR="004E70C8" w:rsidRPr="00495A6E" w:rsidRDefault="00495A6E" w:rsidP="00181598">
      <w:pPr>
        <w:pStyle w:val="NoSpacing"/>
        <w:jc w:val="center"/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</w:pP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Утверждены</w:t>
      </w:r>
      <w:r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на</w:t>
      </w:r>
      <w:r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совещании</w:t>
      </w:r>
      <w:r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главных</w:t>
      </w:r>
      <w:r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распорядителей</w:t>
      </w:r>
      <w:r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Глобальной инициативы за прозрачность бюджета (</w:t>
      </w:r>
      <w:r w:rsidR="004E70C8" w:rsidRPr="00260470">
        <w:rPr>
          <w:rFonts w:ascii="Arial" w:eastAsia="Cambria" w:hAnsi="Arial"/>
          <w:b/>
          <w:bCs/>
          <w:color w:val="4C585A"/>
          <w:sz w:val="21"/>
          <w:szCs w:val="21"/>
        </w:rPr>
        <w:t>GIFT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)</w:t>
      </w:r>
      <w:r w:rsidR="004E70C8"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 w:rsidR="00AD6273"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(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1-2 декабря</w:t>
      </w:r>
      <w:r w:rsidR="000714BB"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2015</w:t>
      </w:r>
      <w:r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г.</w:t>
      </w:r>
      <w:r w:rsidR="000714BB"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>)</w:t>
      </w:r>
    </w:p>
    <w:p w14:paraId="3A63A024" w14:textId="1B81E268" w:rsidR="00181598" w:rsidRPr="00495A6E" w:rsidRDefault="006A49D6" w:rsidP="006A49D6">
      <w:pPr>
        <w:pStyle w:val="NoSpacing"/>
        <w:jc w:val="center"/>
        <w:rPr>
          <w:rFonts w:ascii="Arial" w:eastAsia="Cambria" w:hAnsi="Arial"/>
          <w:bCs/>
          <w:color w:val="4C585A"/>
          <w:sz w:val="21"/>
          <w:szCs w:val="21"/>
          <w:lang w:val="ru-RU"/>
        </w:rPr>
      </w:pPr>
      <w:r w:rsidRP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>(</w:t>
      </w:r>
      <w:r w:rsid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>с поправками от</w:t>
      </w:r>
      <w:r w:rsidR="00495A6E" w:rsidRP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 xml:space="preserve"> 29 сен</w:t>
      </w:r>
      <w:r w:rsid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>тября</w:t>
      </w:r>
      <w:r w:rsidRP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 xml:space="preserve"> 2016</w:t>
      </w:r>
      <w:r w:rsid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 xml:space="preserve"> г.</w:t>
      </w:r>
      <w:r w:rsidRPr="00495A6E">
        <w:rPr>
          <w:rFonts w:ascii="Arial" w:eastAsia="Cambria" w:hAnsi="Arial"/>
          <w:bCs/>
          <w:color w:val="4C585A"/>
          <w:sz w:val="21"/>
          <w:szCs w:val="21"/>
          <w:lang w:val="ru-RU"/>
        </w:rPr>
        <w:t xml:space="preserve">) </w:t>
      </w:r>
    </w:p>
    <w:p w14:paraId="3E7D6E83" w14:textId="77777777" w:rsidR="006A49D6" w:rsidRPr="00495A6E" w:rsidRDefault="006A49D6" w:rsidP="006A49D6">
      <w:pPr>
        <w:pStyle w:val="NoSpacing"/>
        <w:jc w:val="center"/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</w:pPr>
    </w:p>
    <w:p w14:paraId="6627C799" w14:textId="77777777" w:rsidR="00487C80" w:rsidRPr="00495A6E" w:rsidRDefault="00487C80" w:rsidP="00181598">
      <w:pPr>
        <w:pStyle w:val="NoSpacing"/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</w:pPr>
    </w:p>
    <w:p w14:paraId="41C7D392" w14:textId="7484FCB3" w:rsidR="00181598" w:rsidRPr="009B2132" w:rsidRDefault="00495A6E" w:rsidP="00181598">
      <w:pPr>
        <w:pStyle w:val="NoSpacing"/>
        <w:rPr>
          <w:rFonts w:ascii="Arial" w:hAnsi="Arial"/>
          <w:b/>
          <w:bCs/>
          <w:color w:val="4C585A"/>
          <w:sz w:val="21"/>
          <w:szCs w:val="21"/>
          <w:lang w:val="ru-RU"/>
        </w:rPr>
      </w:pP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Введение</w:t>
      </w:r>
    </w:p>
    <w:p w14:paraId="2A0C5D29" w14:textId="77777777" w:rsidR="00181598" w:rsidRPr="009B2132" w:rsidRDefault="00181598" w:rsidP="00181598">
      <w:pPr>
        <w:pStyle w:val="NoSpacing"/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</w:pPr>
    </w:p>
    <w:p w14:paraId="465B746C" w14:textId="2B8A8BCC" w:rsidR="00181598" w:rsidRPr="00E436F5" w:rsidRDefault="00495A6E" w:rsidP="00E436F5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Под участием</w:t>
      </w:r>
      <w:r w:rsidRPr="00E0193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Pr="00E0193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понимается </w:t>
      </w:r>
      <w:r w:rsidR="00E0193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весь диапазон способов прямого взаимодействия граждан и населения в целом, в том числе общественных движений и других </w:t>
      </w:r>
      <w:r w:rsid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негосударственных субъектов</w:t>
      </w:r>
      <w:r w:rsidR="00E0193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, с государственными органами в отношении смысла и </w:t>
      </w:r>
      <w:r w:rsid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содержания</w:t>
      </w:r>
      <w:r w:rsidR="00E0193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государственной политики, её реализации и анализа в любой форме такого взаимодействия. Участие может быть одноразовой консультацией и постоянно действующим и организационно оформленным каналом связи, по которому все отношения регистрируются в случае наличия доступа к инфо</w:t>
      </w:r>
      <w:r w:rsid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рмации</w:t>
      </w:r>
      <w:r w:rsidR="00181598" w:rsidRPr="00E436F5">
        <w:rPr>
          <w:rFonts w:ascii="Arial" w:hAnsi="Arial"/>
          <w:color w:val="4C585A"/>
          <w:w w:val="102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w w:val="102"/>
          <w:sz w:val="21"/>
          <w:szCs w:val="21"/>
        </w:rPr>
        <w:endnoteReference w:id="1"/>
      </w:r>
      <w:r w:rsidR="00181598" w:rsidRPr="00E436F5">
        <w:rPr>
          <w:rFonts w:ascii="Arial" w:hAnsi="Arial"/>
          <w:color w:val="4C585A"/>
          <w:w w:val="102"/>
          <w:sz w:val="21"/>
          <w:szCs w:val="21"/>
          <w:lang w:val="ru-RU"/>
        </w:rPr>
        <w:t xml:space="preserve"> </w:t>
      </w:r>
    </w:p>
    <w:p w14:paraId="3D8E3039" w14:textId="77777777" w:rsidR="00181598" w:rsidRPr="00E436F5" w:rsidRDefault="00181598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</w:p>
    <w:p w14:paraId="12DCBE25" w14:textId="16A9E3D1" w:rsidR="00181598" w:rsidRPr="00E436F5" w:rsidRDefault="00E436F5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Прямое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участие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государственной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бюджетной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политике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бюджетном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процессе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установлено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качестве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права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</w:t>
      </w:r>
      <w:r w:rsidR="00181598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hyperlink r:id="rId7" w:history="1"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Общих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принципах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бюджетной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про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з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рачности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, 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участия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и</w:t>
        </w:r>
        <w:r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подотчётности</w:t>
        </w:r>
        <w:r w:rsidR="00325B4D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proofErr w:type="gramStart"/>
        <w:r w:rsidR="00325B4D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181598" w:rsidRPr="00E436F5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</w:hyperlink>
      <w:r w:rsidR="001B4247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,</w:t>
      </w:r>
      <w:proofErr w:type="gramEnd"/>
      <w:r w:rsidR="001B4247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провозглашённых </w:t>
      </w:r>
      <w:r w:rsidRPr="00E436F5">
        <w:rPr>
          <w:rFonts w:ascii="Arial" w:eastAsia="Cambria" w:hAnsi="Arial"/>
          <w:bCs/>
          <w:color w:val="4C585A"/>
          <w:sz w:val="21"/>
          <w:szCs w:val="21"/>
          <w:lang w:val="ru-RU"/>
        </w:rPr>
        <w:t>Глобальной инициативой за прозрачность бюджет</w:t>
      </w:r>
      <w:r>
        <w:rPr>
          <w:rFonts w:ascii="Arial" w:eastAsia="Cambria" w:hAnsi="Arial"/>
          <w:bCs/>
          <w:color w:val="4C585A"/>
          <w:sz w:val="21"/>
          <w:szCs w:val="21"/>
          <w:lang w:val="ru-RU"/>
        </w:rPr>
        <w:t>а</w:t>
      </w:r>
      <w:r w:rsidRPr="00495A6E"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  <w:t xml:space="preserve"> </w:t>
      </w:r>
      <w:r w:rsidR="00181598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(</w:t>
      </w:r>
      <w:r w:rsidR="00181598" w:rsidRPr="00260470">
        <w:rPr>
          <w:rFonts w:ascii="Arial" w:hAnsi="Arial"/>
          <w:color w:val="4C585A"/>
          <w:spacing w:val="2"/>
          <w:w w:val="102"/>
          <w:sz w:val="21"/>
          <w:szCs w:val="21"/>
        </w:rPr>
        <w:t>GIFT</w:t>
      </w:r>
      <w:r w:rsidR="00181598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).</w:t>
      </w:r>
      <w:r w:rsidR="00181598" w:rsidRPr="00260470">
        <w:rPr>
          <w:rStyle w:val="EndnoteReference"/>
          <w:rFonts w:ascii="Arial" w:hAnsi="Arial" w:cs="Arial"/>
          <w:color w:val="4C585A"/>
          <w:spacing w:val="2"/>
          <w:w w:val="102"/>
          <w:sz w:val="21"/>
          <w:szCs w:val="21"/>
        </w:rPr>
        <w:endnoteReference w:id="2"/>
      </w:r>
      <w:r w:rsidR="00181598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Принцип</w:t>
      </w:r>
      <w:r w:rsidR="00181598"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10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гласит: «Граждане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негосударственные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субъекты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должны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иметь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право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действительную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возможность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напрямую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участвовать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публичных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дебатах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дискуссиях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по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поводу</w:t>
      </w:r>
      <w:r w:rsidRPr="00E436F5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смысла и содержания бюджетной политики, а также её реализации.»</w:t>
      </w:r>
    </w:p>
    <w:p w14:paraId="39775733" w14:textId="77777777" w:rsidR="00181598" w:rsidRPr="00E436F5" w:rsidRDefault="0018159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32591D7D" w14:textId="0CA2188F" w:rsidR="00181598" w:rsidRPr="003C029A" w:rsidRDefault="00E436F5" w:rsidP="003C029A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Общие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принципы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181598" w:rsidRPr="00260470">
        <w:rPr>
          <w:rFonts w:ascii="Arial" w:hAnsi="Arial"/>
          <w:color w:val="4C585A"/>
          <w:spacing w:val="2"/>
          <w:w w:val="102"/>
          <w:sz w:val="21"/>
          <w:szCs w:val="21"/>
        </w:rPr>
        <w:t>GIFT</w:t>
      </w:r>
      <w:r w:rsidR="00181598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были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приняты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Генеральной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Ассамблеей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ООН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2012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году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(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Резолюция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ГА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ООН</w:t>
      </w:r>
      <w:r w:rsidR="00181598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67/218),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что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подтолкнуло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участвующие</w:t>
      </w:r>
      <w:r w:rsidR="003C029A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государства</w:t>
      </w:r>
      <w:r w:rsidR="003C029A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к</w:t>
      </w:r>
      <w:r w:rsidR="003C029A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«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наращиванию</w:t>
      </w:r>
      <w:r w:rsidR="003C029A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усилий по повышению прозрачности, участия и подотчётности в вопросах </w:t>
      </w:r>
      <w:r w:rsidR="00325B4D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налогово-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бюджетной политики, в том числе с учётом принципов, установленных 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</w:rPr>
        <w:t>GIFT</w:t>
      </w:r>
      <w:r w:rsid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»; а также стимулировало дискуссии, сотрудничество и обмен информацией между всеми заинтересованными сторонами в помощь государствам-участникам в целях наращивания потенциала и обмена опытом</w:t>
      </w:r>
      <w:r w:rsidR="00181598"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spacing w:val="2"/>
          <w:w w:val="102"/>
          <w:sz w:val="21"/>
          <w:szCs w:val="21"/>
        </w:rPr>
        <w:endnoteReference w:id="3"/>
      </w:r>
    </w:p>
    <w:p w14:paraId="1FCD15B6" w14:textId="77777777" w:rsidR="00181598" w:rsidRPr="003C029A" w:rsidRDefault="0018159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2D4634C3" w14:textId="10C347DD" w:rsidR="003C029A" w:rsidRPr="003C029A" w:rsidRDefault="003C029A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Открытые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инклюзивные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процессы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участия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Pr="003C029A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контрастируют с лоббированием частных интересов государственных чиновников. Открытые позволяют услышать мнения более широкого круга отдельных граждан и общественных движений, заинтересованных в той или иной бюджетной политике, или испытывающих её воздействие, или ожидающих испытать такое воздействие. Однако есть риск, что благодаря участию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может возрасти влияние и без того «особо приближённых» к правительству групп.  Поэтому надо очень продуманно подходить к организации участия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, чтобы обеспечить широкое представительство и возможность для очень разнообразных </w:t>
      </w:r>
      <w:r w:rsidR="00757152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групп населения высказать свои мнения и обеспечить баланс интересов.</w:t>
      </w:r>
    </w:p>
    <w:p w14:paraId="6FA08BCD" w14:textId="77777777" w:rsidR="00757152" w:rsidRPr="009B2132" w:rsidRDefault="00757152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74EC3134" w14:textId="667384A0" w:rsidR="00181598" w:rsidRPr="00757152" w:rsidRDefault="00757152" w:rsidP="00181598">
      <w:pPr>
        <w:pStyle w:val="NoSpacing"/>
        <w:rPr>
          <w:rFonts w:ascii="Arial" w:hAnsi="Arial"/>
          <w:color w:val="4C585A"/>
          <w:spacing w:val="3"/>
          <w:sz w:val="21"/>
          <w:szCs w:val="21"/>
          <w:lang w:val="ru-RU"/>
        </w:rPr>
      </w:pPr>
      <w:r>
        <w:rPr>
          <w:rFonts w:ascii="Arial" w:hAnsi="Arial"/>
          <w:color w:val="4C585A"/>
          <w:spacing w:val="3"/>
          <w:sz w:val="21"/>
          <w:szCs w:val="21"/>
          <w:lang w:val="ru-RU"/>
        </w:rPr>
        <w:t xml:space="preserve">Инновации в сфере информационно-коммуникационных технологий сделали общественное участие более технически доступным и лёгким за счёт резкого снижения затрат и времени на такое взаимодействие и диалог. Они также сделали возможным создание виртуальных площадок, где правительства, граждане и негосударственные структуры всё больше общаются по социальным, экологическим и экономическим проблемам и возможностям. Хотя участие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/>
          <w:color w:val="4C585A"/>
          <w:spacing w:val="3"/>
          <w:sz w:val="21"/>
          <w:szCs w:val="21"/>
          <w:lang w:val="ru-RU"/>
        </w:rPr>
        <w:t xml:space="preserve"> сопряжено с затратами и для официальных органов</w:t>
      </w:r>
      <w:r w:rsidR="009B2132">
        <w:rPr>
          <w:rFonts w:ascii="Arial" w:hAnsi="Arial"/>
          <w:color w:val="4C585A"/>
          <w:spacing w:val="3"/>
          <w:sz w:val="21"/>
          <w:szCs w:val="21"/>
          <w:lang w:val="ru-RU"/>
        </w:rPr>
        <w:t>,</w:t>
      </w:r>
      <w:r>
        <w:rPr>
          <w:rFonts w:ascii="Arial" w:hAnsi="Arial"/>
          <w:color w:val="4C585A"/>
          <w:spacing w:val="3"/>
          <w:sz w:val="21"/>
          <w:szCs w:val="21"/>
          <w:lang w:val="ru-RU"/>
        </w:rPr>
        <w:t xml:space="preserve"> и для гражданского общества, требуя обязательной настройки под конкретные нужды в каждом случае, прямое участие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/>
          <w:color w:val="4C585A"/>
          <w:spacing w:val="3"/>
          <w:sz w:val="21"/>
          <w:szCs w:val="21"/>
          <w:lang w:val="ru-RU"/>
        </w:rPr>
        <w:t xml:space="preserve"> становится всё более рентабельным средством разработки и реализации государственной политики</w:t>
      </w:r>
      <w:r w:rsidR="00181598" w:rsidRPr="00757152">
        <w:rPr>
          <w:rFonts w:ascii="Arial" w:hAnsi="Arial"/>
          <w:color w:val="4C585A"/>
          <w:w w:val="102"/>
          <w:sz w:val="21"/>
          <w:szCs w:val="21"/>
          <w:lang w:val="ru-RU"/>
        </w:rPr>
        <w:t xml:space="preserve">. </w:t>
      </w:r>
    </w:p>
    <w:p w14:paraId="242891CD" w14:textId="77777777" w:rsidR="00181598" w:rsidRPr="00757152" w:rsidRDefault="00181598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</w:p>
    <w:p w14:paraId="60454D8E" w14:textId="77777777" w:rsidR="00C54F02" w:rsidRPr="00757152" w:rsidRDefault="00C54F02" w:rsidP="00181598">
      <w:pPr>
        <w:pStyle w:val="NoSpacing"/>
        <w:rPr>
          <w:rFonts w:ascii="Arial" w:hAnsi="Arial"/>
          <w:b/>
          <w:color w:val="4C585A"/>
          <w:w w:val="105"/>
          <w:sz w:val="21"/>
          <w:szCs w:val="21"/>
          <w:lang w:val="ru-RU"/>
        </w:rPr>
      </w:pPr>
    </w:p>
    <w:p w14:paraId="436E2D54" w14:textId="46F00960" w:rsidR="00181598" w:rsidRPr="009B2132" w:rsidRDefault="00757152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Предпосылки</w:t>
      </w:r>
      <w:r w:rsidRPr="009B2132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для</w:t>
      </w:r>
      <w:r w:rsidRPr="009B2132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формирования</w:t>
      </w:r>
      <w:r w:rsidRPr="009B2132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принципов</w:t>
      </w:r>
      <w:r w:rsidRPr="009B2132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участия</w:t>
      </w:r>
      <w:r w:rsidRPr="009B2132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 w:rsidR="005F0281" w:rsidRPr="009B2132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</w:p>
    <w:p w14:paraId="74CDD0C5" w14:textId="77777777" w:rsidR="00181598" w:rsidRPr="009B2132" w:rsidRDefault="00181598" w:rsidP="00181598">
      <w:pPr>
        <w:pStyle w:val="NoSpacing"/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</w:pPr>
    </w:p>
    <w:p w14:paraId="16CF0CEE" w14:textId="150E3606" w:rsidR="00181598" w:rsidRPr="00325B4D" w:rsidRDefault="005F0281" w:rsidP="005F0281">
      <w:pPr>
        <w:pStyle w:val="NoSpacing"/>
        <w:rPr>
          <w:rFonts w:ascii="Arial" w:hAnsi="Arial"/>
          <w:color w:val="4C585A"/>
          <w:w w:val="105"/>
          <w:sz w:val="21"/>
          <w:szCs w:val="21"/>
          <w:lang w:val="ru-RU"/>
        </w:rPr>
      </w:pPr>
      <w:r>
        <w:rPr>
          <w:rFonts w:ascii="Arial" w:hAnsi="Arial"/>
          <w:color w:val="4C585A"/>
          <w:w w:val="105"/>
          <w:sz w:val="21"/>
          <w:szCs w:val="21"/>
          <w:lang w:val="ru-RU"/>
        </w:rPr>
        <w:t>С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принятием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общих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принципов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 w:rsidR="00181598" w:rsidRPr="00260470">
        <w:rPr>
          <w:rFonts w:ascii="Arial" w:hAnsi="Arial"/>
          <w:color w:val="4C585A"/>
          <w:w w:val="105"/>
          <w:sz w:val="21"/>
          <w:szCs w:val="21"/>
        </w:rPr>
        <w:t>GIFT</w:t>
      </w:r>
      <w:r w:rsidR="00181598"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стало</w:t>
      </w:r>
      <w:r w:rsidRPr="005F0281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очевидным</w:t>
      </w:r>
      <w:r w:rsidRPr="005F0281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,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что</w:t>
      </w:r>
      <w:r w:rsidRPr="005F0281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325B4D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 отношении</w:t>
      </w:r>
      <w:r w:rsidRPr="005F0281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Принцип</w:t>
      </w:r>
      <w:r w:rsidR="00325B4D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а</w:t>
      </w:r>
      <w:r w:rsidRPr="005F0281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10</w:t>
      </w:r>
      <w:r w:rsidR="00D07916"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не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хватает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рекомендаций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о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том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, </w:t>
      </w:r>
      <w:r w:rsidRPr="005F0281">
        <w:rPr>
          <w:rFonts w:ascii="Arial" w:hAnsi="Arial"/>
          <w:i/>
          <w:color w:val="4C585A"/>
          <w:w w:val="105"/>
          <w:sz w:val="21"/>
          <w:szCs w:val="21"/>
          <w:lang w:val="ru-RU"/>
        </w:rPr>
        <w:t>как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государственные органы должны взаимодействовать с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общественностью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в отношении распоряжения государственными ресурсами. Чтобы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закрыть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этот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вопрос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,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в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2012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году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в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 w:rsidR="00181598" w:rsidRPr="00260470">
        <w:rPr>
          <w:rFonts w:ascii="Arial" w:hAnsi="Arial"/>
          <w:color w:val="4C585A"/>
          <w:w w:val="105"/>
          <w:sz w:val="21"/>
          <w:szCs w:val="21"/>
        </w:rPr>
        <w:t>GIFT</w:t>
      </w:r>
      <w:r w:rsidR="00181598"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началась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серьёзная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многолетняя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программа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по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выработке</w:t>
      </w:r>
      <w:r w:rsidRPr="005F0281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знаний о том, какова практика в этом отношении в разных странах</w:t>
      </w:r>
      <w:r w:rsidR="00325B4D">
        <w:rPr>
          <w:rFonts w:ascii="Arial" w:hAnsi="Arial"/>
          <w:color w:val="4C585A"/>
          <w:w w:val="105"/>
          <w:sz w:val="21"/>
          <w:szCs w:val="21"/>
          <w:lang w:val="ru-RU"/>
        </w:rPr>
        <w:t>, и какие есть последние новаторские подходы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в привлечении граждан к этой теме. В ходе программы осуществлялись следующие мероприятия</w:t>
      </w:r>
      <w:r w:rsidR="00181598" w:rsidRPr="00325B4D">
        <w:rPr>
          <w:rFonts w:ascii="Arial" w:hAnsi="Arial"/>
          <w:color w:val="4C585A"/>
          <w:w w:val="105"/>
          <w:sz w:val="21"/>
          <w:szCs w:val="21"/>
          <w:lang w:val="ru-RU"/>
        </w:rPr>
        <w:t>:</w:t>
      </w:r>
    </w:p>
    <w:p w14:paraId="202FC793" w14:textId="77777777" w:rsidR="00181598" w:rsidRPr="00325B4D" w:rsidRDefault="00181598" w:rsidP="00181598">
      <w:pPr>
        <w:pStyle w:val="NoSpacing"/>
        <w:rPr>
          <w:rFonts w:ascii="Arial" w:hAnsi="Arial"/>
          <w:color w:val="4C585A"/>
          <w:w w:val="105"/>
          <w:sz w:val="21"/>
          <w:szCs w:val="21"/>
          <w:lang w:val="ru-RU"/>
        </w:rPr>
      </w:pPr>
    </w:p>
    <w:p w14:paraId="64082652" w14:textId="4D2199A2" w:rsidR="00181598" w:rsidRPr="00645475" w:rsidRDefault="005F0281" w:rsidP="00645475">
      <w:pPr>
        <w:pStyle w:val="NoSpacing"/>
        <w:numPr>
          <w:ilvl w:val="0"/>
          <w:numId w:val="21"/>
        </w:numPr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sz w:val="21"/>
          <w:szCs w:val="21"/>
          <w:lang w:val="ru-RU"/>
        </w:rPr>
        <w:t>Ряд</w:t>
      </w:r>
      <w:r w:rsidRPr="005F0281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 xml:space="preserve">семинаров по участию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/>
          <w:color w:val="4C585A"/>
          <w:sz w:val="21"/>
          <w:szCs w:val="21"/>
          <w:lang w:val="ru-RU"/>
        </w:rPr>
        <w:t xml:space="preserve"> в вопросах бюджетной политики и национальных бюджетных процессах</w:t>
      </w:r>
      <w:r w:rsidR="00181598" w:rsidRPr="005F0281">
        <w:rPr>
          <w:rFonts w:ascii="Arial" w:hAnsi="Arial"/>
          <w:color w:val="4C585A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sz w:val="21"/>
          <w:szCs w:val="21"/>
        </w:rPr>
        <w:endnoteReference w:id="4"/>
      </w:r>
      <w:r w:rsidR="00181598" w:rsidRPr="005F0281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 xml:space="preserve">В семинарах участвовали представители центрального аппарата министерства финансов, </w:t>
      </w:r>
      <w:r w:rsidR="000B2CFD">
        <w:rPr>
          <w:rFonts w:ascii="Arial" w:hAnsi="Arial"/>
          <w:color w:val="4C585A"/>
          <w:sz w:val="21"/>
          <w:szCs w:val="21"/>
          <w:lang w:val="ru-RU"/>
        </w:rPr>
        <w:t xml:space="preserve">других министерств, местных органов власти, членов законодательного собрания, а также других органов поддержки законодательной власти, представители контрольно-аудиторских органов, 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и широкий круг организаций гражданского общества (общественные движения, научные работники и т.д.) Некоторые</w:t>
      </w:r>
      <w:r w:rsidR="00645475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семинары</w:t>
      </w:r>
      <w:r w:rsidR="00645475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проводились</w:t>
      </w:r>
      <w:r w:rsidR="00645475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под</w:t>
      </w:r>
      <w:r w:rsidR="00645475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эгидой</w:t>
      </w:r>
      <w:r w:rsidR="00645475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45475" w:rsidRPr="00645475">
        <w:rPr>
          <w:rFonts w:ascii="Arial" w:hAnsi="Arial"/>
          <w:i/>
          <w:color w:val="E36C0A" w:themeColor="accent6" w:themeShade="BF"/>
          <w:sz w:val="21"/>
          <w:szCs w:val="21"/>
          <w:u w:val="single"/>
          <w:lang w:val="ru-RU"/>
        </w:rPr>
        <w:t>Рабочей группы бюджетной открытости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 xml:space="preserve"> Партнёрства</w:t>
      </w:r>
      <w:r w:rsidR="00645475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«</w:t>
      </w:r>
      <w:r w:rsidR="00181598" w:rsidRPr="005F0281">
        <w:rPr>
          <w:rFonts w:ascii="Arial" w:hAnsi="Arial"/>
          <w:color w:val="4C585A"/>
          <w:sz w:val="21"/>
          <w:szCs w:val="21"/>
        </w:rPr>
        <w:t>GIFT</w:t>
      </w:r>
      <w:r w:rsidR="00181598" w:rsidRPr="00645475">
        <w:rPr>
          <w:rFonts w:ascii="Arial" w:hAnsi="Arial"/>
          <w:color w:val="4C585A"/>
          <w:sz w:val="21"/>
          <w:szCs w:val="21"/>
          <w:lang w:val="ru-RU"/>
        </w:rPr>
        <w:t>-</w:t>
      </w:r>
      <w:r w:rsidR="00645475">
        <w:rPr>
          <w:rFonts w:ascii="Arial" w:hAnsi="Arial"/>
          <w:color w:val="4C585A"/>
          <w:sz w:val="21"/>
          <w:szCs w:val="21"/>
          <w:lang w:val="ru-RU"/>
        </w:rPr>
        <w:t>Открытое правительство»</w:t>
      </w:r>
      <w:r w:rsidR="00181598" w:rsidRPr="00645475">
        <w:rPr>
          <w:rFonts w:ascii="Arial" w:hAnsi="Arial"/>
          <w:color w:val="4C585A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sz w:val="21"/>
          <w:szCs w:val="21"/>
        </w:rPr>
        <w:endnoteReference w:id="5"/>
      </w:r>
    </w:p>
    <w:p w14:paraId="27B3026A" w14:textId="6D4F5304" w:rsidR="00181598" w:rsidRPr="00645475" w:rsidRDefault="00645475" w:rsidP="004B52E5">
      <w:pPr>
        <w:pStyle w:val="NoSpacing"/>
        <w:numPr>
          <w:ilvl w:val="0"/>
          <w:numId w:val="21"/>
        </w:numPr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sz w:val="21"/>
          <w:szCs w:val="21"/>
          <w:lang w:val="ru-RU"/>
        </w:rPr>
        <w:t>Выполнение</w:t>
      </w:r>
      <w:r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Pr="00CE6140">
        <w:rPr>
          <w:rFonts w:ascii="Arial" w:hAnsi="Arial"/>
          <w:color w:val="E36C0A" w:themeColor="accent6" w:themeShade="BF"/>
          <w:sz w:val="21"/>
          <w:szCs w:val="21"/>
          <w:u w:val="single"/>
          <w:lang w:val="ru-RU"/>
        </w:rPr>
        <w:t>исследований на тему участия населения в бюджетной политике на примере 8 стран</w:t>
      </w:r>
      <w:r w:rsidRPr="00CE6140">
        <w:rPr>
          <w:rFonts w:ascii="Arial" w:hAnsi="Arial"/>
          <w:color w:val="E36C0A" w:themeColor="accent6" w:themeShade="BF"/>
          <w:sz w:val="21"/>
          <w:szCs w:val="21"/>
          <w:lang w:val="ru-RU"/>
        </w:rPr>
        <w:t xml:space="preserve"> </w:t>
      </w:r>
      <w:r w:rsidR="00181598" w:rsidRPr="00645475">
        <w:rPr>
          <w:rFonts w:ascii="Arial" w:hAnsi="Arial"/>
          <w:color w:val="4C585A"/>
          <w:sz w:val="21"/>
          <w:szCs w:val="21"/>
          <w:lang w:val="ru-RU"/>
        </w:rPr>
        <w:t xml:space="preserve">– </w:t>
      </w:r>
      <w:r w:rsidR="00CE6140">
        <w:rPr>
          <w:rFonts w:ascii="Arial" w:hAnsi="Arial"/>
          <w:color w:val="4C585A"/>
          <w:sz w:val="21"/>
          <w:szCs w:val="21"/>
          <w:lang w:val="ru-RU"/>
        </w:rPr>
        <w:t>Бразилии, Канады, Хорватии, Кении, Мексики, Филиппин, ЮАР и Южной Кореи</w:t>
      </w:r>
      <w:r w:rsidR="00181598" w:rsidRPr="00645475">
        <w:rPr>
          <w:rFonts w:ascii="Arial" w:hAnsi="Arial"/>
          <w:color w:val="4C585A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sz w:val="21"/>
          <w:szCs w:val="21"/>
        </w:rPr>
        <w:endnoteReference w:id="6"/>
      </w:r>
      <w:r w:rsidR="00181598" w:rsidRPr="00645475">
        <w:rPr>
          <w:rFonts w:ascii="Arial" w:hAnsi="Arial"/>
          <w:color w:val="4C585A"/>
          <w:sz w:val="21"/>
          <w:szCs w:val="21"/>
          <w:lang w:val="ru-RU"/>
        </w:rPr>
        <w:t xml:space="preserve"> </w:t>
      </w:r>
    </w:p>
    <w:p w14:paraId="19706232" w14:textId="051A2082" w:rsidR="00181598" w:rsidRPr="00CE6140" w:rsidRDefault="00CE6140" w:rsidP="004B52E5">
      <w:pPr>
        <w:pStyle w:val="NoSpacing"/>
        <w:numPr>
          <w:ilvl w:val="0"/>
          <w:numId w:val="21"/>
        </w:numPr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sz w:val="21"/>
          <w:szCs w:val="21"/>
          <w:lang w:val="ru-RU"/>
        </w:rPr>
        <w:t>Обзор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существующей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литературы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в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этой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области</w:t>
      </w:r>
      <w:r w:rsidR="00181598" w:rsidRPr="00CE6140">
        <w:rPr>
          <w:rFonts w:ascii="Arial" w:hAnsi="Arial"/>
          <w:color w:val="4C585A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sz w:val="21"/>
          <w:szCs w:val="21"/>
        </w:rPr>
        <w:endnoteReference w:id="7"/>
      </w:r>
    </w:p>
    <w:p w14:paraId="0773C8CC" w14:textId="02325104" w:rsidR="00181598" w:rsidRPr="00CE6140" w:rsidRDefault="00CE6140" w:rsidP="004B52E5">
      <w:pPr>
        <w:pStyle w:val="NoSpacing"/>
        <w:numPr>
          <w:ilvl w:val="0"/>
          <w:numId w:val="21"/>
        </w:numPr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sz w:val="21"/>
          <w:szCs w:val="21"/>
          <w:lang w:val="ru-RU"/>
        </w:rPr>
        <w:t>Публичная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консультация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через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веб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>-</w:t>
      </w:r>
      <w:r>
        <w:rPr>
          <w:rFonts w:ascii="Arial" w:hAnsi="Arial"/>
          <w:color w:val="4C585A"/>
          <w:sz w:val="21"/>
          <w:szCs w:val="21"/>
          <w:lang w:val="ru-RU"/>
        </w:rPr>
        <w:t>страницу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по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проекту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«</w:t>
      </w:r>
      <w:r>
        <w:rPr>
          <w:rFonts w:ascii="Arial" w:hAnsi="Arial"/>
          <w:color w:val="4C585A"/>
          <w:sz w:val="21"/>
          <w:szCs w:val="21"/>
          <w:lang w:val="ru-RU"/>
        </w:rPr>
        <w:t>Принципов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участия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в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бюджетной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политике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» </w:t>
      </w:r>
      <w:r>
        <w:rPr>
          <w:rFonts w:ascii="Arial" w:hAnsi="Arial"/>
          <w:color w:val="4C585A"/>
          <w:sz w:val="21"/>
          <w:szCs w:val="21"/>
          <w:lang w:val="ru-RU"/>
        </w:rPr>
        <w:t>с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августа</w:t>
      </w:r>
      <w:r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z w:val="21"/>
          <w:szCs w:val="21"/>
          <w:lang w:val="ru-RU"/>
        </w:rPr>
        <w:t>по октябрь 2015 г</w:t>
      </w:r>
      <w:r w:rsidR="00181598" w:rsidRPr="00CE6140">
        <w:rPr>
          <w:rFonts w:ascii="Arial" w:hAnsi="Arial"/>
          <w:color w:val="4C585A"/>
          <w:sz w:val="21"/>
          <w:szCs w:val="21"/>
          <w:lang w:val="ru-RU"/>
        </w:rPr>
        <w:t>.</w:t>
      </w:r>
      <w:r w:rsidR="00181598" w:rsidRPr="00260470">
        <w:rPr>
          <w:rStyle w:val="EndnoteReference"/>
          <w:rFonts w:ascii="Arial" w:hAnsi="Arial" w:cs="Arial"/>
          <w:color w:val="4C585A"/>
          <w:sz w:val="21"/>
          <w:szCs w:val="21"/>
        </w:rPr>
        <w:endnoteReference w:id="8"/>
      </w:r>
      <w:r w:rsidR="00181598" w:rsidRPr="00CE614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</w:p>
    <w:p w14:paraId="7FEAE929" w14:textId="77777777" w:rsidR="00181598" w:rsidRPr="00CE6140" w:rsidRDefault="00181598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</w:p>
    <w:p w14:paraId="06573F32" w14:textId="356DDEB7" w:rsidR="005B12A2" w:rsidRPr="00CE6140" w:rsidRDefault="00CE6140" w:rsidP="005B12A2">
      <w:pPr>
        <w:rPr>
          <w:rFonts w:ascii="Arial" w:hAnsi="Arial" w:cs="Arial"/>
          <w:color w:val="4C585A"/>
          <w:sz w:val="21"/>
          <w:szCs w:val="21"/>
          <w:lang w:val="ru-RU"/>
        </w:rPr>
      </w:pPr>
      <w:r>
        <w:rPr>
          <w:rFonts w:ascii="Arial" w:hAnsi="Arial" w:cs="Arial"/>
          <w:color w:val="4C585A"/>
          <w:sz w:val="21"/>
          <w:szCs w:val="21"/>
          <w:lang w:val="ru-RU"/>
        </w:rPr>
        <w:t>В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рамках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 w:rsidR="005B12A2" w:rsidRPr="00260470">
        <w:rPr>
          <w:rFonts w:ascii="Arial" w:hAnsi="Arial" w:cs="Arial"/>
          <w:color w:val="4C585A"/>
          <w:sz w:val="21"/>
          <w:szCs w:val="21"/>
        </w:rPr>
        <w:t>GIFT</w:t>
      </w:r>
      <w:r w:rsidR="005B12A2"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также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подготовлена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 w:rsidRPr="00CE6140">
        <w:rPr>
          <w:rFonts w:ascii="Arial" w:hAnsi="Arial" w:cs="Arial"/>
          <w:color w:val="E36C0A" w:themeColor="accent6" w:themeShade="BF"/>
          <w:sz w:val="21"/>
          <w:szCs w:val="21"/>
          <w:u w:val="single"/>
          <w:lang w:val="ru-RU"/>
        </w:rPr>
        <w:t>инструкция для начинающих</w:t>
      </w:r>
      <w:r w:rsidR="005B12A2"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4C585A"/>
          <w:sz w:val="21"/>
          <w:szCs w:val="21"/>
          <w:lang w:val="ru-RU"/>
        </w:rPr>
        <w:t>представляющая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собой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пособие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для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тех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4C585A"/>
          <w:sz w:val="21"/>
          <w:szCs w:val="21"/>
          <w:lang w:val="ru-RU"/>
        </w:rPr>
        <w:t>кто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ищет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дополнительную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информацию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о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том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, </w:t>
      </w:r>
      <w:r>
        <w:rPr>
          <w:rFonts w:ascii="Arial" w:hAnsi="Arial" w:cs="Arial"/>
          <w:color w:val="4C585A"/>
          <w:sz w:val="21"/>
          <w:szCs w:val="21"/>
          <w:lang w:val="ru-RU"/>
        </w:rPr>
        <w:t>как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обеспечить</w:t>
      </w:r>
      <w:r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 xml:space="preserve">участие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 w:cs="Arial"/>
          <w:color w:val="4C585A"/>
          <w:sz w:val="21"/>
          <w:szCs w:val="21"/>
          <w:lang w:val="ru-RU"/>
        </w:rPr>
        <w:t xml:space="preserve"> в бюджетной политике и бюджетных циклах и почему это необходимо делать</w:t>
      </w:r>
      <w:r w:rsidR="005B12A2" w:rsidRPr="00CE6140">
        <w:rPr>
          <w:rFonts w:ascii="Arial" w:hAnsi="Arial" w:cs="Arial"/>
          <w:color w:val="4C585A"/>
          <w:sz w:val="21"/>
          <w:szCs w:val="21"/>
          <w:lang w:val="ru-RU"/>
        </w:rPr>
        <w:t xml:space="preserve">. </w:t>
      </w:r>
    </w:p>
    <w:p w14:paraId="54351B3A" w14:textId="77777777" w:rsidR="005B12A2" w:rsidRPr="00CE6140" w:rsidRDefault="005B12A2" w:rsidP="005B12A2">
      <w:pPr>
        <w:rPr>
          <w:rFonts w:ascii="Arial" w:hAnsi="Arial" w:cs="Arial"/>
          <w:color w:val="4C585A"/>
          <w:sz w:val="21"/>
          <w:szCs w:val="21"/>
          <w:lang w:val="ru-RU"/>
        </w:rPr>
      </w:pPr>
    </w:p>
    <w:p w14:paraId="71FFCCCB" w14:textId="24846042" w:rsidR="00181598" w:rsidRPr="009B2132" w:rsidRDefault="009B2132" w:rsidP="009B2132">
      <w:pPr>
        <w:pStyle w:val="NoSpacing"/>
        <w:rPr>
          <w:rFonts w:ascii="Arial" w:hAnsi="Arial"/>
          <w:color w:val="4C585A"/>
          <w:w w:val="105"/>
          <w:sz w:val="21"/>
          <w:szCs w:val="21"/>
          <w:lang w:val="ru-RU"/>
        </w:rPr>
      </w:pPr>
      <w:r>
        <w:rPr>
          <w:rFonts w:ascii="Arial" w:hAnsi="Arial"/>
          <w:color w:val="4C585A"/>
          <w:w w:val="105"/>
          <w:sz w:val="21"/>
          <w:szCs w:val="21"/>
          <w:lang w:val="ru-RU"/>
        </w:rPr>
        <w:t>Эта</w:t>
      </w:r>
      <w:r w:rsidRPr="009B2132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программа</w:t>
      </w:r>
      <w:r w:rsidRPr="009B2132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работы</w:t>
      </w:r>
      <w:r w:rsidRPr="009B2132"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обеспечила богатый источник информации о существующей практике и инновациях во многих странах в обеспечении участия </w:t>
      </w:r>
      <w:r w:rsidR="00DC638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 xml:space="preserve">, потому что именно на основе этой информации разрабатывались, дискутировались и дорабатывались принципы участия </w:t>
      </w:r>
      <w:r w:rsidR="00181598" w:rsidRPr="00260470">
        <w:rPr>
          <w:rFonts w:ascii="Arial" w:hAnsi="Arial"/>
          <w:color w:val="4C585A"/>
          <w:w w:val="105"/>
          <w:sz w:val="21"/>
          <w:szCs w:val="21"/>
        </w:rPr>
        <w:t>GIFT</w:t>
      </w:r>
      <w:r w:rsidR="00181598" w:rsidRPr="009B2132">
        <w:rPr>
          <w:rFonts w:ascii="Arial" w:hAnsi="Arial"/>
          <w:color w:val="4C585A"/>
          <w:w w:val="105"/>
          <w:sz w:val="21"/>
          <w:szCs w:val="21"/>
          <w:lang w:val="ru-RU"/>
        </w:rPr>
        <w:t>.</w:t>
      </w:r>
    </w:p>
    <w:p w14:paraId="601B32AD" w14:textId="77777777" w:rsidR="003A6CF4" w:rsidRPr="009B2132" w:rsidRDefault="003A6CF4" w:rsidP="00181598">
      <w:pPr>
        <w:pStyle w:val="NoSpacing"/>
        <w:rPr>
          <w:rFonts w:ascii="Arial" w:hAnsi="Arial"/>
          <w:color w:val="4C585A"/>
          <w:w w:val="105"/>
          <w:sz w:val="21"/>
          <w:szCs w:val="21"/>
          <w:lang w:val="ru-RU"/>
        </w:rPr>
      </w:pPr>
    </w:p>
    <w:p w14:paraId="6354830E" w14:textId="4DFDBDBA" w:rsidR="003A6CF4" w:rsidRPr="00EF3B7F" w:rsidRDefault="00683739" w:rsidP="00921064">
      <w:pPr>
        <w:rPr>
          <w:rFonts w:ascii="Arial" w:hAnsi="Arial" w:cs="Arial"/>
          <w:color w:val="4C585A"/>
          <w:sz w:val="21"/>
          <w:szCs w:val="21"/>
          <w:lang w:val="ru-RU"/>
        </w:rPr>
      </w:pPr>
      <w:r>
        <w:rPr>
          <w:rFonts w:ascii="Arial" w:hAnsi="Arial" w:cs="Arial"/>
          <w:color w:val="4C585A"/>
          <w:sz w:val="21"/>
          <w:szCs w:val="21"/>
          <w:lang w:val="ru-RU"/>
        </w:rPr>
        <w:t>В</w:t>
      </w:r>
      <w:r w:rsidRPr="00683739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целях</w:t>
      </w:r>
      <w:r w:rsidRPr="00683739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>повышения</w:t>
      </w:r>
      <w:r w:rsidRPr="00683739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 xml:space="preserve">роли этих принципов в продвижении изменений фактической практики в разных странах, </w:t>
      </w:r>
      <w:r>
        <w:rPr>
          <w:rFonts w:ascii="Arial" w:hAnsi="Arial" w:cs="Arial"/>
          <w:color w:val="4C585A"/>
          <w:sz w:val="21"/>
          <w:szCs w:val="21"/>
        </w:rPr>
        <w:t>GIFT</w:t>
      </w:r>
      <w:r w:rsidRPr="00683739">
        <w:rPr>
          <w:rFonts w:ascii="Arial" w:hAnsi="Arial" w:cs="Arial"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 w:cs="Arial"/>
          <w:color w:val="4C585A"/>
          <w:sz w:val="21"/>
          <w:szCs w:val="21"/>
          <w:lang w:val="ru-RU"/>
        </w:rPr>
        <w:t xml:space="preserve">также готовит </w:t>
      </w:r>
      <w:r w:rsidRPr="00EF3B7F">
        <w:rPr>
          <w:rFonts w:ascii="Arial" w:hAnsi="Arial" w:cs="Arial"/>
          <w:i/>
          <w:color w:val="4C585A"/>
          <w:sz w:val="21"/>
          <w:szCs w:val="21"/>
          <w:lang w:val="ru-RU"/>
        </w:rPr>
        <w:t>руководство по применению принципов в паре с практикой работы, что позволяет улучшить практику фискального участия в государственной политике</w:t>
      </w:r>
      <w:r>
        <w:rPr>
          <w:rFonts w:ascii="Arial" w:hAnsi="Arial" w:cs="Arial"/>
          <w:color w:val="4C585A"/>
          <w:sz w:val="21"/>
          <w:szCs w:val="21"/>
          <w:lang w:val="ru-RU"/>
        </w:rPr>
        <w:t xml:space="preserve">, </w:t>
      </w:r>
      <w:r w:rsidR="00EF3B7F">
        <w:rPr>
          <w:rFonts w:ascii="Arial" w:hAnsi="Arial" w:cs="Arial"/>
          <w:color w:val="4C585A"/>
          <w:sz w:val="21"/>
          <w:szCs w:val="21"/>
          <w:lang w:val="ru-RU"/>
        </w:rPr>
        <w:t xml:space="preserve">отталкиваясь от опыта других членов сети, взаимного обучения и мероприятий технико-консультативной помощи. Конечной целью этого руководства является поощрение правительств к принятию практики, способствующей повышению налогово-бюджетной прозрачности и участию </w:t>
      </w:r>
      <w:r w:rsidR="00325B4D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="00325B4D">
        <w:rPr>
          <w:rFonts w:ascii="Arial" w:hAnsi="Arial" w:cs="Arial"/>
          <w:color w:val="4C585A"/>
          <w:sz w:val="21"/>
          <w:szCs w:val="21"/>
          <w:lang w:val="ru-RU"/>
        </w:rPr>
        <w:t xml:space="preserve"> в рамках П</w:t>
      </w:r>
      <w:r w:rsidR="00EF3B7F">
        <w:rPr>
          <w:rFonts w:ascii="Arial" w:hAnsi="Arial" w:cs="Arial"/>
          <w:color w:val="4C585A"/>
          <w:sz w:val="21"/>
          <w:szCs w:val="21"/>
          <w:lang w:val="ru-RU"/>
        </w:rPr>
        <w:t>артнёрства открытого правительства, обеспечивая понятные и практические средства, инструкции всем органам власти, организациям гражданского общества и другим структурам механизмы прямого участия общественности</w:t>
      </w:r>
      <w:r w:rsidR="003A6CF4" w:rsidRPr="00EF3B7F">
        <w:rPr>
          <w:rFonts w:ascii="Arial" w:hAnsi="Arial" w:cs="Arial"/>
          <w:color w:val="4C585A"/>
          <w:sz w:val="21"/>
          <w:szCs w:val="21"/>
          <w:lang w:val="ru-RU"/>
        </w:rPr>
        <w:t>.</w:t>
      </w:r>
    </w:p>
    <w:p w14:paraId="57F10FAD" w14:textId="77777777" w:rsidR="00487C80" w:rsidRPr="00EF3B7F" w:rsidRDefault="00487C80" w:rsidP="00181598">
      <w:pPr>
        <w:pStyle w:val="NoSpacing"/>
        <w:rPr>
          <w:rFonts w:ascii="Arial" w:hAnsi="Arial"/>
          <w:color w:val="4C585A"/>
          <w:w w:val="105"/>
          <w:sz w:val="21"/>
          <w:szCs w:val="21"/>
          <w:lang w:val="ru-RU"/>
        </w:rPr>
      </w:pPr>
    </w:p>
    <w:p w14:paraId="6F0125C8" w14:textId="77777777" w:rsidR="00EC6AA9" w:rsidRPr="00EF3B7F" w:rsidRDefault="00EC6AA9" w:rsidP="00181598">
      <w:pPr>
        <w:pStyle w:val="NoSpacing"/>
        <w:rPr>
          <w:rFonts w:ascii="Arial" w:hAnsi="Arial"/>
          <w:color w:val="4C585A"/>
          <w:w w:val="105"/>
          <w:sz w:val="21"/>
          <w:szCs w:val="21"/>
          <w:lang w:val="ru-RU"/>
        </w:rPr>
      </w:pPr>
    </w:p>
    <w:p w14:paraId="776F7382" w14:textId="32EC658C" w:rsidR="00181598" w:rsidRPr="00EF3B7F" w:rsidRDefault="00EF3B7F" w:rsidP="00181598">
      <w:pPr>
        <w:pStyle w:val="NoSpacing"/>
        <w:rPr>
          <w:rFonts w:ascii="Arial" w:hAnsi="Arial"/>
          <w:b/>
          <w:bCs/>
          <w:color w:val="4C585A"/>
          <w:sz w:val="21"/>
          <w:szCs w:val="21"/>
          <w:lang w:val="ru-RU"/>
        </w:rPr>
      </w:pP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Масштаб</w:t>
      </w:r>
      <w:r w:rsidRPr="00EF3B7F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участия</w:t>
      </w:r>
      <w:r w:rsidRPr="00EF3B7F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общественности</w:t>
      </w:r>
      <w:r w:rsidRPr="00EF3B7F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в</w:t>
      </w:r>
      <w:r w:rsidRPr="00EF3B7F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налогово</w:t>
      </w:r>
      <w:r w:rsidRPr="00EF3B7F">
        <w:rPr>
          <w:rFonts w:ascii="Arial" w:hAnsi="Arial"/>
          <w:b/>
          <w:color w:val="4C585A"/>
          <w:w w:val="105"/>
          <w:sz w:val="21"/>
          <w:szCs w:val="21"/>
          <w:lang w:val="ru-RU"/>
        </w:rPr>
        <w:t>-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бюджетной</w:t>
      </w:r>
      <w:r w:rsidRPr="00EF3B7F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политике</w:t>
      </w:r>
    </w:p>
    <w:p w14:paraId="09AF473A" w14:textId="77777777" w:rsidR="00181598" w:rsidRPr="00EF3B7F" w:rsidRDefault="00181598" w:rsidP="00181598">
      <w:pPr>
        <w:pStyle w:val="NoSpacing"/>
        <w:rPr>
          <w:rFonts w:ascii="Arial" w:eastAsia="Cambria" w:hAnsi="Arial"/>
          <w:b/>
          <w:bCs/>
          <w:color w:val="4C585A"/>
          <w:sz w:val="21"/>
          <w:szCs w:val="21"/>
          <w:lang w:val="ru-RU"/>
        </w:rPr>
      </w:pPr>
    </w:p>
    <w:p w14:paraId="244C3F6F" w14:textId="5A80644F" w:rsidR="00181598" w:rsidRPr="00F14329" w:rsidRDefault="00F14329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w w:val="105"/>
          <w:sz w:val="21"/>
          <w:szCs w:val="21"/>
          <w:lang w:val="ru-RU"/>
        </w:rPr>
        <w:lastRenderedPageBreak/>
        <w:t>Прямое участие общественности в разработке и реализации налогово-бюджетной политики должно предусматриваться в четырёх основных областях</w:t>
      </w:r>
      <w:r w:rsidR="00181598" w:rsidRPr="00F14329">
        <w:rPr>
          <w:rFonts w:ascii="Arial" w:hAnsi="Arial"/>
          <w:color w:val="4C585A"/>
          <w:w w:val="105"/>
          <w:sz w:val="21"/>
          <w:szCs w:val="21"/>
          <w:lang w:val="ru-RU"/>
        </w:rPr>
        <w:t>:</w:t>
      </w:r>
    </w:p>
    <w:p w14:paraId="1C2A441E" w14:textId="77777777" w:rsidR="00181598" w:rsidRPr="00F14329" w:rsidRDefault="00181598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</w:p>
    <w:p w14:paraId="1C83EE9E" w14:textId="12759EC4" w:rsidR="00181598" w:rsidRPr="00F14329" w:rsidRDefault="00F14329" w:rsidP="00F14329">
      <w:pPr>
        <w:pStyle w:val="NoSpacing"/>
        <w:numPr>
          <w:ilvl w:val="0"/>
          <w:numId w:val="23"/>
        </w:numPr>
        <w:rPr>
          <w:rFonts w:ascii="Arial" w:eastAsia="Cambria" w:hAnsi="Arial"/>
          <w:color w:val="4C585A"/>
          <w:sz w:val="21"/>
          <w:szCs w:val="21"/>
          <w:lang w:val="ru-RU"/>
        </w:rPr>
      </w:pPr>
      <w:r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>В</w:t>
      </w:r>
      <w:r w:rsidRPr="00F14329"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>годовом</w:t>
      </w:r>
      <w:r w:rsidRPr="00F14329"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>бюджетном</w:t>
      </w:r>
      <w:r w:rsidRPr="00F14329"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 xml:space="preserve"> </w:t>
      </w:r>
      <w:r>
        <w:rPr>
          <w:rFonts w:ascii="Arial" w:eastAsia="Cambria" w:hAnsi="Arial"/>
          <w:b/>
          <w:bCs/>
          <w:color w:val="4C585A"/>
          <w:spacing w:val="1"/>
          <w:w w:val="102"/>
          <w:sz w:val="21"/>
          <w:szCs w:val="21"/>
          <w:lang w:val="ru-RU"/>
        </w:rPr>
        <w:t>цикле</w:t>
      </w:r>
      <w:r w:rsidR="00181598" w:rsidRPr="00F14329">
        <w:rPr>
          <w:rFonts w:ascii="Arial" w:eastAsia="Cambria" w:hAnsi="Arial"/>
          <w:b/>
          <w:bCs/>
          <w:color w:val="4C585A"/>
          <w:w w:val="102"/>
          <w:sz w:val="21"/>
          <w:szCs w:val="21"/>
          <w:lang w:val="ru-RU"/>
        </w:rPr>
        <w:t>:</w:t>
      </w:r>
      <w:r w:rsidR="00181598" w:rsidRPr="00F14329">
        <w:rPr>
          <w:rFonts w:ascii="Arial" w:eastAsia="Cambria" w:hAnsi="Arial"/>
          <w:b/>
          <w:bCs/>
          <w:color w:val="4C585A"/>
          <w:spacing w:val="2"/>
          <w:sz w:val="21"/>
          <w:szCs w:val="21"/>
          <w:lang w:val="ru-RU"/>
        </w:rPr>
        <w:t xml:space="preserve"> </w:t>
      </w:r>
      <w:r w:rsidRPr="00F14329">
        <w:rPr>
          <w:rFonts w:ascii="Arial" w:eastAsia="Cambria" w:hAnsi="Arial"/>
          <w:bCs/>
          <w:color w:val="4C585A"/>
          <w:spacing w:val="2"/>
          <w:sz w:val="21"/>
          <w:szCs w:val="21"/>
          <w:lang w:val="ru-RU"/>
        </w:rPr>
        <w:t>нач</w:t>
      </w:r>
      <w:r>
        <w:rPr>
          <w:rFonts w:ascii="Arial" w:eastAsia="Cambria" w:hAnsi="Arial"/>
          <w:bCs/>
          <w:color w:val="4C585A"/>
          <w:spacing w:val="2"/>
          <w:sz w:val="21"/>
          <w:szCs w:val="21"/>
          <w:lang w:val="ru-RU"/>
        </w:rPr>
        <w:t>иная с бюджетной стратегии и подготовки проекта годового бюджета органами исполнительной власти, до представления бюджета в законодательный орган и его утверждения, до реализации, отчётности в течение года по его исполнению и внесению в него поправок, до отчётности за год, аудита и анализа</w:t>
      </w:r>
      <w:r w:rsidR="00181598" w:rsidRPr="00F14329">
        <w:rPr>
          <w:rFonts w:ascii="Arial" w:eastAsia="Cambria" w:hAnsi="Arial"/>
          <w:color w:val="4C585A"/>
          <w:w w:val="102"/>
          <w:sz w:val="21"/>
          <w:szCs w:val="21"/>
          <w:lang w:val="ru-RU"/>
        </w:rPr>
        <w:t>.</w:t>
      </w:r>
    </w:p>
    <w:p w14:paraId="0C65F453" w14:textId="77777777" w:rsidR="00181598" w:rsidRPr="00F14329" w:rsidRDefault="00181598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</w:p>
    <w:p w14:paraId="71D33961" w14:textId="589DB298" w:rsidR="005F64AA" w:rsidRPr="005F64AA" w:rsidRDefault="005F64AA" w:rsidP="004B52E5">
      <w:pPr>
        <w:pStyle w:val="NoSpacing"/>
        <w:numPr>
          <w:ilvl w:val="0"/>
          <w:numId w:val="23"/>
        </w:numPr>
        <w:rPr>
          <w:rFonts w:ascii="Arial" w:eastAsia="Cambria" w:hAnsi="Arial"/>
          <w:color w:val="4C585A"/>
          <w:sz w:val="21"/>
          <w:szCs w:val="21"/>
          <w:lang w:val="ru-RU"/>
        </w:rPr>
      </w:pP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В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новых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подходах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и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инициативах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,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планах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,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анализе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и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проверках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доходов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,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расходов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,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финансирования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,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активов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и</w:t>
      </w: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lang w:val="ru-RU"/>
        </w:rPr>
        <w:t>пассивов</w:t>
      </w:r>
      <w:r w:rsidR="002B7D12"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>:</w:t>
      </w:r>
      <w:r w:rsidR="00181598"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 xml:space="preserve"> </w:t>
      </w:r>
      <w:r w:rsidRPr="005F64AA">
        <w:rPr>
          <w:rFonts w:ascii="Arial" w:hAnsi="Arial"/>
          <w:color w:val="4C585A"/>
          <w:w w:val="105"/>
          <w:sz w:val="21"/>
          <w:szCs w:val="21"/>
          <w:lang w:val="ru-RU"/>
        </w:rPr>
        <w:t>э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то те виды инициатив, где участие общественности предполагается независимо от годового бюджетного цикла, или в течение более длительного времени, чем подготовка годового бюджета.</w:t>
      </w:r>
    </w:p>
    <w:p w14:paraId="609DCF97" w14:textId="77777777" w:rsidR="005F64AA" w:rsidRPr="005F64AA" w:rsidRDefault="005F64AA" w:rsidP="005F64AA">
      <w:pPr>
        <w:pStyle w:val="ListParagraph"/>
        <w:rPr>
          <w:rFonts w:ascii="Arial" w:hAnsi="Arial"/>
          <w:color w:val="4C585A"/>
          <w:w w:val="105"/>
          <w:sz w:val="21"/>
          <w:szCs w:val="21"/>
          <w:lang w:val="ru-RU"/>
        </w:rPr>
      </w:pPr>
    </w:p>
    <w:p w14:paraId="3E5ACE39" w14:textId="309EEA38" w:rsidR="00181598" w:rsidRPr="005F64AA" w:rsidRDefault="005F64AA" w:rsidP="004B52E5">
      <w:pPr>
        <w:pStyle w:val="NoSpacing"/>
        <w:numPr>
          <w:ilvl w:val="0"/>
          <w:numId w:val="23"/>
        </w:numPr>
        <w:rPr>
          <w:rFonts w:ascii="Arial" w:eastAsia="Cambria" w:hAnsi="Arial"/>
          <w:color w:val="4C585A"/>
          <w:sz w:val="21"/>
          <w:szCs w:val="21"/>
          <w:lang w:val="ru-RU"/>
        </w:rPr>
      </w:pPr>
      <w:r w:rsidRPr="005F64AA">
        <w:rPr>
          <w:rFonts w:ascii="Arial" w:eastAsia="Cambria" w:hAnsi="Arial"/>
          <w:b/>
          <w:color w:val="4C585A"/>
          <w:sz w:val="21"/>
          <w:szCs w:val="21"/>
          <w:lang w:val="ru-RU"/>
        </w:rPr>
        <w:t>В разработке, производстве и предоставлении общественных товаров и услуг</w:t>
      </w:r>
      <w:r>
        <w:rPr>
          <w:rFonts w:ascii="Arial" w:eastAsia="Cambria" w:hAnsi="Arial"/>
          <w:color w:val="4C585A"/>
          <w:sz w:val="21"/>
          <w:szCs w:val="21"/>
          <w:lang w:val="ru-RU"/>
        </w:rPr>
        <w:t xml:space="preserve">: от планирования обслуживания и установления стандартов обслуживания, участие общественности может быть и на этапе оказания услуг, на этапе получения «обратной связи» от получателей таких услуг, могут быть механизмы независимого анализа, мониторинга и оценки. </w:t>
      </w:r>
    </w:p>
    <w:p w14:paraId="3CA631C8" w14:textId="57301B18" w:rsidR="00181598" w:rsidRPr="005F64AA" w:rsidRDefault="00181598" w:rsidP="00181598">
      <w:pPr>
        <w:pStyle w:val="NoSpacing"/>
        <w:rPr>
          <w:rFonts w:ascii="Arial" w:eastAsia="Cambria" w:hAnsi="Arial"/>
          <w:color w:val="4C585A"/>
          <w:sz w:val="21"/>
          <w:szCs w:val="21"/>
          <w:lang w:val="ru-RU"/>
        </w:rPr>
      </w:pPr>
    </w:p>
    <w:p w14:paraId="32AD189D" w14:textId="03F0792E" w:rsidR="00181598" w:rsidRPr="005F64AA" w:rsidRDefault="005F64AA" w:rsidP="005F64AA">
      <w:pPr>
        <w:pStyle w:val="NoSpacing"/>
        <w:numPr>
          <w:ilvl w:val="0"/>
          <w:numId w:val="23"/>
        </w:numPr>
        <w:rPr>
          <w:rFonts w:ascii="Arial" w:eastAsia="Cambria" w:hAnsi="Arial"/>
          <w:color w:val="4C585A"/>
          <w:sz w:val="21"/>
          <w:szCs w:val="21"/>
          <w:lang w:val="ru-RU"/>
        </w:rPr>
      </w:pPr>
      <w:r w:rsidRPr="005F64AA">
        <w:rPr>
          <w:rFonts w:ascii="Arial" w:hAnsi="Arial"/>
          <w:b/>
          <w:color w:val="4C585A"/>
          <w:w w:val="105"/>
          <w:sz w:val="21"/>
          <w:szCs w:val="21"/>
          <w:lang w:val="ru-RU"/>
        </w:rPr>
        <w:t>В планировании, оценке и реализации государственных инвестиционных проектов</w:t>
      </w:r>
      <w:r w:rsidR="00181598" w:rsidRPr="005F64AA">
        <w:rPr>
          <w:rFonts w:ascii="Arial" w:hAnsi="Arial"/>
          <w:color w:val="4C585A"/>
          <w:w w:val="105"/>
          <w:sz w:val="21"/>
          <w:szCs w:val="21"/>
          <w:lang w:val="ru-RU"/>
        </w:rPr>
        <w:t>:</w:t>
      </w:r>
      <w:r w:rsidR="00181598" w:rsidRPr="005F64AA">
        <w:rPr>
          <w:rFonts w:ascii="Arial" w:hAnsi="Arial"/>
          <w:color w:val="4C585A"/>
          <w:spacing w:val="-25"/>
          <w:w w:val="105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5"/>
          <w:sz w:val="21"/>
          <w:szCs w:val="21"/>
          <w:lang w:val="ru-RU"/>
        </w:rPr>
        <w:t>от общенационального и отраслевого планирования до подготовки проектов, их экспертизы и отбора, до реализации, аудита и анализа</w:t>
      </w:r>
      <w:r w:rsidR="00181598" w:rsidRPr="005F64AA">
        <w:rPr>
          <w:rFonts w:ascii="Arial" w:hAnsi="Arial"/>
          <w:color w:val="4C585A"/>
          <w:w w:val="105"/>
          <w:sz w:val="21"/>
          <w:szCs w:val="21"/>
          <w:lang w:val="ru-RU"/>
        </w:rPr>
        <w:t>.</w:t>
      </w:r>
    </w:p>
    <w:p w14:paraId="359600D3" w14:textId="77777777" w:rsidR="00181598" w:rsidRPr="005F64AA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56AA648F" w14:textId="51A823DC" w:rsidR="00181598" w:rsidRPr="00606E13" w:rsidRDefault="0086478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 w:rsidRPr="00864788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Принцип</w:t>
      </w:r>
      <w:r w:rsidRPr="00864788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ы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общественного участия в бюджетной политике должны применяться во всех органах государственной власти, т.е. исполнитель</w:t>
      </w:r>
      <w:r w:rsidR="00325B4D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ных органах на всех уровнях государственного у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правления, а также и в более широком смысле – в законодательных и высших контрольных органах.  Он</w:t>
      </w:r>
      <w:r w:rsidR="00725B92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и представляют </w:t>
      </w:r>
      <w:r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собой набор взаимозависимых правил, применимых в условиях любой страны, хотя конкретные институциональные особенности, процессы, программы участия общественности могут отражать специфику каждой страны. Подход состоит в том, чтобы официальные органы поощряли </w:t>
      </w:r>
      <w:r w:rsidR="00606E13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и облегчали </w:t>
      </w:r>
      <w:r w:rsidR="00DD5898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открытое, ответственное и конструктивное привлечение негосударственных организаций, гражданского общества, бизнес-ассоциаций, отдельных граждан и широких слоёв населения к формированию государственной фискальной политики и </w:t>
      </w:r>
      <w:r w:rsidR="00606E13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бюджета</w:t>
      </w:r>
      <w:r w:rsidR="00181598" w:rsidRPr="00606E13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.</w:t>
      </w:r>
    </w:p>
    <w:p w14:paraId="61E0ADD8" w14:textId="77777777" w:rsidR="00181598" w:rsidRPr="00606E13" w:rsidRDefault="0018159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27199E9C" w14:textId="77777777" w:rsidR="00B934E9" w:rsidRPr="00606E13" w:rsidRDefault="00B934E9" w:rsidP="00487C80">
      <w:pPr>
        <w:pStyle w:val="NoSpacing"/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</w:pPr>
    </w:p>
    <w:p w14:paraId="037A26E4" w14:textId="4E148A0A" w:rsidR="00181598" w:rsidRPr="008A54F1" w:rsidRDefault="008A54F1" w:rsidP="00487C80">
      <w:pPr>
        <w:pStyle w:val="NoSpacing"/>
        <w:rPr>
          <w:rFonts w:ascii="Arial" w:hAnsi="Arial"/>
          <w:b/>
          <w:bCs/>
          <w:color w:val="4C585A"/>
          <w:sz w:val="21"/>
          <w:szCs w:val="21"/>
          <w:u w:val="single"/>
          <w:lang w:val="ru-RU"/>
        </w:rPr>
      </w:pP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>ПРИНЦИПЫ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 w:rsidRPr="00260470">
        <w:rPr>
          <w:rFonts w:ascii="Arial" w:hAnsi="Arial"/>
          <w:b/>
          <w:color w:val="4C585A"/>
          <w:w w:val="105"/>
          <w:sz w:val="21"/>
          <w:szCs w:val="21"/>
          <w:u w:val="single"/>
        </w:rPr>
        <w:t>GIFT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>В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>ОТНОШЕНИИ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>УЧАСТИЯ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>ОБЩЕСТВЕННОСТИ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>В</w:t>
      </w:r>
      <w:r w:rsidRPr="008A54F1"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 </w:t>
      </w:r>
      <w:r>
        <w:rPr>
          <w:rFonts w:ascii="Arial" w:hAnsi="Arial"/>
          <w:b/>
          <w:color w:val="4C585A"/>
          <w:w w:val="105"/>
          <w:sz w:val="21"/>
          <w:szCs w:val="21"/>
          <w:u w:val="single"/>
          <w:lang w:val="ru-RU"/>
        </w:rPr>
        <w:t xml:space="preserve">ФИСКАЛЬНОЙ (НАЛОГОВО-БЮДЖЕТНОЙ) ПОЛИТИКЕ </w:t>
      </w:r>
    </w:p>
    <w:p w14:paraId="339B976A" w14:textId="77777777" w:rsidR="00181598" w:rsidRPr="008A54F1" w:rsidRDefault="00181598" w:rsidP="00487C80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730C848A" w14:textId="52E61DA0" w:rsidR="00181598" w:rsidRPr="008A54F1" w:rsidRDefault="008A54F1" w:rsidP="00487C80">
      <w:pPr>
        <w:pStyle w:val="NoSpacing"/>
        <w:rPr>
          <w:rFonts w:ascii="Arial" w:hAnsi="Arial"/>
          <w:color w:val="4C585A"/>
          <w:w w:val="102"/>
          <w:sz w:val="21"/>
          <w:szCs w:val="21"/>
          <w:lang w:val="ru-RU"/>
        </w:rPr>
      </w:pPr>
      <w:r>
        <w:rPr>
          <w:rFonts w:ascii="Arial" w:hAnsi="Arial"/>
          <w:b/>
          <w:color w:val="4C585A"/>
          <w:w w:val="102"/>
          <w:sz w:val="21"/>
          <w:szCs w:val="21"/>
          <w:lang w:val="ru-RU"/>
        </w:rPr>
        <w:t>ПРЕАМБУЛА</w:t>
      </w:r>
    </w:p>
    <w:p w14:paraId="424591DA" w14:textId="77777777" w:rsidR="00181598" w:rsidRPr="00725B92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01F92B72" w14:textId="4E5F19F7" w:rsidR="00181598" w:rsidRPr="00725B92" w:rsidRDefault="00725B92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>
        <w:rPr>
          <w:rFonts w:ascii="Arial" w:hAnsi="Arial"/>
          <w:color w:val="4C585A"/>
          <w:sz w:val="21"/>
          <w:szCs w:val="21"/>
          <w:lang w:val="ru-RU"/>
        </w:rPr>
        <w:t>Стороны, разделяющие эти Принципы</w:t>
      </w:r>
      <w:r w:rsidR="00181598" w:rsidRPr="00725B92">
        <w:rPr>
          <w:rFonts w:ascii="Arial" w:hAnsi="Arial"/>
          <w:color w:val="4C585A"/>
          <w:sz w:val="21"/>
          <w:szCs w:val="21"/>
          <w:lang w:val="ru-RU"/>
        </w:rPr>
        <w:t>,</w:t>
      </w:r>
    </w:p>
    <w:p w14:paraId="4F046052" w14:textId="77777777" w:rsidR="00181598" w:rsidRPr="00725B92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75F01490" w14:textId="2028B9AA" w:rsidR="00181598" w:rsidRPr="00725B92" w:rsidRDefault="00936DF7" w:rsidP="00725B92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725B92">
        <w:rPr>
          <w:rFonts w:ascii="Arial" w:hAnsi="Arial"/>
          <w:color w:val="4C585A"/>
          <w:sz w:val="21"/>
          <w:szCs w:val="21"/>
          <w:lang w:val="ru-RU"/>
        </w:rPr>
        <w:t>-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Устанавливают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участие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общественности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относится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к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разнообразию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способов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которыми</w:t>
      </w:r>
      <w:r w:rsidR="00725B92" w:rsidRPr="00725B92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>население в целом, в том числе общественные движения и другие негосударственные структуры получают приглашения и создают площадки для прямого общения с государственными органами, вступая в непосредственный диалог, рассуждения или в процесс принятия решений, или с помощью письменных форм связи через электронные или бумажные средства информации</w:t>
      </w:r>
      <w:r w:rsidR="00056EB9" w:rsidRPr="00725B92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1651C2F0" w14:textId="77777777" w:rsidR="00181598" w:rsidRPr="00725B92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59B036F2" w14:textId="24FFC362" w:rsidR="00181598" w:rsidRPr="004E676C" w:rsidRDefault="00936DF7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725B92">
        <w:rPr>
          <w:rFonts w:ascii="Arial" w:hAnsi="Arial"/>
          <w:color w:val="4C585A"/>
          <w:sz w:val="21"/>
          <w:szCs w:val="21"/>
          <w:lang w:val="ru-RU"/>
        </w:rPr>
        <w:lastRenderedPageBreak/>
        <w:t>-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 xml:space="preserve">Признают, что участие общественности является важнейшим элементом открытого правительства, сильного управления, и краеугольным камнем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экосистемы</w:t>
      </w:r>
      <w:r w:rsidR="00725B92">
        <w:rPr>
          <w:rFonts w:ascii="Arial" w:hAnsi="Arial"/>
          <w:color w:val="4C585A"/>
          <w:sz w:val="21"/>
          <w:szCs w:val="21"/>
          <w:lang w:val="ru-RU"/>
        </w:rPr>
        <w:t xml:space="preserve"> финансово-бюджетной подотчётности.</w:t>
      </w:r>
    </w:p>
    <w:p w14:paraId="5838BFDF" w14:textId="77777777" w:rsidR="00181598" w:rsidRPr="004E676C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1425C5AD" w14:textId="1BCAFC18" w:rsidR="00181598" w:rsidRPr="004E676C" w:rsidRDefault="00936DF7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 w:rsidRPr="004E676C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-</w:t>
      </w:r>
      <w:r w:rsidR="004E676C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Признают, что мир отмечает рост понимания важности участия общественности, наблюдаемый за последние 25 лет, признавая, что население, в части отдельных граждан и общественных групп, является важным фактором надлежащего управления и устойчивого развития наряду с государством и рынком</w:t>
      </w:r>
      <w:r w:rsidR="00056EB9" w:rsidRPr="004E676C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.</w:t>
      </w:r>
    </w:p>
    <w:p w14:paraId="081D3466" w14:textId="77777777" w:rsidR="00181598" w:rsidRPr="004E676C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636FE985" w14:textId="2CDBA337" w:rsidR="00181598" w:rsidRPr="004E676C" w:rsidRDefault="00936DF7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4E676C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прямое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участие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общественности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в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налогово-бюджетной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политике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правительства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и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бюджетном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процессе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прописано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в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качестве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гражданского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права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в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hyperlink r:id="rId8" w:history="1"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Общих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принципах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бюджетно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-</w:t>
        </w:r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налоговой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прозрачности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, </w:t>
        </w:r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участия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и</w:t>
        </w:r>
        <w:r w:rsidR="004E676C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proofErr w:type="gramStart"/>
        <w:r w:rsid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подотчётности</w:t>
        </w:r>
        <w:r w:rsidR="00181598" w:rsidRPr="004E676C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</w:hyperlink>
      <w:r w:rsidR="00181598" w:rsidRPr="004E676C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,</w:t>
      </w:r>
      <w:proofErr w:type="gramEnd"/>
      <w:r w:rsidR="004E676C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продвигаемых Глобальной инициативой за фискальную прозрачность.</w:t>
      </w:r>
      <w:r w:rsidR="00056EB9" w:rsidRPr="004E676C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575E838F" w14:textId="77777777" w:rsidR="00181598" w:rsidRPr="004E676C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5FE9E288" w14:textId="11963FAD" w:rsidR="00181598" w:rsidRPr="004E676C" w:rsidRDefault="00936DF7" w:rsidP="004E676C">
      <w:pPr>
        <w:pStyle w:val="NoSpacing"/>
        <w:rPr>
          <w:rFonts w:ascii="Arial" w:hAnsi="Arial"/>
          <w:color w:val="4C585A"/>
          <w:w w:val="102"/>
          <w:sz w:val="21"/>
          <w:szCs w:val="21"/>
          <w:lang w:val="ru-RU"/>
        </w:rPr>
      </w:pPr>
      <w:r w:rsidRPr="004E676C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Верят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4E676C" w:rsidRPr="004E676C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участие общественности в налогово-бюджетной политике может усилить и поднять уровень работы финансовой системы и её результаты за счёт повышения</w:t>
      </w:r>
      <w:r w:rsidR="00A5095B" w:rsidRPr="004E676C">
        <w:rPr>
          <w:rFonts w:ascii="Arial" w:hAnsi="Arial"/>
          <w:color w:val="4C585A"/>
          <w:w w:val="102"/>
          <w:sz w:val="21"/>
          <w:szCs w:val="21"/>
          <w:lang w:val="ru-RU"/>
        </w:rPr>
        <w:t>:</w:t>
      </w:r>
    </w:p>
    <w:p w14:paraId="2AA47697" w14:textId="77777777" w:rsidR="00181598" w:rsidRPr="004E676C" w:rsidRDefault="00181598" w:rsidP="00181598">
      <w:pPr>
        <w:pStyle w:val="NoSpacing"/>
        <w:rPr>
          <w:rFonts w:ascii="Arial" w:hAnsi="Arial"/>
          <w:color w:val="4C585A"/>
          <w:w w:val="102"/>
          <w:sz w:val="21"/>
          <w:szCs w:val="21"/>
          <w:lang w:val="ru-RU"/>
        </w:rPr>
      </w:pPr>
    </w:p>
    <w:p w14:paraId="02664A03" w14:textId="02D34058" w:rsidR="00181598" w:rsidRPr="00260470" w:rsidRDefault="004E676C" w:rsidP="004B52E5">
      <w:pPr>
        <w:pStyle w:val="NoSpacing"/>
        <w:numPr>
          <w:ilvl w:val="0"/>
          <w:numId w:val="22"/>
        </w:numPr>
        <w:rPr>
          <w:rFonts w:ascii="Arial" w:hAnsi="Arial"/>
          <w:color w:val="4C585A"/>
          <w:w w:val="102"/>
          <w:sz w:val="21"/>
          <w:szCs w:val="21"/>
        </w:rPr>
      </w:pPr>
      <w:r>
        <w:rPr>
          <w:rFonts w:ascii="Arial" w:hAnsi="Arial"/>
          <w:color w:val="4C585A"/>
          <w:w w:val="102"/>
          <w:sz w:val="21"/>
          <w:szCs w:val="21"/>
          <w:lang w:val="ru-RU"/>
        </w:rPr>
        <w:t>эффективности</w:t>
      </w:r>
      <w:r w:rsidR="00181598" w:rsidRPr="00260470" w:rsidDel="003B798F">
        <w:rPr>
          <w:rFonts w:ascii="Arial" w:hAnsi="Arial"/>
          <w:color w:val="4C585A"/>
          <w:w w:val="102"/>
          <w:sz w:val="21"/>
          <w:szCs w:val="21"/>
        </w:rPr>
        <w:t xml:space="preserve">, </w:t>
      </w:r>
    </w:p>
    <w:p w14:paraId="29320FAF" w14:textId="7EBE16E2" w:rsidR="00181598" w:rsidRPr="00260470" w:rsidRDefault="004E676C" w:rsidP="004B52E5">
      <w:pPr>
        <w:pStyle w:val="NoSpacing"/>
        <w:numPr>
          <w:ilvl w:val="0"/>
          <w:numId w:val="22"/>
        </w:numPr>
        <w:rPr>
          <w:rFonts w:ascii="Arial" w:hAnsi="Arial"/>
          <w:color w:val="4C585A"/>
          <w:w w:val="102"/>
          <w:sz w:val="21"/>
          <w:szCs w:val="21"/>
        </w:rPr>
      </w:pPr>
      <w:r>
        <w:rPr>
          <w:rFonts w:ascii="Arial" w:hAnsi="Arial"/>
          <w:color w:val="4C585A"/>
          <w:w w:val="102"/>
          <w:sz w:val="21"/>
          <w:szCs w:val="21"/>
          <w:lang w:val="ru-RU"/>
        </w:rPr>
        <w:t>справедливости</w:t>
      </w:r>
      <w:r w:rsidR="00181598" w:rsidRPr="00260470">
        <w:rPr>
          <w:rFonts w:ascii="Arial" w:hAnsi="Arial"/>
          <w:color w:val="4C585A"/>
          <w:w w:val="102"/>
          <w:sz w:val="21"/>
          <w:szCs w:val="21"/>
        </w:rPr>
        <w:t xml:space="preserve">, </w:t>
      </w:r>
    </w:p>
    <w:p w14:paraId="00908811" w14:textId="40E513DF" w:rsidR="00181598" w:rsidRPr="00260470" w:rsidRDefault="004E676C" w:rsidP="004B52E5">
      <w:pPr>
        <w:pStyle w:val="NoSpacing"/>
        <w:numPr>
          <w:ilvl w:val="0"/>
          <w:numId w:val="22"/>
        </w:numPr>
        <w:rPr>
          <w:rFonts w:ascii="Arial" w:hAnsi="Arial"/>
          <w:color w:val="4C585A"/>
          <w:w w:val="102"/>
          <w:sz w:val="21"/>
          <w:szCs w:val="21"/>
        </w:rPr>
      </w:pPr>
      <w:r>
        <w:rPr>
          <w:rFonts w:ascii="Arial" w:hAnsi="Arial"/>
          <w:color w:val="4C585A"/>
          <w:w w:val="102"/>
          <w:sz w:val="21"/>
          <w:szCs w:val="21"/>
          <w:lang w:val="ru-RU"/>
        </w:rPr>
        <w:t>результативности</w:t>
      </w:r>
      <w:r w:rsidR="00181598" w:rsidRPr="00260470">
        <w:rPr>
          <w:rFonts w:ascii="Arial" w:hAnsi="Arial"/>
          <w:color w:val="4C585A"/>
          <w:w w:val="102"/>
          <w:sz w:val="21"/>
          <w:szCs w:val="21"/>
        </w:rPr>
        <w:t xml:space="preserve">, </w:t>
      </w:r>
    </w:p>
    <w:p w14:paraId="43C0B656" w14:textId="78BD1EBA" w:rsidR="00181598" w:rsidRPr="00260470" w:rsidRDefault="004E676C" w:rsidP="004B52E5">
      <w:pPr>
        <w:pStyle w:val="NoSpacing"/>
        <w:numPr>
          <w:ilvl w:val="0"/>
          <w:numId w:val="22"/>
        </w:numPr>
        <w:rPr>
          <w:rFonts w:ascii="Arial" w:hAnsi="Arial"/>
          <w:color w:val="4C585A"/>
          <w:w w:val="102"/>
          <w:sz w:val="21"/>
          <w:szCs w:val="21"/>
        </w:rPr>
      </w:pPr>
      <w:r>
        <w:rPr>
          <w:rFonts w:ascii="Arial" w:hAnsi="Arial"/>
          <w:color w:val="4C585A"/>
          <w:w w:val="102"/>
          <w:sz w:val="21"/>
          <w:szCs w:val="21"/>
          <w:lang w:val="ru-RU"/>
        </w:rPr>
        <w:t>предсказуемости</w:t>
      </w:r>
      <w:r w:rsidR="00181598" w:rsidRPr="00260470">
        <w:rPr>
          <w:rFonts w:ascii="Arial" w:hAnsi="Arial"/>
          <w:color w:val="4C585A"/>
          <w:w w:val="102"/>
          <w:sz w:val="21"/>
          <w:szCs w:val="21"/>
        </w:rPr>
        <w:t xml:space="preserve">, </w:t>
      </w:r>
    </w:p>
    <w:p w14:paraId="531FE9FE" w14:textId="2D24A367" w:rsidR="00181598" w:rsidRPr="00260470" w:rsidRDefault="004E676C" w:rsidP="004B52E5">
      <w:pPr>
        <w:pStyle w:val="NoSpacing"/>
        <w:numPr>
          <w:ilvl w:val="0"/>
          <w:numId w:val="22"/>
        </w:numPr>
        <w:rPr>
          <w:rFonts w:ascii="Arial" w:hAnsi="Arial"/>
          <w:color w:val="4C585A"/>
          <w:w w:val="102"/>
          <w:sz w:val="21"/>
          <w:szCs w:val="21"/>
        </w:rPr>
      </w:pPr>
      <w:r>
        <w:rPr>
          <w:rFonts w:ascii="Arial" w:hAnsi="Arial"/>
          <w:color w:val="4C585A"/>
          <w:w w:val="102"/>
          <w:sz w:val="21"/>
          <w:szCs w:val="21"/>
          <w:lang w:val="ru-RU"/>
        </w:rPr>
        <w:t xml:space="preserve">правомерности, и </w:t>
      </w:r>
      <w:r w:rsidR="00181598" w:rsidRPr="00260470" w:rsidDel="003B798F">
        <w:rPr>
          <w:rFonts w:ascii="Arial" w:hAnsi="Arial"/>
          <w:color w:val="4C585A"/>
          <w:w w:val="102"/>
          <w:sz w:val="21"/>
          <w:szCs w:val="21"/>
        </w:rPr>
        <w:t xml:space="preserve"> </w:t>
      </w:r>
    </w:p>
    <w:p w14:paraId="0A609808" w14:textId="32EB6657" w:rsidR="00181598" w:rsidRPr="004E676C" w:rsidRDefault="004E676C" w:rsidP="004B52E5">
      <w:pPr>
        <w:pStyle w:val="NoSpacing"/>
        <w:numPr>
          <w:ilvl w:val="0"/>
          <w:numId w:val="22"/>
        </w:numPr>
        <w:rPr>
          <w:rFonts w:ascii="Arial" w:hAnsi="Arial"/>
          <w:color w:val="4C585A"/>
          <w:w w:val="102"/>
          <w:sz w:val="21"/>
          <w:szCs w:val="21"/>
          <w:lang w:val="ru-RU"/>
        </w:rPr>
      </w:pPr>
      <w:r>
        <w:rPr>
          <w:rFonts w:ascii="Arial" w:hAnsi="Arial"/>
          <w:color w:val="4C585A"/>
          <w:w w:val="102"/>
          <w:sz w:val="21"/>
          <w:szCs w:val="21"/>
          <w:lang w:val="ru-RU"/>
        </w:rPr>
        <w:t>устойчивости</w:t>
      </w:r>
      <w:r w:rsidRPr="004E676C">
        <w:rPr>
          <w:rFonts w:ascii="Arial" w:hAnsi="Arial"/>
          <w:color w:val="4C585A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2"/>
          <w:sz w:val="21"/>
          <w:szCs w:val="21"/>
          <w:lang w:val="ru-RU"/>
        </w:rPr>
        <w:t>процессов</w:t>
      </w:r>
      <w:r w:rsidRPr="004E676C">
        <w:rPr>
          <w:rFonts w:ascii="Arial" w:hAnsi="Arial"/>
          <w:color w:val="4C585A"/>
          <w:w w:val="102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w w:val="102"/>
          <w:sz w:val="21"/>
          <w:szCs w:val="21"/>
          <w:lang w:val="ru-RU"/>
        </w:rPr>
        <w:t>налогово</w:t>
      </w:r>
      <w:r w:rsidRPr="004E676C">
        <w:rPr>
          <w:rFonts w:ascii="Arial" w:hAnsi="Arial"/>
          <w:color w:val="4C585A"/>
          <w:w w:val="102"/>
          <w:sz w:val="21"/>
          <w:szCs w:val="21"/>
          <w:lang w:val="ru-RU"/>
        </w:rPr>
        <w:t>-</w:t>
      </w:r>
      <w:r>
        <w:rPr>
          <w:rFonts w:ascii="Arial" w:hAnsi="Arial"/>
          <w:color w:val="4C585A"/>
          <w:w w:val="102"/>
          <w:sz w:val="21"/>
          <w:szCs w:val="21"/>
          <w:lang w:val="ru-RU"/>
        </w:rPr>
        <w:t>бюджетного управления</w:t>
      </w:r>
      <w:r w:rsidR="00A5095B" w:rsidRPr="004E676C">
        <w:rPr>
          <w:rFonts w:ascii="Arial" w:hAnsi="Arial"/>
          <w:color w:val="4C585A"/>
          <w:w w:val="102"/>
          <w:sz w:val="21"/>
          <w:szCs w:val="21"/>
          <w:lang w:val="ru-RU"/>
        </w:rPr>
        <w:t>.</w:t>
      </w:r>
    </w:p>
    <w:p w14:paraId="36B52DD1" w14:textId="54AD75F0" w:rsidR="00181598" w:rsidRPr="004E676C" w:rsidRDefault="00181598" w:rsidP="00921064">
      <w:pPr>
        <w:pStyle w:val="NoSpacing"/>
        <w:ind w:left="360"/>
        <w:rPr>
          <w:rFonts w:ascii="Arial" w:hAnsi="Arial"/>
          <w:color w:val="4C585A"/>
          <w:w w:val="102"/>
          <w:sz w:val="21"/>
          <w:szCs w:val="21"/>
          <w:lang w:val="ru-RU"/>
        </w:rPr>
      </w:pPr>
    </w:p>
    <w:p w14:paraId="5FAB8CA1" w14:textId="77777777" w:rsidR="00181598" w:rsidRPr="004E676C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31A1ED49" w14:textId="765C2EA4" w:rsidR="00181598" w:rsidRPr="00924534" w:rsidRDefault="00936DF7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924534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Признают,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общественность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имеет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право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на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возможность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4E676C">
        <w:rPr>
          <w:rFonts w:ascii="Arial" w:hAnsi="Arial"/>
          <w:color w:val="4C585A"/>
          <w:sz w:val="21"/>
          <w:szCs w:val="21"/>
          <w:lang w:val="ru-RU"/>
        </w:rPr>
        <w:t>участия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разработке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и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реализации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налогово-бюджетной политики</w:t>
      </w:r>
      <w:r w:rsidR="00056EB9" w:rsidRPr="00924534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2C18D8B8" w14:textId="77777777" w:rsidR="00181598" w:rsidRPr="00924534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503EE475" w14:textId="7C923E61" w:rsidR="00181598" w:rsidRPr="00924534" w:rsidRDefault="006C6570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924534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также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важный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вклад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общественности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решение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задачи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снижения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уровня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бедности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обеспечения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справедливого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экономического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развития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охраны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окружающей среды и общего мирового достояния</w:t>
      </w:r>
      <w:r w:rsidR="00056EB9" w:rsidRPr="00924534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17CF3FA3" w14:textId="77777777" w:rsidR="00181598" w:rsidRPr="00924534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04C90F9C" w14:textId="58AE651E" w:rsidR="00181598" w:rsidRPr="00924534" w:rsidRDefault="006C6570" w:rsidP="00924534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 w:rsidRPr="00924534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924534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181598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важный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вклад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общественного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участия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в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обеспечение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основных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>стандартов</w:t>
      </w:r>
      <w:r w:rsidR="00924534" w:rsidRPr="00924534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z w:val="21"/>
          <w:szCs w:val="21"/>
          <w:lang w:val="ru-RU"/>
        </w:rPr>
        <w:t xml:space="preserve">и норм налогово-бюджетной открытости, таких, как </w:t>
      </w:r>
      <w:r w:rsidR="00181598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hyperlink r:id="rId9" w:history="1">
        <w:r w:rsid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Кодекс</w:t>
        </w:r>
        <w:r w:rsidR="00924534" w:rsidRP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финансовой</w:t>
        </w:r>
        <w:r w:rsidR="00924534" w:rsidRP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прозрачности</w:t>
        </w:r>
      </w:hyperlink>
      <w:r w:rsidR="00924534" w:rsidRPr="00924534">
        <w:rPr>
          <w:rStyle w:val="Hyperlink"/>
          <w:rFonts w:ascii="Arial" w:hAnsi="Arial"/>
          <w:color w:val="FF6B00"/>
          <w:spacing w:val="2"/>
          <w:w w:val="102"/>
          <w:sz w:val="21"/>
          <w:szCs w:val="21"/>
          <w:lang w:val="ru-RU"/>
        </w:rPr>
        <w:t xml:space="preserve"> </w:t>
      </w:r>
      <w:r w:rsidR="00924534" w:rsidRPr="000233CA">
        <w:rPr>
          <w:rStyle w:val="Hyperlink"/>
          <w:rFonts w:ascii="Arial" w:hAnsi="Arial"/>
          <w:color w:val="auto"/>
          <w:spacing w:val="2"/>
          <w:w w:val="102"/>
          <w:sz w:val="21"/>
          <w:szCs w:val="21"/>
          <w:u w:val="none"/>
          <w:lang w:val="ru-RU"/>
        </w:rPr>
        <w:t>Международного валютного фонда</w:t>
      </w:r>
      <w:r w:rsidR="00924534" w:rsidRPr="00924534">
        <w:rPr>
          <w:rStyle w:val="Hyperlink"/>
          <w:rFonts w:ascii="Arial" w:hAnsi="Arial"/>
          <w:color w:val="FF6B00"/>
          <w:spacing w:val="2"/>
          <w:w w:val="102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за 2014 год, </w:t>
      </w:r>
      <w:r w:rsidR="00181598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hyperlink r:id="rId10" w:history="1">
        <w:r w:rsid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Принципы бюджетного управления</w:t>
        </w:r>
      </w:hyperlink>
      <w:r w:rsidR="00924534">
        <w:rPr>
          <w:rStyle w:val="Hyperlink"/>
          <w:rFonts w:ascii="Arial" w:hAnsi="Arial"/>
          <w:color w:val="FF6B00"/>
          <w:spacing w:val="2"/>
          <w:w w:val="102"/>
          <w:sz w:val="21"/>
          <w:szCs w:val="21"/>
          <w:lang w:val="ru-RU"/>
        </w:rPr>
        <w:t xml:space="preserve"> </w:t>
      </w:r>
      <w:r w:rsidR="00181598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ОЭСР от 2014 года, </w:t>
      </w:r>
      <w:r w:rsidR="00924534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и</w:t>
      </w:r>
      <w:r w:rsidR="00181598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hyperlink r:id="rId11" w:history="1">
        <w:r w:rsid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Исследование открытости бюджета</w:t>
        </w:r>
        <w:r w:rsidR="00181598" w:rsidRPr="00924534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</w:hyperlink>
      <w:r w:rsidR="00924534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Международного бюджетного партнёрства. </w:t>
      </w:r>
      <w:r w:rsidR="00924534" w:rsidRPr="00924534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</w:p>
    <w:p w14:paraId="30687A69" w14:textId="77777777" w:rsidR="00181598" w:rsidRPr="00924534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332CE477" w14:textId="234E653F" w:rsidR="00181598" w:rsidRPr="000233CA" w:rsidRDefault="006C6570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0233CA">
        <w:rPr>
          <w:rFonts w:ascii="Arial" w:hAnsi="Arial"/>
          <w:color w:val="4C585A"/>
          <w:sz w:val="21"/>
          <w:szCs w:val="21"/>
          <w:lang w:val="ru-RU"/>
        </w:rPr>
        <w:t>-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Сознают,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>, н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есмотря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на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рост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общего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согласия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сохраняется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разрыв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между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нормами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и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практическими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инструкциями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по</w:t>
      </w:r>
      <w:r w:rsidR="000233CA" w:rsidRPr="000233CA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0233CA">
        <w:rPr>
          <w:rFonts w:ascii="Arial" w:hAnsi="Arial"/>
          <w:color w:val="4C585A"/>
          <w:sz w:val="21"/>
          <w:szCs w:val="21"/>
          <w:lang w:val="ru-RU"/>
        </w:rPr>
        <w:t>обеспечению участия общественности в налоговой политике и бюджетном процессе</w:t>
      </w:r>
      <w:r w:rsidR="00056EB9" w:rsidRPr="000233CA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5C45664C" w14:textId="77777777" w:rsidR="00181598" w:rsidRPr="000233CA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6D724CDF" w14:textId="35A596E6" w:rsidR="00181598" w:rsidRPr="00E3529E" w:rsidRDefault="006C6570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E3529E">
        <w:rPr>
          <w:rFonts w:ascii="Arial" w:hAnsi="Arial"/>
          <w:color w:val="4C585A"/>
          <w:sz w:val="21"/>
          <w:szCs w:val="21"/>
          <w:lang w:val="ru-RU"/>
        </w:rPr>
        <w:t>-</w:t>
      </w:r>
      <w:r w:rsidR="000233CA" w:rsidRPr="00E3529E">
        <w:rPr>
          <w:rFonts w:ascii="Arial" w:hAnsi="Arial"/>
          <w:color w:val="4C585A"/>
          <w:sz w:val="21"/>
          <w:szCs w:val="21"/>
          <w:lang w:val="ru-RU"/>
        </w:rPr>
        <w:t>Сознают</w:t>
      </w:r>
      <w:r w:rsidR="00E3529E" w:rsidRPr="00E3529E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E3529E" w:rsidRPr="00E3529E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>участие общественности в государственных делах является правом граждан, установленным международным законодательством и конституциями/правовыми системами многих государств</w:t>
      </w:r>
      <w:r w:rsidR="00056EB9" w:rsidRPr="00E3529E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.</w:t>
      </w:r>
    </w:p>
    <w:p w14:paraId="54FBE9FE" w14:textId="77777777" w:rsidR="00181598" w:rsidRPr="00E3529E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5F4C8D2A" w14:textId="6AA48B5A" w:rsidR="00181598" w:rsidRPr="004F6E9F" w:rsidRDefault="006C6570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E3529E">
        <w:rPr>
          <w:rFonts w:ascii="Arial" w:hAnsi="Arial"/>
          <w:color w:val="4C585A"/>
          <w:sz w:val="21"/>
          <w:szCs w:val="21"/>
          <w:lang w:val="ru-RU"/>
        </w:rPr>
        <w:t>-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>Напоминают</w:t>
      </w:r>
      <w:r w:rsidR="00E3529E" w:rsidRPr="00E3529E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>о заявлениях</w:t>
      </w:r>
      <w:r w:rsidR="00E3529E" w:rsidRPr="00E3529E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>сделанных</w:t>
      </w:r>
      <w:r w:rsidR="00E3529E" w:rsidRPr="00E3529E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 xml:space="preserve">международными организациями, такими, как Конференция ООН по обеспечению охраны окружающей среды и развития, где принята </w:t>
      </w:r>
      <w:r w:rsidR="00E3529E" w:rsidRPr="00E3529E">
        <w:rPr>
          <w:rFonts w:ascii="Arial" w:hAnsi="Arial"/>
          <w:color w:val="E36C0A" w:themeColor="accent6" w:themeShade="BF"/>
          <w:sz w:val="21"/>
          <w:szCs w:val="21"/>
          <w:lang w:val="ru-RU"/>
        </w:rPr>
        <w:t xml:space="preserve">Декларация Рио об окружающей среде и развитии </w:t>
      </w:r>
      <w:r w:rsidR="00E3529E">
        <w:rPr>
          <w:rFonts w:ascii="Arial" w:hAnsi="Arial"/>
          <w:color w:val="4C585A"/>
          <w:sz w:val="21"/>
          <w:szCs w:val="21"/>
          <w:lang w:val="ru-RU"/>
        </w:rPr>
        <w:t>1992 года, где в Принципе 10 сказано, что «вопросы охраны окружающей среды лучше всего решаются при участии всех граждан, которых это касается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 xml:space="preserve">, и делается это на соответствующем уровне», а также основополагающие принципы </w:t>
      </w:r>
      <w:proofErr w:type="spellStart"/>
      <w:r w:rsidR="004F6E9F" w:rsidRPr="004F6E9F">
        <w:rPr>
          <w:rFonts w:ascii="Arial" w:hAnsi="Arial"/>
          <w:color w:val="E36C0A" w:themeColor="accent6" w:themeShade="BF"/>
          <w:sz w:val="21"/>
          <w:szCs w:val="21"/>
          <w:lang w:val="ru-RU"/>
        </w:rPr>
        <w:t>Орхусской</w:t>
      </w:r>
      <w:proofErr w:type="spellEnd"/>
      <w:r w:rsidR="004F6E9F" w:rsidRPr="004F6E9F">
        <w:rPr>
          <w:rFonts w:ascii="Arial" w:hAnsi="Arial"/>
          <w:color w:val="E36C0A" w:themeColor="accent6" w:themeShade="BF"/>
          <w:sz w:val="21"/>
          <w:szCs w:val="21"/>
          <w:lang w:val="ru-RU"/>
        </w:rPr>
        <w:t xml:space="preserve"> Конвенции 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>Экономической</w:t>
      </w:r>
      <w:r w:rsidR="004F6E9F" w:rsidRPr="004F6E9F">
        <w:rPr>
          <w:rFonts w:ascii="Arial" w:hAnsi="Arial"/>
          <w:color w:val="4C585A"/>
          <w:sz w:val="21"/>
          <w:szCs w:val="21"/>
          <w:lang w:val="ru-RU"/>
        </w:rPr>
        <w:t xml:space="preserve"> комисси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>и</w:t>
      </w:r>
      <w:r w:rsidR="004F6E9F" w:rsidRPr="004F6E9F">
        <w:rPr>
          <w:rFonts w:ascii="Arial" w:hAnsi="Arial"/>
          <w:color w:val="4C585A"/>
          <w:sz w:val="21"/>
          <w:szCs w:val="21"/>
          <w:lang w:val="ru-RU"/>
        </w:rPr>
        <w:t xml:space="preserve"> ООН для </w:t>
      </w:r>
      <w:r w:rsidR="004F6E9F" w:rsidRPr="004F6E9F">
        <w:rPr>
          <w:rFonts w:ascii="Arial" w:hAnsi="Arial"/>
          <w:color w:val="4C585A"/>
          <w:sz w:val="21"/>
          <w:szCs w:val="21"/>
          <w:lang w:val="ru-RU"/>
        </w:rPr>
        <w:lastRenderedPageBreak/>
        <w:t>Европы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 xml:space="preserve"> 2001 года, где готовится о </w:t>
      </w:r>
      <w:r w:rsidR="004F6E9F" w:rsidRPr="004F6E9F">
        <w:rPr>
          <w:rFonts w:ascii="Arial" w:hAnsi="Arial"/>
          <w:color w:val="4C585A"/>
          <w:sz w:val="21"/>
          <w:szCs w:val="21"/>
          <w:lang w:val="ru-RU"/>
        </w:rPr>
        <w:t xml:space="preserve"> "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 xml:space="preserve">праве </w:t>
      </w:r>
      <w:r w:rsidR="004F6E9F" w:rsidRPr="004F6E9F">
        <w:rPr>
          <w:rFonts w:ascii="Arial" w:hAnsi="Arial"/>
          <w:color w:val="4C585A"/>
          <w:sz w:val="21"/>
          <w:szCs w:val="21"/>
          <w:lang w:val="ru-RU"/>
        </w:rPr>
        <w:t xml:space="preserve">общественности 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 xml:space="preserve">на участие </w:t>
      </w:r>
      <w:r w:rsidR="004F6E9F" w:rsidRPr="004F6E9F">
        <w:rPr>
          <w:rFonts w:ascii="Arial" w:hAnsi="Arial"/>
          <w:color w:val="4C585A"/>
          <w:sz w:val="21"/>
          <w:szCs w:val="21"/>
          <w:lang w:val="ru-RU"/>
        </w:rPr>
        <w:t>в процессе принятия решений и доступе к правосудию по вопросам, касающимся окружающей среды"</w:t>
      </w:r>
      <w:r w:rsidR="004F6E9F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16D06093" w14:textId="77777777" w:rsidR="00181598" w:rsidRPr="004F6E9F" w:rsidRDefault="0018159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5315927C" w14:textId="76418502" w:rsidR="00181598" w:rsidRPr="00C260B0" w:rsidRDefault="006C6570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  <w:r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-</w:t>
      </w:r>
      <w:r w:rsidR="004F6E9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Напоминают</w:t>
      </w:r>
      <w:r w:rsidR="004F6E9F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4F6E9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</w:t>
      </w:r>
      <w:r w:rsidR="004F6E9F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4F6E9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том</w:t>
      </w:r>
      <w:r w:rsidR="004F6E9F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, </w:t>
      </w:r>
      <w:r w:rsidR="004F6E9F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что</w:t>
      </w:r>
      <w:r w:rsidR="004F6E9F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hyperlink r:id="rId12" w:history="1">
        <w:r w:rsidR="004F6E9F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Цель</w:t>
        </w:r>
        <w:r w:rsidR="00181598" w:rsidRPr="00C260B0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16 </w:t>
        </w:r>
        <w:r w:rsidR="004F6E9F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Целей</w:t>
        </w:r>
        <w:r w:rsidR="004F6E9F" w:rsidRPr="00C260B0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F6E9F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устойчивого</w:t>
        </w:r>
        <w:r w:rsidR="004F6E9F" w:rsidRPr="00C260B0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F6E9F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развития</w:t>
        </w:r>
        <w:r w:rsidR="004F6E9F" w:rsidRPr="00C260B0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4F6E9F">
          <w:rPr>
            <w:rStyle w:val="Hyperlink"/>
            <w:rFonts w:ascii="Arial" w:hAnsi="Arial"/>
            <w:color w:val="FF6B00"/>
            <w:spacing w:val="2"/>
            <w:w w:val="102"/>
            <w:sz w:val="21"/>
            <w:szCs w:val="21"/>
            <w:lang w:val="ru-RU"/>
          </w:rPr>
          <w:t>ООН</w:t>
        </w:r>
      </w:hyperlink>
      <w:r w:rsidR="00181598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,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принятых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международным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сообществом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сентябре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2015 года,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состоит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в том, чтобы способствовать становлению мирного и инклюзивного общественного развития, построению эффективно работающих, ответственных и инклюзивных институтов</w:t>
      </w:r>
      <w:r w:rsidR="00056EB9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.</w:t>
      </w:r>
      <w:r w:rsidR="00181598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</w:p>
    <w:p w14:paraId="18FD28F6" w14:textId="77777777" w:rsidR="00274EC8" w:rsidRPr="00C260B0" w:rsidRDefault="00274EC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71F5C23B" w14:textId="09272BF9" w:rsidR="00274EC8" w:rsidRPr="00C260B0" w:rsidRDefault="006C6570" w:rsidP="00C260B0">
      <w:pPr>
        <w:pStyle w:val="NoSpacing"/>
        <w:rPr>
          <w:rFonts w:ascii="Arial" w:hAnsi="Arial" w:cs="Arial"/>
          <w:color w:val="4C585A"/>
          <w:sz w:val="21"/>
          <w:szCs w:val="21"/>
          <w:lang w:val="ru-RU"/>
        </w:rPr>
      </w:pPr>
      <w:r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-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Ссылаются</w:t>
      </w:r>
      <w:r w:rsidR="00C260B0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на</w:t>
      </w:r>
      <w:r w:rsidR="00274EC8" w:rsidRPr="00C260B0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hyperlink r:id="rId13" w:history="1">
        <w:r w:rsidR="00C260B0">
          <w:rPr>
            <w:rStyle w:val="Hyperlink"/>
            <w:rFonts w:ascii="Arial" w:hAnsi="Arial" w:cs="Arial"/>
            <w:color w:val="FF6B00"/>
            <w:spacing w:val="2"/>
            <w:w w:val="102"/>
            <w:sz w:val="21"/>
            <w:szCs w:val="21"/>
            <w:lang w:val="ru-RU"/>
          </w:rPr>
          <w:t>Партнёрство</w:t>
        </w:r>
        <w:r w:rsidR="00C260B0" w:rsidRPr="00C260B0">
          <w:rPr>
            <w:rStyle w:val="Hyperlink"/>
            <w:rFonts w:ascii="Arial" w:hAnsi="Arial" w:cs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C260B0">
          <w:rPr>
            <w:rStyle w:val="Hyperlink"/>
            <w:rFonts w:ascii="Arial" w:hAnsi="Arial" w:cs="Arial"/>
            <w:color w:val="FF6B00"/>
            <w:spacing w:val="2"/>
            <w:w w:val="102"/>
            <w:sz w:val="21"/>
            <w:szCs w:val="21"/>
            <w:lang w:val="ru-RU"/>
          </w:rPr>
          <w:t>открытого</w:t>
        </w:r>
        <w:r w:rsidR="00C260B0" w:rsidRPr="00C260B0">
          <w:rPr>
            <w:rStyle w:val="Hyperlink"/>
            <w:rFonts w:ascii="Arial" w:hAnsi="Arial" w:cs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  <w:r w:rsidR="00C260B0">
          <w:rPr>
            <w:rStyle w:val="Hyperlink"/>
            <w:rFonts w:ascii="Arial" w:hAnsi="Arial" w:cs="Arial"/>
            <w:color w:val="FF6B00"/>
            <w:spacing w:val="2"/>
            <w:w w:val="102"/>
            <w:sz w:val="21"/>
            <w:szCs w:val="21"/>
            <w:lang w:val="ru-RU"/>
          </w:rPr>
          <w:t>правительства</w:t>
        </w:r>
        <w:r w:rsidR="00C260B0" w:rsidRPr="00C260B0">
          <w:rPr>
            <w:rStyle w:val="Hyperlink"/>
            <w:rFonts w:ascii="Arial" w:hAnsi="Arial" w:cs="Arial"/>
            <w:color w:val="FF6B00"/>
            <w:spacing w:val="2"/>
            <w:w w:val="102"/>
            <w:sz w:val="21"/>
            <w:szCs w:val="21"/>
            <w:lang w:val="ru-RU"/>
          </w:rPr>
          <w:t xml:space="preserve"> </w:t>
        </w:r>
      </w:hyperlink>
      <w:r w:rsidR="008D73E6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,</w:t>
      </w:r>
      <w:r w:rsidR="00274EC8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недавно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созданное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в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мировом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масштабе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в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целях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переведения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работы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по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привлечению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в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практическую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плоскость</w:t>
      </w:r>
      <w:r w:rsidR="00274EC8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,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продвигающее</w:t>
      </w:r>
      <w:r w:rsidR="00C260B0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идею повышения доступности информации о работе правительства, его подотчётности и участия общественности, в котором участвуют более 60 стран, большинство из которых взяли на себя обязательства по бюджетной открытости в принятых Планах действий по этому Партнёрству, в том числе и ряд очень конкретных обязательств по усилению работы с общественностью по вопросам налогов-бюджетной политики</w:t>
      </w:r>
      <w:r w:rsidR="00056EB9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>.</w:t>
      </w:r>
      <w:r w:rsidR="00274EC8" w:rsidRPr="00C260B0">
        <w:rPr>
          <w:rFonts w:ascii="Arial" w:hAnsi="Arial" w:cs="Arial"/>
          <w:color w:val="4C585A"/>
          <w:spacing w:val="2"/>
          <w:w w:val="102"/>
          <w:sz w:val="21"/>
          <w:szCs w:val="21"/>
          <w:lang w:val="ru-RU"/>
        </w:rPr>
        <w:t xml:space="preserve"> </w:t>
      </w:r>
      <w:r w:rsidR="00274EC8" w:rsidRPr="00260470">
        <w:rPr>
          <w:rStyle w:val="EndnoteReference"/>
          <w:rFonts w:ascii="Arial" w:hAnsi="Arial" w:cs="Arial"/>
          <w:color w:val="4C585A"/>
          <w:spacing w:val="2"/>
          <w:w w:val="102"/>
          <w:sz w:val="21"/>
          <w:szCs w:val="21"/>
        </w:rPr>
        <w:endnoteReference w:id="9"/>
      </w:r>
    </w:p>
    <w:p w14:paraId="29C47CD5" w14:textId="77777777" w:rsidR="00274EC8" w:rsidRPr="00C260B0" w:rsidRDefault="00274EC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18A8F35D" w14:textId="4307B3F0" w:rsidR="00181598" w:rsidRPr="006914AF" w:rsidRDefault="0030671D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C260B0">
        <w:rPr>
          <w:rFonts w:ascii="Arial" w:hAnsi="Arial"/>
          <w:color w:val="4C585A"/>
          <w:sz w:val="21"/>
          <w:szCs w:val="21"/>
          <w:lang w:val="ru-RU"/>
        </w:rPr>
        <w:t>-</w:t>
      </w:r>
      <w:r w:rsidR="00C260B0">
        <w:rPr>
          <w:rFonts w:ascii="Arial" w:hAnsi="Arial"/>
          <w:color w:val="4C585A"/>
          <w:sz w:val="21"/>
          <w:szCs w:val="21"/>
          <w:lang w:val="ru-RU"/>
        </w:rPr>
        <w:t>подтверждают</w:t>
      </w:r>
      <w:r w:rsidR="00C260B0" w:rsidRPr="00C260B0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C260B0">
        <w:rPr>
          <w:rFonts w:ascii="Arial" w:hAnsi="Arial"/>
          <w:color w:val="4C585A"/>
          <w:sz w:val="21"/>
          <w:szCs w:val="21"/>
          <w:lang w:val="ru-RU"/>
        </w:rPr>
        <w:t xml:space="preserve">взаимный характер отношений между гражданами и правительством, при которых граждане предоставляют ресурсы и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доверяют правительствам распоряжаться государственными средствами, и взамен ожидают получения информации о государственных финансах, налогов-бюджетной политике и возможностей участия в формировании такой политики</w:t>
      </w:r>
      <w:r w:rsidR="00056EB9" w:rsidRPr="006914AF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248CEDEF" w14:textId="77777777" w:rsidR="00181598" w:rsidRPr="006914AF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4D90B7AD" w14:textId="69FAE192" w:rsidR="00181598" w:rsidRPr="006914AF" w:rsidRDefault="0030671D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6914AF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6914AF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развитие информационно-коммуникационных технологий значительно снизило издержки в связи с составлением и распространением информации и способствовало новым формам взаимодействия граждан и правительства</w:t>
      </w:r>
      <w:r w:rsidR="00056EB9" w:rsidRPr="006914AF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43E3371F" w14:textId="77777777" w:rsidR="00181598" w:rsidRPr="006914AF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7EC680D7" w14:textId="2A82EBFD" w:rsidR="00181598" w:rsidRPr="006914AF" w:rsidRDefault="0030671D" w:rsidP="006914AF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6914AF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6914AF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настоящие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Принципы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взаимосвязаны</w:t>
      </w:r>
      <w:r w:rsidR="006914AF" w:rsidRPr="006914AF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 xml:space="preserve">и должны быть реализованы с учётом разных условий в разных странах, при этом способствуя продвижению в этих странах общей цели прозрачной, ответственной </w:t>
      </w:r>
      <w:r w:rsidR="00924534" w:rsidRPr="006914AF">
        <w:rPr>
          <w:rFonts w:ascii="Arial" w:hAnsi="Arial"/>
          <w:color w:val="4C585A"/>
          <w:sz w:val="21"/>
          <w:szCs w:val="21"/>
          <w:lang w:val="ru-RU"/>
        </w:rPr>
        <w:t>налогово-бюджетной политики</w:t>
      </w:r>
      <w:r w:rsidR="006914AF">
        <w:rPr>
          <w:rFonts w:ascii="Arial" w:hAnsi="Arial"/>
          <w:color w:val="4C585A"/>
          <w:sz w:val="21"/>
          <w:szCs w:val="21"/>
          <w:lang w:val="ru-RU"/>
        </w:rPr>
        <w:t>, формируемой с участием общественности</w:t>
      </w:r>
      <w:r w:rsidR="00056EB9" w:rsidRPr="006914AF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2049BD7B" w14:textId="77777777" w:rsidR="00181598" w:rsidRPr="006914AF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4E85AC87" w14:textId="658BF6ED" w:rsidR="00056EB9" w:rsidRPr="00875D47" w:rsidRDefault="00056EB9" w:rsidP="00056EB9">
      <w:pPr>
        <w:widowControl w:val="0"/>
        <w:autoSpaceDE w:val="0"/>
        <w:autoSpaceDN w:val="0"/>
        <w:adjustRightInd w:val="0"/>
        <w:rPr>
          <w:rFonts w:ascii="Arial" w:hAnsi="Arial"/>
          <w:color w:val="4C585A"/>
          <w:sz w:val="21"/>
          <w:szCs w:val="21"/>
          <w:lang w:val="ru-RU"/>
        </w:rPr>
      </w:pPr>
      <w:r w:rsidRPr="00875D47">
        <w:rPr>
          <w:rFonts w:ascii="Arial" w:hAnsi="Arial"/>
          <w:color w:val="4C585A"/>
          <w:sz w:val="21"/>
          <w:szCs w:val="21"/>
          <w:lang w:val="ru-RU"/>
        </w:rPr>
        <w:t>-</w:t>
      </w:r>
      <w:r w:rsidR="000233CA" w:rsidRPr="00875D47">
        <w:rPr>
          <w:rFonts w:ascii="Arial" w:hAnsi="Arial"/>
          <w:color w:val="4C585A"/>
          <w:sz w:val="21"/>
          <w:szCs w:val="21"/>
          <w:lang w:val="ru-RU"/>
        </w:rPr>
        <w:t>Сознают</w:t>
      </w:r>
      <w:r w:rsidR="00875D47" w:rsidRPr="00875D47">
        <w:rPr>
          <w:rFonts w:ascii="Arial" w:hAnsi="Arial"/>
          <w:color w:val="4C585A"/>
          <w:sz w:val="21"/>
          <w:szCs w:val="21"/>
          <w:lang w:val="ru-RU"/>
        </w:rPr>
        <w:t xml:space="preserve">, 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>что</w:t>
      </w:r>
      <w:r w:rsidR="00875D47" w:rsidRPr="00875D47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>рассмотрение</w:t>
      </w:r>
      <w:r w:rsidR="00875D47" w:rsidRPr="00875D47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875D47" w:rsidRPr="006914AF">
        <w:rPr>
          <w:rFonts w:ascii="Arial" w:hAnsi="Arial"/>
          <w:color w:val="4C585A"/>
          <w:sz w:val="21"/>
          <w:szCs w:val="21"/>
          <w:lang w:val="ru-RU"/>
        </w:rPr>
        <w:t>налогово-бюджетной политики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 xml:space="preserve"> нельзя считать одноразовым мероприятием перед окончательным принятием бюджета, но надо понимать, как непрерывный процесс сбора мнений общественности о реализации такой политики, чтобы пересматривать свои изначальные налогово-бюджетные решения</w:t>
      </w:r>
      <w:r w:rsidRPr="00875D47">
        <w:rPr>
          <w:rFonts w:ascii="Arial" w:hAnsi="Arial" w:cs="Arial"/>
          <w:color w:val="4C585A"/>
          <w:sz w:val="21"/>
          <w:szCs w:val="21"/>
          <w:lang w:val="ru-RU"/>
        </w:rPr>
        <w:t>.</w:t>
      </w:r>
    </w:p>
    <w:p w14:paraId="7BA8C1D1" w14:textId="5F760AB5" w:rsidR="00056EB9" w:rsidRPr="00875D47" w:rsidRDefault="00056EB9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47F6D773" w14:textId="08A66C50" w:rsidR="00181598" w:rsidRPr="00875D47" w:rsidRDefault="0030671D" w:rsidP="00875D47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875D47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875D47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 xml:space="preserve"> необходимость сотрудничества и обмена информацией между всеми заинтересованными сторонами в наращивании потенциала и изучении опыта в области ведения </w:t>
      </w:r>
      <w:r w:rsidR="00875D47" w:rsidRPr="006914AF">
        <w:rPr>
          <w:rFonts w:ascii="Arial" w:hAnsi="Arial"/>
          <w:color w:val="4C585A"/>
          <w:sz w:val="21"/>
          <w:szCs w:val="21"/>
          <w:lang w:val="ru-RU"/>
        </w:rPr>
        <w:t>налогово-бюджетной политики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 xml:space="preserve"> прозрачным, ответственным образом, с участием общественности</w:t>
      </w:r>
      <w:r w:rsidR="00056EB9" w:rsidRPr="00875D47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63B4205B" w14:textId="77777777" w:rsidR="00181598" w:rsidRPr="00875D47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104A2B23" w14:textId="20DB004F" w:rsidR="00181598" w:rsidRPr="00875D47" w:rsidRDefault="0030671D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875D47">
        <w:rPr>
          <w:rFonts w:ascii="Arial" w:hAnsi="Arial"/>
          <w:color w:val="4C585A"/>
          <w:sz w:val="21"/>
          <w:szCs w:val="21"/>
          <w:lang w:val="ru-RU"/>
        </w:rPr>
        <w:t>-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>Приглашают все государственные и негосударственные организации, в том числе отдельных граждан, общественные движения, неправительственные организации, общественные союзы и профессиональные ассоциации, частный сектор к совместной работе по продвижению в целях выполнения настоящих Принципов</w:t>
      </w:r>
      <w:r w:rsidR="00056EB9" w:rsidRPr="00875D47">
        <w:rPr>
          <w:rFonts w:ascii="Arial" w:hAnsi="Arial"/>
          <w:color w:val="4C585A"/>
          <w:sz w:val="21"/>
          <w:szCs w:val="21"/>
          <w:lang w:val="ru-RU"/>
        </w:rPr>
        <w:t>.</w:t>
      </w:r>
    </w:p>
    <w:p w14:paraId="08659CA9" w14:textId="77777777" w:rsidR="00181598" w:rsidRPr="00875D47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3D37A2B0" w14:textId="16FAF503" w:rsidR="00181598" w:rsidRPr="00DA2973" w:rsidRDefault="0030671D" w:rsidP="00DA2973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  <w:r w:rsidRPr="00DA2973">
        <w:rPr>
          <w:rFonts w:ascii="Arial" w:hAnsi="Arial"/>
          <w:color w:val="4C585A"/>
          <w:sz w:val="21"/>
          <w:szCs w:val="21"/>
          <w:lang w:val="ru-RU"/>
        </w:rPr>
        <w:t>-</w:t>
      </w:r>
      <w:r w:rsidR="004E676C" w:rsidRPr="00DA2973">
        <w:rPr>
          <w:rFonts w:ascii="Arial" w:hAnsi="Arial"/>
          <w:color w:val="4C585A"/>
          <w:sz w:val="21"/>
          <w:szCs w:val="21"/>
          <w:lang w:val="ru-RU"/>
        </w:rPr>
        <w:t>Признают</w:t>
      </w:r>
      <w:r w:rsidR="00875D47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>желательность</w:t>
      </w:r>
      <w:r w:rsidR="00875D47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875D47">
        <w:rPr>
          <w:rFonts w:ascii="Arial" w:hAnsi="Arial"/>
          <w:color w:val="4C585A"/>
          <w:sz w:val="21"/>
          <w:szCs w:val="21"/>
          <w:lang w:val="ru-RU"/>
        </w:rPr>
        <w:t>участия</w:t>
      </w:r>
      <w:r w:rsidR="00875D47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325B4D"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  <w:t>общественности</w:t>
      </w:r>
      <w:r w:rsidR="00875D47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во</w:t>
      </w:r>
      <w:r w:rsidR="00DA2973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всех</w:t>
      </w:r>
      <w:r w:rsidR="00DA2973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ветвях</w:t>
      </w:r>
      <w:r w:rsidR="00DA2973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власти</w:t>
      </w:r>
      <w:r w:rsidR="00DA2973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и</w:t>
      </w:r>
      <w:r w:rsidR="00DA2973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приглашают</w:t>
      </w:r>
      <w:r w:rsidR="00DA2973" w:rsidRPr="00DA2973">
        <w:rPr>
          <w:rFonts w:ascii="Arial" w:hAnsi="Arial"/>
          <w:color w:val="4C585A"/>
          <w:sz w:val="21"/>
          <w:szCs w:val="21"/>
          <w:lang w:val="ru-RU"/>
        </w:rPr>
        <w:t xml:space="preserve"> </w:t>
      </w:r>
      <w:r w:rsidR="00DA2973">
        <w:rPr>
          <w:rFonts w:ascii="Arial" w:hAnsi="Arial"/>
          <w:color w:val="4C585A"/>
          <w:sz w:val="21"/>
          <w:szCs w:val="21"/>
          <w:lang w:val="ru-RU"/>
        </w:rPr>
        <w:t>законодательные и судебные органы к внедрению настоящих Принципов в практику своей работы</w:t>
      </w:r>
      <w:r w:rsidRPr="00DA2973">
        <w:rPr>
          <w:rFonts w:ascii="Arial" w:hAnsi="Arial"/>
          <w:color w:val="4C585A"/>
          <w:sz w:val="21"/>
          <w:szCs w:val="21"/>
          <w:lang w:val="ru-RU"/>
        </w:rPr>
        <w:t>:</w:t>
      </w:r>
    </w:p>
    <w:p w14:paraId="1A69029F" w14:textId="77777777" w:rsidR="00181598" w:rsidRPr="00DA2973" w:rsidRDefault="00181598" w:rsidP="00181598">
      <w:pPr>
        <w:pStyle w:val="NoSpacing"/>
        <w:rPr>
          <w:rFonts w:ascii="Arial" w:hAnsi="Arial"/>
          <w:color w:val="4C585A"/>
          <w:sz w:val="21"/>
          <w:szCs w:val="21"/>
          <w:lang w:val="ru-RU"/>
        </w:rPr>
      </w:pPr>
    </w:p>
    <w:p w14:paraId="49964895" w14:textId="2694B806" w:rsidR="00181598" w:rsidRPr="005F3158" w:rsidRDefault="00DA2973" w:rsidP="00181598">
      <w:pPr>
        <w:pStyle w:val="NoSpacing"/>
        <w:rPr>
          <w:rFonts w:ascii="Arial" w:hAnsi="Arial"/>
          <w:b/>
          <w:color w:val="4C585A"/>
          <w:sz w:val="21"/>
          <w:szCs w:val="21"/>
          <w:lang w:val="ru-RU"/>
        </w:rPr>
      </w:pPr>
      <w:r>
        <w:rPr>
          <w:rFonts w:ascii="Arial" w:hAnsi="Arial"/>
          <w:b/>
          <w:color w:val="4C585A"/>
          <w:sz w:val="21"/>
          <w:szCs w:val="21"/>
          <w:lang w:val="ru-RU"/>
        </w:rPr>
        <w:lastRenderedPageBreak/>
        <w:t>В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связи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со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всем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вышеизложенным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заявляют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,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что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нижеуказанные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>
        <w:rPr>
          <w:rFonts w:ascii="Arial" w:hAnsi="Arial"/>
          <w:b/>
          <w:color w:val="4C585A"/>
          <w:sz w:val="21"/>
          <w:szCs w:val="21"/>
          <w:lang w:val="ru-RU"/>
        </w:rPr>
        <w:t>Принципы</w:t>
      </w:r>
      <w:r w:rsidRPr="005F3158">
        <w:rPr>
          <w:rFonts w:ascii="Arial" w:hAnsi="Arial"/>
          <w:b/>
          <w:color w:val="4C585A"/>
          <w:sz w:val="21"/>
          <w:szCs w:val="21"/>
          <w:lang w:val="ru-RU"/>
        </w:rPr>
        <w:t xml:space="preserve"> </w:t>
      </w:r>
      <w:r w:rsidR="005F3158">
        <w:rPr>
          <w:rFonts w:ascii="Arial" w:hAnsi="Arial"/>
          <w:b/>
          <w:color w:val="4C585A"/>
          <w:sz w:val="21"/>
          <w:szCs w:val="21"/>
          <w:lang w:val="ru-RU"/>
        </w:rPr>
        <w:t>должны служить руководством для ответственных за формирование политики лиц и другие заинтересованные стороны в их усилиях по повышению качества работы государственных органов и доверия к ним населения</w:t>
      </w:r>
      <w:r w:rsidR="00181598" w:rsidRPr="005F3158">
        <w:rPr>
          <w:rFonts w:ascii="Arial" w:hAnsi="Arial"/>
          <w:b/>
          <w:color w:val="4C585A"/>
          <w:sz w:val="21"/>
          <w:szCs w:val="21"/>
          <w:lang w:val="ru-RU"/>
        </w:rPr>
        <w:t>:</w:t>
      </w:r>
    </w:p>
    <w:p w14:paraId="256B4629" w14:textId="77777777" w:rsidR="00181598" w:rsidRPr="005F3158" w:rsidRDefault="00181598" w:rsidP="00181598">
      <w:pPr>
        <w:pStyle w:val="NoSpacing"/>
        <w:rPr>
          <w:rFonts w:ascii="Arial" w:hAnsi="Arial"/>
          <w:color w:val="4C585A"/>
          <w:spacing w:val="2"/>
          <w:w w:val="102"/>
          <w:sz w:val="21"/>
          <w:szCs w:val="21"/>
          <w:lang w:val="ru-RU"/>
        </w:rPr>
      </w:pPr>
    </w:p>
    <w:p w14:paraId="0D91DDAB" w14:textId="4D60F2F6" w:rsidR="00181598" w:rsidRPr="008C1156" w:rsidRDefault="005F3158" w:rsidP="008C1156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>
        <w:rPr>
          <w:rFonts w:ascii="Arial" w:hAnsi="Arial"/>
          <w:color w:val="4C585A"/>
          <w:spacing w:val="4"/>
          <w:sz w:val="21"/>
          <w:szCs w:val="21"/>
          <w:lang w:val="ru-RU"/>
        </w:rPr>
        <w:t>Государственные</w:t>
      </w:r>
      <w:r w:rsidRPr="005F3158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>
        <w:rPr>
          <w:rFonts w:ascii="Arial" w:hAnsi="Arial"/>
          <w:color w:val="4C585A"/>
          <w:spacing w:val="4"/>
          <w:sz w:val="21"/>
          <w:szCs w:val="21"/>
          <w:lang w:val="ru-RU"/>
        </w:rPr>
        <w:t>органы должны прилагать усилия к тому, чтобы обеспечить гражданам и другим негосударственным лицам действительные возможности по прямому участию в общественных дебатах и дискуссиях в отношении</w:t>
      </w:r>
      <w:r w:rsidR="00CE0E25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разработки, реализации и пересмотра </w:t>
      </w:r>
      <w:r w:rsidR="00924534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>налогово-бюджетной политики</w:t>
      </w:r>
      <w:r w:rsidR="00181598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соблюдая следующие взаимосвязанные принципы</w:t>
      </w:r>
      <w:r w:rsidR="00181598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>:</w:t>
      </w:r>
    </w:p>
    <w:p w14:paraId="77499756" w14:textId="54CAB219" w:rsidR="00394C6B" w:rsidRPr="008C1156" w:rsidRDefault="00F32F6C" w:rsidP="00394C6B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8C115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br/>
      </w:r>
      <w:r w:rsidR="00394C6B" w:rsidRPr="008C115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1. </w:t>
      </w:r>
      <w:r w:rsidR="008C115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Доступность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–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способствовать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участию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общественности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в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целом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распространяя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полную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финансовую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информацию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все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остальные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соответствующие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данные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в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такой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форме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таким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способом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чтобы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всем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было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легко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её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получать,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понимать</w:t>
      </w:r>
      <w:r w:rsidR="008C1156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8C1156">
        <w:rPr>
          <w:rFonts w:ascii="Arial" w:hAnsi="Arial"/>
          <w:color w:val="4C585A"/>
          <w:spacing w:val="4"/>
          <w:sz w:val="21"/>
          <w:szCs w:val="21"/>
          <w:lang w:val="ru-RU"/>
        </w:rPr>
        <w:t>использовать, преобразовывать, т.е. в формате открытых данных</w:t>
      </w:r>
      <w:r w:rsidR="00394C6B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. </w:t>
      </w:r>
      <w:r w:rsidR="00394C6B" w:rsidRPr="008C1156">
        <w:rPr>
          <w:rFonts w:ascii="Arial" w:hAnsi="Arial"/>
          <w:color w:val="4C585A"/>
          <w:spacing w:val="4"/>
          <w:sz w:val="21"/>
          <w:szCs w:val="21"/>
          <w:lang w:val="ru-RU"/>
        </w:rPr>
        <w:br/>
      </w:r>
    </w:p>
    <w:p w14:paraId="0D5E25FC" w14:textId="35428A03" w:rsidR="00F32F6C" w:rsidRPr="008C1156" w:rsidRDefault="00394C6B" w:rsidP="00F32F6C">
      <w:pPr>
        <w:pStyle w:val="NoSpacing"/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</w:pPr>
      <w:r w:rsidRPr="008C115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2</w:t>
      </w:r>
      <w:r w:rsidR="00F32F6C" w:rsidRPr="008C115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. </w:t>
      </w:r>
      <w:r w:rsidR="008C1156">
        <w:rPr>
          <w:rFonts w:ascii="Arial" w:hAnsi="Arial" w:cs="Arial"/>
          <w:b/>
          <w:bCs/>
          <w:i/>
          <w:iCs/>
          <w:color w:val="4C585A"/>
          <w:spacing w:val="4"/>
          <w:sz w:val="21"/>
          <w:szCs w:val="21"/>
          <w:lang w:val="ru-RU" w:eastAsia="ja-JP"/>
        </w:rPr>
        <w:t>Открытость</w:t>
      </w:r>
      <w:r w:rsidR="00F32F6C" w:rsidRPr="008C1156">
        <w:rPr>
          <w:rFonts w:ascii="Arial" w:hAnsi="Arial" w:cs="Arial"/>
          <w:b/>
          <w:bCs/>
          <w:i/>
          <w:iCs/>
          <w:color w:val="4C585A"/>
          <w:spacing w:val="4"/>
          <w:sz w:val="21"/>
          <w:szCs w:val="21"/>
          <w:lang w:val="ru-RU" w:eastAsia="ja-JP"/>
        </w:rPr>
        <w:t>:</w:t>
      </w:r>
      <w:r w:rsidR="00F32F6C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обеспечить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полноту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информации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в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связи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с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каждым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взаимодействием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с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общественностью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,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сообщая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весь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объём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,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имеющиеся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ограничения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,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ожидаемые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результаты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,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процедуры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и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сроки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,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а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также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сообщая</w:t>
      </w:r>
      <w:r w:rsidR="008C1156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 xml:space="preserve"> </w:t>
      </w:r>
      <w:r w:rsid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о планируемых и фактических итогах участия общественности</w:t>
      </w:r>
      <w:r w:rsidR="00F32F6C" w:rsidRPr="008C1156">
        <w:rPr>
          <w:rFonts w:ascii="Arial" w:hAnsi="Arial" w:cs="Arial"/>
          <w:color w:val="4C585A"/>
          <w:spacing w:val="4"/>
          <w:sz w:val="21"/>
          <w:szCs w:val="21"/>
          <w:lang w:val="ru-RU" w:eastAsia="ja-JP"/>
        </w:rPr>
        <w:t>.</w:t>
      </w:r>
    </w:p>
    <w:p w14:paraId="2FF18EA9" w14:textId="3E8361BE" w:rsidR="00181598" w:rsidRPr="008C1156" w:rsidRDefault="00181598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</w:p>
    <w:p w14:paraId="60FAC34F" w14:textId="28B100E7" w:rsidR="00181598" w:rsidRPr="00B47D63" w:rsidRDefault="00394C6B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B8686C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3</w:t>
      </w:r>
      <w:r w:rsidR="008C1156" w:rsidRPr="00B8686C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. </w:t>
      </w:r>
      <w:proofErr w:type="spellStart"/>
      <w:r w:rsidR="008C1156" w:rsidRPr="00B8686C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И</w:t>
      </w:r>
      <w:r w:rsidR="008C115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нклюзивность</w:t>
      </w:r>
      <w:proofErr w:type="spellEnd"/>
      <w:r w:rsidR="00181598" w:rsidRPr="00B8686C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="00181598" w:rsidRPr="00B8686C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8686C">
        <w:rPr>
          <w:rFonts w:ascii="Arial" w:hAnsi="Arial"/>
          <w:color w:val="4C585A"/>
          <w:spacing w:val="4"/>
          <w:sz w:val="21"/>
          <w:szCs w:val="21"/>
          <w:lang w:val="ru-RU"/>
        </w:rPr>
        <w:t>активное</w:t>
      </w:r>
      <w:r w:rsidR="00B8686C" w:rsidRPr="00B8686C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8686C">
        <w:rPr>
          <w:rFonts w:ascii="Arial" w:hAnsi="Arial"/>
          <w:color w:val="4C585A"/>
          <w:spacing w:val="4"/>
          <w:sz w:val="21"/>
          <w:szCs w:val="21"/>
          <w:lang w:val="ru-RU"/>
        </w:rPr>
        <w:t>использование нескольких механизмов вовлечения граждан и негосударственных лиц, в том числе традиционно исключённых из жизни общества уязвимых групп населения, ч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ей голос редко слышен, без дискриминации по любому признаку, в том числе, по национальности, расе, этнической, религиозной, половой принадлежности, сексуальной ориентации, наличию инвалидности, по возрасту и касте; рассматривать вклад общественности по объективным основаниям, независимо от источника</w:t>
      </w:r>
      <w:r w:rsidR="00056EB9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  <w:r w:rsidR="00181598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181598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br/>
      </w:r>
    </w:p>
    <w:p w14:paraId="0F238658" w14:textId="7AED0A72" w:rsidR="00181598" w:rsidRPr="00B47D63" w:rsidRDefault="00394C6B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B47D63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4</w:t>
      </w:r>
      <w:r w:rsidR="00181598" w:rsidRPr="00B47D63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. </w:t>
      </w:r>
      <w:r w:rsidR="00B47D63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Уважение</w:t>
      </w:r>
      <w:r w:rsidR="00B47D63" w:rsidRPr="00B47D63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самовыражения</w:t>
      </w:r>
      <w:r w:rsidR="00181598" w:rsidRPr="00B47D63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="00181598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разрешать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поддерживать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отдельных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лиц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сообщества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людей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в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том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числе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те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которых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это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напрямую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касается</w:t>
      </w:r>
      <w:r w:rsidR="00B47D63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B47D63">
        <w:rPr>
          <w:rFonts w:ascii="Arial" w:hAnsi="Arial"/>
          <w:color w:val="4C585A"/>
          <w:spacing w:val="4"/>
          <w:sz w:val="21"/>
          <w:szCs w:val="21"/>
          <w:lang w:val="ru-RU"/>
        </w:rPr>
        <w:t>в выражении своих интересов собственным образом, выбирая предпочитаемые ими средства участия, в то же время признавая, что могут быть группы, которые могут говорить от имени других</w:t>
      </w:r>
      <w:r w:rsidR="00056EB9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  <w:r w:rsidR="00181598" w:rsidRPr="00B47D63">
        <w:rPr>
          <w:rFonts w:ascii="Arial" w:hAnsi="Arial"/>
          <w:color w:val="4C585A"/>
          <w:spacing w:val="4"/>
          <w:sz w:val="21"/>
          <w:szCs w:val="21"/>
          <w:lang w:val="ru-RU"/>
        </w:rPr>
        <w:br/>
      </w:r>
    </w:p>
    <w:p w14:paraId="60E58CDF" w14:textId="71E556EB" w:rsidR="00181598" w:rsidRPr="005C730E" w:rsidRDefault="00394C6B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5C730E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5</w:t>
      </w:r>
      <w:r w:rsidR="00181598" w:rsidRPr="005C730E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. </w:t>
      </w:r>
      <w:r w:rsidR="005C730E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Своевременность</w:t>
      </w:r>
      <w:r w:rsidR="00181598" w:rsidRPr="005C730E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="00181598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оставлять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достаточно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времени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в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течение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бюджетного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цикла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чтобы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общественность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могла</w:t>
      </w:r>
      <w:r w:rsidR="005C730E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внести свой вклад на разных этапах бюджета и политики</w:t>
      </w:r>
      <w:r w:rsidR="00181598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;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вовлекать на ранних этапах, когда еще нет окончательного выбора из вариантов; и там, где это желательно, дать возможность провести более одного раунда участия общественности</w:t>
      </w:r>
      <w:r w:rsidR="00056EB9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  <w:r w:rsidR="00181598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181598" w:rsidRPr="005C730E">
        <w:rPr>
          <w:rFonts w:ascii="Arial" w:hAnsi="Arial"/>
          <w:color w:val="4C585A"/>
          <w:spacing w:val="4"/>
          <w:sz w:val="21"/>
          <w:szCs w:val="21"/>
          <w:lang w:val="ru-RU"/>
        </w:rPr>
        <w:br/>
      </w:r>
    </w:p>
    <w:p w14:paraId="5DBBAE0D" w14:textId="6CCD085B" w:rsidR="00181598" w:rsidRPr="00040901" w:rsidRDefault="00394C6B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040901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6. </w:t>
      </w:r>
      <w:r w:rsidR="005C730E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Глубина</w:t>
      </w:r>
      <w:r w:rsidR="00181598" w:rsidRPr="00040901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="00181598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поддерживать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каждое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мероприятие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взаимодействия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с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общественностью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,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предоставляя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всю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необходимую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5C730E">
        <w:rPr>
          <w:rFonts w:ascii="Arial" w:hAnsi="Arial"/>
          <w:color w:val="4C585A"/>
          <w:spacing w:val="4"/>
          <w:sz w:val="21"/>
          <w:szCs w:val="21"/>
          <w:lang w:val="ru-RU"/>
        </w:rPr>
        <w:t>информацию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>,</w:t>
      </w:r>
      <w:r w:rsid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сообщая и</w:t>
      </w:r>
      <w:r w:rsidR="005C730E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040901">
        <w:rPr>
          <w:rFonts w:ascii="Arial" w:hAnsi="Arial"/>
          <w:color w:val="4C585A"/>
          <w:spacing w:val="4"/>
          <w:sz w:val="21"/>
          <w:szCs w:val="21"/>
          <w:lang w:val="ru-RU"/>
        </w:rPr>
        <w:t>подчёркивая ключевые задачи политики, варианты, компромиссы, определяя потенциальный социальный, экономический и экологический эффект, с учётом разнообразия перспектив; обеспечивать своевременную и конкретную связь по вкладу общественности и того, как её мнение учитывается или нет в официальной политике или консультациях</w:t>
      </w:r>
      <w:r w:rsidR="00056EB9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  <w:r w:rsidR="00181598" w:rsidRPr="00040901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</w:p>
    <w:p w14:paraId="04110676" w14:textId="77777777" w:rsidR="00181598" w:rsidRPr="00040901" w:rsidRDefault="00181598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</w:p>
    <w:p w14:paraId="1C319943" w14:textId="3E839388" w:rsidR="00181598" w:rsidRPr="00EF0F2A" w:rsidRDefault="00181598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260470">
        <w:rPr>
          <w:rFonts w:ascii="Arial" w:hAnsi="Arial"/>
          <w:b/>
          <w:i/>
          <w:color w:val="4C585A"/>
          <w:spacing w:val="4"/>
          <w:sz w:val="21"/>
          <w:szCs w:val="21"/>
        </w:rPr>
        <w:t>7</w:t>
      </w:r>
      <w:r w:rsidRPr="00260470">
        <w:rPr>
          <w:rFonts w:ascii="Arial" w:hAnsi="Arial"/>
          <w:color w:val="4C585A"/>
          <w:spacing w:val="4"/>
          <w:sz w:val="21"/>
          <w:szCs w:val="21"/>
        </w:rPr>
        <w:t xml:space="preserve">.  </w:t>
      </w:r>
      <w:r w:rsid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Соразмерность</w:t>
      </w:r>
      <w:r w:rsidRP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применять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разные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механизмы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привлечения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общественности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в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зависимости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от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масштаба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глубины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воздействия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рассматриваемого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вопроса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или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политики</w:t>
      </w:r>
      <w:r w:rsidR="00056EB9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  <w:r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br/>
      </w:r>
    </w:p>
    <w:p w14:paraId="35D16240" w14:textId="07F846DD" w:rsidR="00181598" w:rsidRPr="00EF0F2A" w:rsidRDefault="00181598" w:rsidP="00EF0F2A">
      <w:pPr>
        <w:widowControl w:val="0"/>
        <w:autoSpaceDE w:val="0"/>
        <w:autoSpaceDN w:val="0"/>
        <w:adjustRightInd w:val="0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8. </w:t>
      </w:r>
      <w:r w:rsid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Устойчивость</w:t>
      </w:r>
      <w:r w:rsidRP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все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государственные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негосударственные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организации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проводят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постоянные и регулярные консультации в целях обмена знаниями и постепенного укрепления взаимного доверия; там, где это уместно и эффективно, создают структуры для участия общественности, чтобы обратная связь с населением давала возможность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lastRenderedPageBreak/>
        <w:t>пересматривать принятые в области налогово-бюджетной политики решения; постоянно анализируют и оценивают опыт в целях повышения качества участия общественности</w:t>
      </w:r>
      <w:r w:rsidR="00056EB9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  <w:r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br/>
      </w:r>
    </w:p>
    <w:p w14:paraId="6DA4F9C4" w14:textId="540DE915" w:rsidR="00056EB9" w:rsidRPr="00EF0F2A" w:rsidRDefault="00181598" w:rsidP="00EF0F2A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9. </w:t>
      </w:r>
      <w:r w:rsid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Дополнительность</w:t>
      </w:r>
      <w:r w:rsidRP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обеспечить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механизмы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участия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общественности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граждан</w:t>
      </w:r>
      <w:r w:rsidR="00EF0F2A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>, котор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ые дополняют и повышают эффективность существующих систем управления и подотчётности</w:t>
      </w:r>
      <w:r w:rsidR="00056EB9" w:rsidRPr="00EF0F2A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</w:p>
    <w:p w14:paraId="76D4A685" w14:textId="77777777" w:rsidR="00F11B0A" w:rsidRPr="00EF0F2A" w:rsidRDefault="00F11B0A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</w:p>
    <w:p w14:paraId="3CEB1573" w14:textId="4B83F307" w:rsidR="00181598" w:rsidRPr="00A41F26" w:rsidRDefault="00181598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  <w:r w:rsidRPr="00A41F2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1</w:t>
      </w:r>
      <w:r w:rsidR="002C07B9" w:rsidRPr="00A41F2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0</w:t>
      </w:r>
      <w:r w:rsidRPr="00A41F2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 xml:space="preserve">. </w:t>
      </w:r>
      <w:r w:rsidR="00EF0F2A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Взаимность</w:t>
      </w:r>
      <w:r w:rsidRPr="00A41F26">
        <w:rPr>
          <w:rFonts w:ascii="Arial" w:hAnsi="Arial"/>
          <w:b/>
          <w:i/>
          <w:color w:val="4C585A"/>
          <w:spacing w:val="4"/>
          <w:sz w:val="21"/>
          <w:szCs w:val="21"/>
          <w:lang w:val="ru-RU"/>
        </w:rPr>
        <w:t>:</w:t>
      </w:r>
      <w:r w:rsidR="00EF0F2A" w:rsidRPr="00A41F2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все</w:t>
      </w:r>
      <w:r w:rsidR="00EF0F2A" w:rsidRPr="00A41F2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государственные</w:t>
      </w:r>
      <w:r w:rsidR="00EF0F2A" w:rsidRPr="00A41F2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и</w:t>
      </w:r>
      <w:r w:rsidR="00EF0F2A" w:rsidRPr="00A41F2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EF0F2A">
        <w:rPr>
          <w:rFonts w:ascii="Arial" w:hAnsi="Arial"/>
          <w:color w:val="4C585A"/>
          <w:spacing w:val="4"/>
          <w:sz w:val="21"/>
          <w:szCs w:val="21"/>
          <w:lang w:val="ru-RU"/>
        </w:rPr>
        <w:t>негосударственные</w:t>
      </w:r>
      <w:r w:rsidR="00EF0F2A" w:rsidRPr="00A41F26">
        <w:rPr>
          <w:rFonts w:ascii="Arial" w:hAnsi="Arial"/>
          <w:color w:val="4C585A"/>
          <w:spacing w:val="4"/>
          <w:sz w:val="21"/>
          <w:szCs w:val="21"/>
          <w:lang w:val="ru-RU"/>
        </w:rPr>
        <w:t xml:space="preserve"> </w:t>
      </w:r>
      <w:r w:rsidR="00A41F26">
        <w:rPr>
          <w:rFonts w:ascii="Arial" w:hAnsi="Arial"/>
          <w:color w:val="4C585A"/>
          <w:spacing w:val="4"/>
          <w:sz w:val="21"/>
          <w:szCs w:val="21"/>
          <w:lang w:val="ru-RU"/>
        </w:rPr>
        <w:t>организации, участвующие в общественных обсуждениях, должны открыто заявлять о своей миссии, о продвигаемых ими интересах, о тех, кого они представляют; они должны взять на себя обязательства и соблюдать согласованные правила участия в налогово-бюджетной политике; они должны сотрудничать в достижении целей участия</w:t>
      </w:r>
      <w:r w:rsidR="00F666A7" w:rsidRPr="00A41F26">
        <w:rPr>
          <w:rFonts w:ascii="Arial" w:hAnsi="Arial"/>
          <w:color w:val="4C585A"/>
          <w:spacing w:val="4"/>
          <w:sz w:val="21"/>
          <w:szCs w:val="21"/>
          <w:lang w:val="ru-RU"/>
        </w:rPr>
        <w:t>.</w:t>
      </w:r>
    </w:p>
    <w:p w14:paraId="21A2AB74" w14:textId="2100EDF3" w:rsidR="00181598" w:rsidRPr="00A41F26" w:rsidRDefault="00181598" w:rsidP="00181598">
      <w:pPr>
        <w:pStyle w:val="NoSpacing"/>
        <w:rPr>
          <w:rFonts w:ascii="Arial" w:hAnsi="Arial"/>
          <w:color w:val="4C585A"/>
          <w:spacing w:val="4"/>
          <w:sz w:val="21"/>
          <w:szCs w:val="21"/>
          <w:lang w:val="ru-RU"/>
        </w:rPr>
      </w:pPr>
    </w:p>
    <w:p w14:paraId="3B040164" w14:textId="77777777" w:rsidR="00274EC8" w:rsidRPr="00A41F26" w:rsidRDefault="00274EC8" w:rsidP="00274EC8">
      <w:pPr>
        <w:pStyle w:val="BodyText"/>
        <w:spacing w:line="252" w:lineRule="auto"/>
        <w:ind w:left="116" w:right="149" w:firstLine="0"/>
        <w:rPr>
          <w:rFonts w:ascii="Arial" w:hAnsi="Arial" w:cs="Arial"/>
          <w:color w:val="4C585A"/>
          <w:spacing w:val="2"/>
          <w:w w:val="102"/>
          <w:lang w:val="ru-RU"/>
        </w:rPr>
      </w:pPr>
    </w:p>
    <w:p w14:paraId="21205B6C" w14:textId="77777777" w:rsidR="00274EC8" w:rsidRPr="00A41F26" w:rsidRDefault="00274EC8" w:rsidP="00274EC8">
      <w:pPr>
        <w:pStyle w:val="BodyText"/>
        <w:spacing w:line="252" w:lineRule="auto"/>
        <w:ind w:left="116" w:right="149" w:firstLine="0"/>
        <w:rPr>
          <w:rFonts w:ascii="Arial" w:hAnsi="Arial" w:cs="Arial"/>
          <w:color w:val="4C585A"/>
          <w:spacing w:val="2"/>
          <w:w w:val="102"/>
          <w:lang w:val="ru-RU"/>
        </w:rPr>
      </w:pPr>
    </w:p>
    <w:p w14:paraId="3BB54C2F" w14:textId="77777777" w:rsidR="00274EC8" w:rsidRPr="00A41F26" w:rsidRDefault="00274EC8" w:rsidP="00181598">
      <w:pPr>
        <w:pStyle w:val="NoSpacing"/>
        <w:rPr>
          <w:rFonts w:ascii="Arial" w:hAnsi="Arial"/>
          <w:color w:val="4C585A"/>
          <w:spacing w:val="4"/>
          <w:sz w:val="22"/>
          <w:szCs w:val="22"/>
          <w:lang w:val="ru-RU"/>
        </w:rPr>
      </w:pPr>
    </w:p>
    <w:p w14:paraId="16644D94" w14:textId="77777777" w:rsidR="00274EC8" w:rsidRPr="00A41F26" w:rsidRDefault="00274EC8" w:rsidP="00181598">
      <w:pPr>
        <w:pStyle w:val="NoSpacing"/>
        <w:rPr>
          <w:rFonts w:ascii="Arial" w:hAnsi="Arial"/>
          <w:color w:val="4C585A"/>
          <w:spacing w:val="4"/>
          <w:sz w:val="22"/>
          <w:szCs w:val="22"/>
          <w:lang w:val="ru-RU"/>
        </w:rPr>
      </w:pPr>
    </w:p>
    <w:p w14:paraId="2FB655C6" w14:textId="77777777" w:rsidR="004B52E5" w:rsidRPr="00A41F26" w:rsidRDefault="004B52E5" w:rsidP="00181598">
      <w:pPr>
        <w:pStyle w:val="NoSpacing"/>
        <w:rPr>
          <w:rFonts w:ascii="Arial" w:eastAsia="Cambria" w:hAnsi="Arial"/>
          <w:color w:val="4C585A"/>
          <w:spacing w:val="4"/>
          <w:sz w:val="22"/>
          <w:szCs w:val="22"/>
          <w:lang w:val="ru-RU"/>
        </w:rPr>
      </w:pPr>
    </w:p>
    <w:p w14:paraId="78985056" w14:textId="77777777" w:rsidR="00181598" w:rsidRPr="00A41F26" w:rsidRDefault="00181598" w:rsidP="00181598">
      <w:pPr>
        <w:pStyle w:val="NoSpacing"/>
        <w:rPr>
          <w:rFonts w:ascii="Arial" w:hAnsi="Arial"/>
          <w:color w:val="4C585A"/>
          <w:spacing w:val="4"/>
          <w:sz w:val="22"/>
          <w:szCs w:val="22"/>
          <w:lang w:val="ru-RU"/>
        </w:rPr>
      </w:pPr>
    </w:p>
    <w:p w14:paraId="63FBCD1E" w14:textId="345123D4" w:rsidR="00C54F02" w:rsidRPr="00A41F26" w:rsidRDefault="00C54F02">
      <w:pPr>
        <w:rPr>
          <w:rFonts w:ascii="Arial" w:hAnsi="Arial" w:cs="Arial"/>
          <w:color w:val="4C585A"/>
          <w:sz w:val="22"/>
          <w:szCs w:val="22"/>
          <w:lang w:val="ru-RU"/>
        </w:rPr>
      </w:pPr>
      <w:r w:rsidRPr="00A41F26">
        <w:rPr>
          <w:rFonts w:ascii="Arial" w:hAnsi="Arial" w:cs="Arial"/>
          <w:color w:val="4C585A"/>
          <w:sz w:val="22"/>
          <w:szCs w:val="22"/>
          <w:lang w:val="ru-RU"/>
        </w:rPr>
        <w:br w:type="page"/>
      </w:r>
    </w:p>
    <w:p w14:paraId="27D8429A" w14:textId="77777777" w:rsidR="00447C5F" w:rsidRPr="00A41F26" w:rsidRDefault="00447C5F" w:rsidP="00801632">
      <w:pPr>
        <w:rPr>
          <w:rFonts w:ascii="Arial" w:hAnsi="Arial" w:cs="Arial"/>
          <w:color w:val="4C585A"/>
          <w:sz w:val="22"/>
          <w:szCs w:val="22"/>
          <w:lang w:val="ru-RU"/>
        </w:rPr>
      </w:pPr>
    </w:p>
    <w:sectPr w:rsidR="00447C5F" w:rsidRPr="00A41F26" w:rsidSect="00EC6AA9">
      <w:headerReference w:type="default" r:id="rId14"/>
      <w:footerReference w:type="even" r:id="rId15"/>
      <w:footerReference w:type="default" r:id="rId16"/>
      <w:pgSz w:w="12240" w:h="15840"/>
      <w:pgMar w:top="1701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39860" w14:textId="77777777" w:rsidR="00423595" w:rsidRDefault="00423595" w:rsidP="002352EB">
      <w:r>
        <w:separator/>
      </w:r>
    </w:p>
  </w:endnote>
  <w:endnote w:type="continuationSeparator" w:id="0">
    <w:p w14:paraId="09A4DD55" w14:textId="77777777" w:rsidR="00423595" w:rsidRDefault="00423595" w:rsidP="002352EB">
      <w:r>
        <w:continuationSeparator/>
      </w:r>
    </w:p>
  </w:endnote>
  <w:endnote w:id="1">
    <w:p w14:paraId="50512DEA" w14:textId="1212B265" w:rsidR="00325B4D" w:rsidRPr="00E01930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E01930">
        <w:rPr>
          <w:lang w:val="ru-RU"/>
        </w:rPr>
        <w:t xml:space="preserve"> </w:t>
      </w:r>
      <w:r>
        <w:rPr>
          <w:lang w:val="ru-RU"/>
        </w:rPr>
        <w:t>Принципы</w:t>
      </w:r>
      <w:r w:rsidRPr="00E01930">
        <w:rPr>
          <w:lang w:val="ru-RU"/>
        </w:rPr>
        <w:t xml:space="preserve"> </w:t>
      </w:r>
      <w:r>
        <w:rPr>
          <w:lang w:val="ru-RU"/>
        </w:rPr>
        <w:t>участия</w:t>
      </w:r>
      <w:r w:rsidRPr="00E01930">
        <w:rPr>
          <w:lang w:val="ru-RU"/>
        </w:rPr>
        <w:t xml:space="preserve"> </w:t>
      </w:r>
      <w:r>
        <w:rPr>
          <w:lang w:val="ru-RU"/>
        </w:rPr>
        <w:t>не</w:t>
      </w:r>
      <w:r w:rsidRPr="00E01930">
        <w:rPr>
          <w:lang w:val="ru-RU"/>
        </w:rPr>
        <w:t xml:space="preserve"> </w:t>
      </w:r>
      <w:r>
        <w:rPr>
          <w:lang w:val="ru-RU"/>
        </w:rPr>
        <w:t>подразумевают</w:t>
      </w:r>
      <w:r w:rsidRPr="00E01930">
        <w:rPr>
          <w:lang w:val="ru-RU"/>
        </w:rPr>
        <w:t xml:space="preserve"> </w:t>
      </w:r>
      <w:r>
        <w:rPr>
          <w:lang w:val="ru-RU"/>
        </w:rPr>
        <w:t>их</w:t>
      </w:r>
      <w:r w:rsidRPr="00E01930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E01930">
        <w:rPr>
          <w:lang w:val="ru-RU"/>
        </w:rPr>
        <w:t xml:space="preserve"> </w:t>
      </w:r>
      <w:r>
        <w:rPr>
          <w:lang w:val="ru-RU"/>
        </w:rPr>
        <w:t>в</w:t>
      </w:r>
      <w:r w:rsidRPr="00E0193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01930">
        <w:rPr>
          <w:lang w:val="ru-RU"/>
        </w:rPr>
        <w:t xml:space="preserve"> </w:t>
      </w:r>
      <w:r>
        <w:rPr>
          <w:lang w:val="ru-RU"/>
        </w:rPr>
        <w:t>самостоятельной</w:t>
      </w:r>
      <w:r w:rsidRPr="00E01930">
        <w:rPr>
          <w:lang w:val="ru-RU"/>
        </w:rPr>
        <w:t xml:space="preserve"> </w:t>
      </w:r>
      <w:r>
        <w:rPr>
          <w:lang w:val="ru-RU"/>
        </w:rPr>
        <w:t>или</w:t>
      </w:r>
      <w:r w:rsidRPr="00E01930">
        <w:rPr>
          <w:lang w:val="ru-RU"/>
        </w:rPr>
        <w:t xml:space="preserve"> </w:t>
      </w:r>
      <w:r>
        <w:rPr>
          <w:lang w:val="ru-RU"/>
        </w:rPr>
        <w:t>независимой</w:t>
      </w:r>
      <w:r w:rsidRPr="00E0193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E01930">
        <w:rPr>
          <w:lang w:val="ru-RU"/>
        </w:rPr>
        <w:t xml:space="preserve"> </w:t>
      </w:r>
      <w:r>
        <w:rPr>
          <w:lang w:val="ru-RU"/>
        </w:rPr>
        <w:t>общественных</w:t>
      </w:r>
      <w:r w:rsidRPr="00E01930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E01930">
        <w:rPr>
          <w:lang w:val="ru-RU"/>
        </w:rPr>
        <w:t xml:space="preserve"> </w:t>
      </w:r>
      <w:r>
        <w:rPr>
          <w:lang w:val="ru-RU"/>
        </w:rPr>
        <w:t>по</w:t>
      </w:r>
      <w:r w:rsidRPr="00E01930">
        <w:rPr>
          <w:lang w:val="ru-RU"/>
        </w:rPr>
        <w:t xml:space="preserve"> </w:t>
      </w:r>
      <w:r>
        <w:rPr>
          <w:lang w:val="ru-RU"/>
        </w:rPr>
        <w:t>мониторингу</w:t>
      </w:r>
      <w:r w:rsidRPr="00E01930">
        <w:rPr>
          <w:lang w:val="ru-RU"/>
        </w:rPr>
        <w:t xml:space="preserve">, </w:t>
      </w:r>
      <w:r>
        <w:rPr>
          <w:lang w:val="ru-RU"/>
        </w:rPr>
        <w:t>составлению</w:t>
      </w:r>
      <w:r w:rsidRPr="00E01930">
        <w:rPr>
          <w:lang w:val="ru-RU"/>
        </w:rPr>
        <w:t xml:space="preserve"> </w:t>
      </w:r>
      <w:r>
        <w:rPr>
          <w:lang w:val="ru-RU"/>
        </w:rPr>
        <w:t>замечаний,</w:t>
      </w:r>
      <w:r w:rsidRPr="00E01930">
        <w:rPr>
          <w:lang w:val="ru-RU"/>
        </w:rPr>
        <w:t xml:space="preserve"> </w:t>
      </w:r>
      <w:r>
        <w:rPr>
          <w:lang w:val="ru-RU"/>
        </w:rPr>
        <w:t>проведения кампаний или протестов против фискальной политики</w:t>
      </w:r>
      <w:r w:rsidRPr="00E01930">
        <w:rPr>
          <w:lang w:val="ru-RU"/>
        </w:rPr>
        <w:t>.</w:t>
      </w:r>
    </w:p>
  </w:endnote>
  <w:endnote w:id="2">
    <w:p w14:paraId="555B4CFD" w14:textId="475917A5" w:rsidR="00325B4D" w:rsidRPr="00E01930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E01930">
        <w:rPr>
          <w:lang w:val="ru-RU"/>
        </w:rPr>
        <w:t xml:space="preserve"> </w:t>
      </w:r>
      <w:r>
        <w:rPr>
          <w:lang w:val="ru-RU"/>
        </w:rPr>
        <w:t>Общие принципы</w:t>
      </w:r>
      <w:r w:rsidRPr="00E01930">
        <w:rPr>
          <w:lang w:val="ru-RU"/>
        </w:rPr>
        <w:t xml:space="preserve"> </w:t>
      </w:r>
      <w:r>
        <w:t>GIFT</w:t>
      </w:r>
      <w:r w:rsidRPr="00E01930">
        <w:rPr>
          <w:lang w:val="ru-RU"/>
        </w:rPr>
        <w:t xml:space="preserve"> </w:t>
      </w:r>
      <w:r>
        <w:rPr>
          <w:lang w:val="ru-RU"/>
        </w:rPr>
        <w:t>можно найти по адресу</w:t>
      </w:r>
      <w:r w:rsidRPr="00E01930">
        <w:rPr>
          <w:lang w:val="ru-RU"/>
        </w:rPr>
        <w:t xml:space="preserve"> </w:t>
      </w:r>
      <w:r w:rsidRPr="00CC386E">
        <w:t>http</w:t>
      </w:r>
      <w:r w:rsidRPr="00E01930">
        <w:rPr>
          <w:lang w:val="ru-RU"/>
        </w:rPr>
        <w:t>://</w:t>
      </w:r>
      <w:r w:rsidRPr="00CC386E">
        <w:t>www</w:t>
      </w:r>
      <w:r w:rsidRPr="00E01930">
        <w:rPr>
          <w:lang w:val="ru-RU"/>
        </w:rPr>
        <w:t>.</w:t>
      </w:r>
      <w:proofErr w:type="spellStart"/>
      <w:r w:rsidRPr="00CC386E">
        <w:t>fiscaltransparency</w:t>
      </w:r>
      <w:proofErr w:type="spellEnd"/>
      <w:r w:rsidRPr="00E01930">
        <w:rPr>
          <w:lang w:val="ru-RU"/>
        </w:rPr>
        <w:t>.</w:t>
      </w:r>
      <w:r w:rsidRPr="00CC386E">
        <w:t>net</w:t>
      </w:r>
      <w:r w:rsidRPr="00E01930">
        <w:rPr>
          <w:lang w:val="ru-RU"/>
        </w:rPr>
        <w:t>/</w:t>
      </w:r>
      <w:proofErr w:type="spellStart"/>
      <w:r w:rsidRPr="00CC386E">
        <w:t>eng</w:t>
      </w:r>
      <w:proofErr w:type="spellEnd"/>
      <w:r w:rsidRPr="00E01930">
        <w:rPr>
          <w:lang w:val="ru-RU"/>
        </w:rPr>
        <w:t>/</w:t>
      </w:r>
      <w:r w:rsidRPr="00CC386E">
        <w:t>principles</w:t>
      </w:r>
      <w:r w:rsidRPr="00E01930">
        <w:rPr>
          <w:lang w:val="ru-RU"/>
        </w:rPr>
        <w:t>.</w:t>
      </w:r>
      <w:proofErr w:type="spellStart"/>
      <w:r w:rsidRPr="00CC386E">
        <w:t>php</w:t>
      </w:r>
      <w:proofErr w:type="spellEnd"/>
      <w:r w:rsidRPr="00E01930">
        <w:rPr>
          <w:lang w:val="ru-RU"/>
        </w:rPr>
        <w:t>#</w:t>
      </w:r>
      <w:r w:rsidRPr="00CC386E">
        <w:t>more</w:t>
      </w:r>
    </w:p>
  </w:endnote>
  <w:endnote w:id="3">
    <w:p w14:paraId="2AA55DBA" w14:textId="42E9F96F" w:rsidR="00325B4D" w:rsidRPr="00757152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757152">
        <w:rPr>
          <w:lang w:val="ru-RU"/>
        </w:rPr>
        <w:t xml:space="preserve"> </w:t>
      </w:r>
      <w:r>
        <w:rPr>
          <w:lang w:val="ru-RU"/>
        </w:rPr>
        <w:t>Резолюция</w:t>
      </w:r>
      <w:r w:rsidRPr="00757152">
        <w:rPr>
          <w:lang w:val="ru-RU"/>
        </w:rPr>
        <w:t xml:space="preserve"> </w:t>
      </w:r>
      <w:r>
        <w:rPr>
          <w:lang w:val="ru-RU"/>
        </w:rPr>
        <w:t>ГА</w:t>
      </w:r>
      <w:r w:rsidRPr="00757152">
        <w:rPr>
          <w:lang w:val="ru-RU"/>
        </w:rPr>
        <w:t xml:space="preserve"> </w:t>
      </w:r>
      <w:r>
        <w:rPr>
          <w:lang w:val="ru-RU"/>
        </w:rPr>
        <w:t>ООН</w:t>
      </w:r>
      <w:r w:rsidRPr="00757152">
        <w:rPr>
          <w:lang w:val="ru-RU"/>
        </w:rPr>
        <w:t xml:space="preserve"> 67/218 </w:t>
      </w:r>
      <w:r>
        <w:rPr>
          <w:lang w:val="ru-RU"/>
        </w:rPr>
        <w:t>находится по адресу</w:t>
      </w:r>
      <w:r w:rsidRPr="00757152">
        <w:rPr>
          <w:lang w:val="ru-RU"/>
        </w:rPr>
        <w:t xml:space="preserve"> </w:t>
      </w:r>
      <w:r w:rsidRPr="00C4310A">
        <w:t>http</w:t>
      </w:r>
      <w:r w:rsidRPr="00757152">
        <w:rPr>
          <w:lang w:val="ru-RU"/>
        </w:rPr>
        <w:t>://</w:t>
      </w:r>
      <w:r w:rsidRPr="00C4310A">
        <w:t>www</w:t>
      </w:r>
      <w:r w:rsidRPr="00757152">
        <w:rPr>
          <w:lang w:val="ru-RU"/>
        </w:rPr>
        <w:t>.</w:t>
      </w:r>
      <w:r w:rsidRPr="00C4310A">
        <w:t>un</w:t>
      </w:r>
      <w:r w:rsidRPr="00757152">
        <w:rPr>
          <w:lang w:val="ru-RU"/>
        </w:rPr>
        <w:t>.</w:t>
      </w:r>
      <w:r w:rsidRPr="00C4310A">
        <w:t>org</w:t>
      </w:r>
      <w:r w:rsidRPr="00757152">
        <w:rPr>
          <w:lang w:val="ru-RU"/>
        </w:rPr>
        <w:t>/</w:t>
      </w:r>
      <w:r w:rsidRPr="00C4310A">
        <w:t>en</w:t>
      </w:r>
      <w:r w:rsidRPr="00757152">
        <w:rPr>
          <w:lang w:val="ru-RU"/>
        </w:rPr>
        <w:t>/</w:t>
      </w:r>
      <w:proofErr w:type="spellStart"/>
      <w:r w:rsidRPr="00C4310A">
        <w:t>ga</w:t>
      </w:r>
      <w:proofErr w:type="spellEnd"/>
      <w:r w:rsidRPr="00757152">
        <w:rPr>
          <w:lang w:val="ru-RU"/>
        </w:rPr>
        <w:t>/</w:t>
      </w:r>
      <w:r w:rsidRPr="00C4310A">
        <w:t>search</w:t>
      </w:r>
      <w:r w:rsidRPr="00757152">
        <w:rPr>
          <w:lang w:val="ru-RU"/>
        </w:rPr>
        <w:t>/</w:t>
      </w:r>
      <w:r w:rsidRPr="00C4310A">
        <w:t>view</w:t>
      </w:r>
      <w:r w:rsidRPr="00757152">
        <w:rPr>
          <w:lang w:val="ru-RU"/>
        </w:rPr>
        <w:t>_</w:t>
      </w:r>
      <w:r w:rsidRPr="00C4310A">
        <w:t>doc</w:t>
      </w:r>
      <w:r w:rsidRPr="00757152">
        <w:rPr>
          <w:lang w:val="ru-RU"/>
        </w:rPr>
        <w:t>.</w:t>
      </w:r>
      <w:r w:rsidRPr="00C4310A">
        <w:t>asp</w:t>
      </w:r>
      <w:r w:rsidRPr="00757152">
        <w:rPr>
          <w:lang w:val="ru-RU"/>
        </w:rPr>
        <w:t>?</w:t>
      </w:r>
      <w:r w:rsidRPr="00C4310A">
        <w:t>symbol</w:t>
      </w:r>
      <w:r w:rsidRPr="00757152">
        <w:rPr>
          <w:lang w:val="ru-RU"/>
        </w:rPr>
        <w:t>=</w:t>
      </w:r>
      <w:r w:rsidRPr="00C4310A">
        <w:t>A</w:t>
      </w:r>
      <w:r w:rsidRPr="00757152">
        <w:rPr>
          <w:lang w:val="ru-RU"/>
        </w:rPr>
        <w:t>/</w:t>
      </w:r>
      <w:r w:rsidRPr="00C4310A">
        <w:t>RES</w:t>
      </w:r>
      <w:r w:rsidRPr="00757152">
        <w:rPr>
          <w:lang w:val="ru-RU"/>
        </w:rPr>
        <w:t>/67/218</w:t>
      </w:r>
    </w:p>
  </w:endnote>
  <w:endnote w:id="4">
    <w:p w14:paraId="78304F93" w14:textId="4B18B474" w:rsidR="00325B4D" w:rsidRPr="00D136DB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D136DB">
        <w:rPr>
          <w:lang w:val="ru-RU"/>
        </w:rPr>
        <w:t xml:space="preserve"> </w:t>
      </w:r>
      <w:r>
        <w:rPr>
          <w:lang w:val="ru-RU"/>
        </w:rPr>
        <w:t>Семинары</w:t>
      </w:r>
      <w:r w:rsidRPr="00D136DB">
        <w:rPr>
          <w:lang w:val="ru-RU"/>
        </w:rPr>
        <w:t xml:space="preserve"> </w:t>
      </w:r>
      <w:r>
        <w:rPr>
          <w:lang w:val="ru-RU"/>
        </w:rPr>
        <w:t>проводились</w:t>
      </w:r>
      <w:r w:rsidRPr="00D136DB">
        <w:rPr>
          <w:lang w:val="ru-RU"/>
        </w:rPr>
        <w:t xml:space="preserve"> </w:t>
      </w:r>
      <w:r>
        <w:rPr>
          <w:lang w:val="ru-RU"/>
        </w:rPr>
        <w:t>в</w:t>
      </w:r>
      <w:r w:rsidRPr="00D136DB">
        <w:rPr>
          <w:lang w:val="ru-RU"/>
        </w:rPr>
        <w:t xml:space="preserve"> 2014 и 2015 </w:t>
      </w:r>
      <w:r>
        <w:rPr>
          <w:lang w:val="ru-RU"/>
        </w:rPr>
        <w:t>гг</w:t>
      </w:r>
      <w:r w:rsidRPr="00D136DB">
        <w:rPr>
          <w:lang w:val="ru-RU"/>
        </w:rPr>
        <w:t xml:space="preserve">. </w:t>
      </w:r>
      <w:r>
        <w:rPr>
          <w:lang w:val="ru-RU"/>
        </w:rPr>
        <w:t>в</w:t>
      </w:r>
      <w:r w:rsidRPr="00D136DB">
        <w:rPr>
          <w:lang w:val="ru-RU"/>
        </w:rPr>
        <w:t xml:space="preserve"> </w:t>
      </w:r>
      <w:r>
        <w:rPr>
          <w:lang w:val="ru-RU"/>
        </w:rPr>
        <w:t>Вашингтоне</w:t>
      </w:r>
      <w:r w:rsidRPr="00D136DB">
        <w:rPr>
          <w:lang w:val="ru-RU"/>
        </w:rPr>
        <w:t xml:space="preserve">, </w:t>
      </w:r>
      <w:r>
        <w:rPr>
          <w:lang w:val="ru-RU"/>
        </w:rPr>
        <w:t xml:space="preserve">округ Колумбия, Сан Хосе </w:t>
      </w:r>
      <w:proofErr w:type="spellStart"/>
      <w:r>
        <w:rPr>
          <w:lang w:val="ru-RU"/>
        </w:rPr>
        <w:t>Коста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Рики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Джакарате</w:t>
      </w:r>
      <w:proofErr w:type="spellEnd"/>
      <w:r>
        <w:rPr>
          <w:lang w:val="ru-RU"/>
        </w:rPr>
        <w:t>, Ке</w:t>
      </w:r>
      <w:r w:rsidR="000F77AB">
        <w:rPr>
          <w:lang w:val="ru-RU"/>
        </w:rPr>
        <w:t>й</w:t>
      </w:r>
      <w:r>
        <w:rPr>
          <w:lang w:val="ru-RU"/>
        </w:rPr>
        <w:t>птауне, Маниле и Мехико. В</w:t>
      </w:r>
      <w:r w:rsidRPr="00D136DB">
        <w:rPr>
          <w:lang w:val="ru-RU"/>
        </w:rPr>
        <w:t xml:space="preserve"> </w:t>
      </w:r>
      <w:r>
        <w:rPr>
          <w:lang w:val="ru-RU"/>
        </w:rPr>
        <w:t>Вашингтоне</w:t>
      </w:r>
      <w:r w:rsidRPr="00D136DB">
        <w:rPr>
          <w:lang w:val="ru-RU"/>
        </w:rPr>
        <w:t xml:space="preserve"> </w:t>
      </w:r>
      <w:r>
        <w:rPr>
          <w:lang w:val="ru-RU"/>
        </w:rPr>
        <w:t>прошло</w:t>
      </w:r>
      <w:r w:rsidRPr="00D136DB">
        <w:rPr>
          <w:lang w:val="ru-RU"/>
        </w:rPr>
        <w:t xml:space="preserve"> 5 </w:t>
      </w:r>
      <w:r>
        <w:rPr>
          <w:lang w:val="ru-RU"/>
        </w:rPr>
        <w:t>семинаров</w:t>
      </w:r>
      <w:r w:rsidRPr="00D136DB">
        <w:rPr>
          <w:lang w:val="ru-RU"/>
        </w:rPr>
        <w:t xml:space="preserve">, </w:t>
      </w:r>
      <w:r>
        <w:rPr>
          <w:lang w:val="ru-RU"/>
        </w:rPr>
        <w:t xml:space="preserve">два в офисе Международного налогово-бюджетного партнёрства (один в 2014 и два в 2015 </w:t>
      </w:r>
      <w:proofErr w:type="spellStart"/>
      <w:r>
        <w:rPr>
          <w:lang w:val="ru-RU"/>
        </w:rPr>
        <w:t>гг</w:t>
      </w:r>
      <w:proofErr w:type="spellEnd"/>
      <w:r>
        <w:rPr>
          <w:lang w:val="ru-RU"/>
        </w:rPr>
        <w:t>), и два во Всемирном банке (один в 2014 и другой в 2015 году</w:t>
      </w:r>
      <w:r w:rsidRPr="00D136DB">
        <w:rPr>
          <w:lang w:val="ru-RU"/>
        </w:rPr>
        <w:t>).</w:t>
      </w:r>
    </w:p>
  </w:endnote>
  <w:endnote w:id="5">
    <w:p w14:paraId="7069A4DF" w14:textId="0DC53C12" w:rsidR="00325B4D" w:rsidRPr="00061600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061600">
        <w:rPr>
          <w:lang w:val="ru-RU"/>
        </w:rPr>
        <w:t xml:space="preserve"> </w:t>
      </w:r>
      <w:r>
        <w:rPr>
          <w:lang w:val="ru-RU"/>
        </w:rPr>
        <w:t>Материалы</w:t>
      </w:r>
      <w:r w:rsidRPr="00061600">
        <w:rPr>
          <w:lang w:val="ru-RU"/>
        </w:rPr>
        <w:t xml:space="preserve"> </w:t>
      </w:r>
      <w:r>
        <w:rPr>
          <w:lang w:val="ru-RU"/>
        </w:rPr>
        <w:t>по</w:t>
      </w:r>
      <w:r w:rsidRPr="00061600">
        <w:rPr>
          <w:lang w:val="ru-RU"/>
        </w:rPr>
        <w:t xml:space="preserve"> </w:t>
      </w:r>
      <w:r>
        <w:rPr>
          <w:lang w:val="ru-RU"/>
        </w:rPr>
        <w:t>мероприятиям</w:t>
      </w:r>
      <w:r w:rsidRPr="00061600">
        <w:rPr>
          <w:lang w:val="ru-RU"/>
        </w:rPr>
        <w:t xml:space="preserve"> </w:t>
      </w:r>
      <w:r>
        <w:rPr>
          <w:lang w:val="ru-RU"/>
        </w:rPr>
        <w:t>Рабочей</w:t>
      </w:r>
      <w:r w:rsidRPr="00061600">
        <w:rPr>
          <w:lang w:val="ru-RU"/>
        </w:rPr>
        <w:t xml:space="preserve"> </w:t>
      </w:r>
      <w:r>
        <w:rPr>
          <w:lang w:val="ru-RU"/>
        </w:rPr>
        <w:t>группы</w:t>
      </w:r>
      <w:r w:rsidRPr="00061600">
        <w:rPr>
          <w:lang w:val="ru-RU"/>
        </w:rPr>
        <w:t xml:space="preserve"> </w:t>
      </w:r>
      <w:r>
        <w:rPr>
          <w:lang w:val="ru-RU"/>
        </w:rPr>
        <w:t>по</w:t>
      </w:r>
      <w:r w:rsidRPr="00061600">
        <w:rPr>
          <w:lang w:val="ru-RU"/>
        </w:rPr>
        <w:t xml:space="preserve"> </w:t>
      </w:r>
      <w:r>
        <w:rPr>
          <w:lang w:val="ru-RU"/>
        </w:rPr>
        <w:t>бюджетно-налоговой открытости имеются на</w:t>
      </w:r>
      <w:r w:rsidRPr="00061600">
        <w:rPr>
          <w:lang w:val="ru-RU"/>
        </w:rPr>
        <w:t xml:space="preserve"> </w:t>
      </w:r>
      <w:r w:rsidRPr="00CC386E">
        <w:rPr>
          <w:lang w:val="en-NZ"/>
        </w:rPr>
        <w:t>http</w:t>
      </w:r>
      <w:r w:rsidRPr="00061600">
        <w:rPr>
          <w:lang w:val="ru-RU"/>
        </w:rPr>
        <w:t>://</w:t>
      </w:r>
      <w:r w:rsidRPr="00CC386E">
        <w:rPr>
          <w:lang w:val="en-NZ"/>
        </w:rPr>
        <w:t>www</w:t>
      </w:r>
      <w:r w:rsidRPr="00061600">
        <w:rPr>
          <w:lang w:val="ru-RU"/>
        </w:rPr>
        <w:t>.</w:t>
      </w:r>
      <w:proofErr w:type="spellStart"/>
      <w:r w:rsidRPr="00CC386E">
        <w:rPr>
          <w:lang w:val="en-NZ"/>
        </w:rPr>
        <w:t>fiscaltransparency</w:t>
      </w:r>
      <w:proofErr w:type="spellEnd"/>
      <w:r w:rsidRPr="00061600">
        <w:rPr>
          <w:lang w:val="ru-RU"/>
        </w:rPr>
        <w:t>.</w:t>
      </w:r>
      <w:r w:rsidRPr="00CC386E">
        <w:rPr>
          <w:lang w:val="en-NZ"/>
        </w:rPr>
        <w:t>net</w:t>
      </w:r>
      <w:r w:rsidRPr="00061600">
        <w:rPr>
          <w:lang w:val="ru-RU"/>
        </w:rPr>
        <w:t>/</w:t>
      </w:r>
      <w:proofErr w:type="spellStart"/>
      <w:r w:rsidRPr="00CC386E">
        <w:rPr>
          <w:lang w:val="en-NZ"/>
        </w:rPr>
        <w:t>fowg</w:t>
      </w:r>
      <w:proofErr w:type="spellEnd"/>
      <w:r w:rsidRPr="00061600">
        <w:rPr>
          <w:lang w:val="ru-RU"/>
        </w:rPr>
        <w:t>/</w:t>
      </w:r>
    </w:p>
  </w:endnote>
  <w:endnote w:id="6">
    <w:p w14:paraId="1FE70390" w14:textId="5793334B" w:rsidR="00325B4D" w:rsidRPr="00061600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061600">
        <w:rPr>
          <w:lang w:val="ru-RU"/>
        </w:rPr>
        <w:t xml:space="preserve"> </w:t>
      </w:r>
      <w:r>
        <w:rPr>
          <w:lang w:val="ru-RU"/>
        </w:rPr>
        <w:t>Механизмы участия населения</w:t>
      </w:r>
      <w:r w:rsidRPr="00061600">
        <w:rPr>
          <w:lang w:val="ru-RU"/>
        </w:rPr>
        <w:t xml:space="preserve">: </w:t>
      </w:r>
      <w:r w:rsidRPr="00901C7F">
        <w:rPr>
          <w:lang w:val="en-NZ"/>
        </w:rPr>
        <w:t>www</w:t>
      </w:r>
      <w:r w:rsidRPr="00061600">
        <w:rPr>
          <w:lang w:val="ru-RU"/>
        </w:rPr>
        <w:t>.</w:t>
      </w:r>
      <w:proofErr w:type="spellStart"/>
      <w:r w:rsidRPr="00901C7F">
        <w:rPr>
          <w:lang w:val="en-NZ"/>
        </w:rPr>
        <w:t>fiscaltransparency</w:t>
      </w:r>
      <w:proofErr w:type="spellEnd"/>
      <w:r w:rsidRPr="00061600">
        <w:rPr>
          <w:lang w:val="ru-RU"/>
        </w:rPr>
        <w:t>.</w:t>
      </w:r>
      <w:r w:rsidRPr="00901C7F">
        <w:rPr>
          <w:lang w:val="en-NZ"/>
        </w:rPr>
        <w:t>net</w:t>
      </w:r>
      <w:r w:rsidRPr="00061600">
        <w:rPr>
          <w:lang w:val="ru-RU"/>
        </w:rPr>
        <w:t>/</w:t>
      </w:r>
      <w:r w:rsidRPr="00901C7F">
        <w:rPr>
          <w:lang w:val="en-NZ"/>
        </w:rPr>
        <w:t>mechanisms</w:t>
      </w:r>
      <w:r w:rsidRPr="00061600">
        <w:rPr>
          <w:lang w:val="ru-RU"/>
        </w:rPr>
        <w:t>/</w:t>
      </w:r>
    </w:p>
  </w:endnote>
  <w:endnote w:id="7">
    <w:p w14:paraId="7C806B39" w14:textId="6A6EBB7A" w:rsidR="00325B4D" w:rsidRPr="000F77AB" w:rsidRDefault="00325B4D" w:rsidP="000F77AB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0F77AB">
        <w:rPr>
          <w:lang w:val="ru-RU"/>
        </w:rPr>
        <w:t xml:space="preserve"> </w:t>
      </w:r>
      <w:r>
        <w:rPr>
          <w:lang w:val="ru-RU"/>
        </w:rPr>
        <w:t>При</w:t>
      </w:r>
      <w:r w:rsidRPr="000F77AB">
        <w:rPr>
          <w:lang w:val="ru-RU"/>
        </w:rPr>
        <w:t xml:space="preserve"> </w:t>
      </w:r>
      <w:r>
        <w:rPr>
          <w:lang w:val="ru-RU"/>
        </w:rPr>
        <w:t>обзоре</w:t>
      </w:r>
      <w:r w:rsidRPr="000F77AB">
        <w:rPr>
          <w:lang w:val="ru-RU"/>
        </w:rPr>
        <w:t xml:space="preserve"> </w:t>
      </w:r>
      <w:r>
        <w:rPr>
          <w:lang w:val="ru-RU"/>
        </w:rPr>
        <w:t>литературы</w:t>
      </w:r>
      <w:r w:rsidRPr="000F77AB">
        <w:rPr>
          <w:lang w:val="ru-RU"/>
        </w:rPr>
        <w:t xml:space="preserve"> </w:t>
      </w:r>
      <w:r>
        <w:rPr>
          <w:lang w:val="ru-RU"/>
        </w:rPr>
        <w:t>учитывались</w:t>
      </w:r>
      <w:r w:rsidRPr="000F77AB">
        <w:rPr>
          <w:lang w:val="ru-RU"/>
        </w:rPr>
        <w:t xml:space="preserve"> </w:t>
      </w:r>
      <w:r>
        <w:rPr>
          <w:lang w:val="ru-RU"/>
        </w:rPr>
        <w:t>такие</w:t>
      </w:r>
      <w:r w:rsidRPr="000F77AB">
        <w:rPr>
          <w:lang w:val="ru-RU"/>
        </w:rPr>
        <w:t xml:space="preserve"> </w:t>
      </w:r>
      <w:r>
        <w:rPr>
          <w:lang w:val="ru-RU"/>
        </w:rPr>
        <w:t>источники</w:t>
      </w:r>
      <w:r w:rsidRPr="000F77AB">
        <w:rPr>
          <w:lang w:val="ru-RU"/>
        </w:rPr>
        <w:t xml:space="preserve">, </w:t>
      </w:r>
      <w:r>
        <w:rPr>
          <w:lang w:val="ru-RU"/>
        </w:rPr>
        <w:t>как</w:t>
      </w:r>
      <w:r w:rsidRPr="000F77AB">
        <w:rPr>
          <w:lang w:val="ru-RU"/>
        </w:rPr>
        <w:t xml:space="preserve"> </w:t>
      </w:r>
      <w:proofErr w:type="spellStart"/>
      <w:r w:rsidR="006E63C5">
        <w:rPr>
          <w:lang w:val="ru-RU"/>
        </w:rPr>
        <w:t>Орхусская</w:t>
      </w:r>
      <w:proofErr w:type="spellEnd"/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конвенция</w:t>
      </w:r>
      <w:r w:rsidRPr="000F77AB">
        <w:rPr>
          <w:lang w:val="ru-RU"/>
        </w:rPr>
        <w:t xml:space="preserve">, </w:t>
      </w:r>
      <w:r w:rsidR="006E63C5">
        <w:rPr>
          <w:lang w:val="ru-RU"/>
        </w:rPr>
        <w:t>Обследование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открытости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бюджета</w:t>
      </w:r>
      <w:r w:rsidRPr="000F77AB">
        <w:rPr>
          <w:lang w:val="ru-RU"/>
        </w:rPr>
        <w:t xml:space="preserve"> 2015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г</w:t>
      </w:r>
      <w:r w:rsidRPr="000F77AB">
        <w:rPr>
          <w:lang w:val="ru-RU"/>
        </w:rPr>
        <w:t xml:space="preserve">, </w:t>
      </w:r>
      <w:r w:rsidR="006E63C5">
        <w:rPr>
          <w:lang w:val="ru-RU"/>
        </w:rPr>
        <w:t>Принципы</w:t>
      </w:r>
      <w:r w:rsidR="006E63C5" w:rsidRPr="000F77AB">
        <w:rPr>
          <w:lang w:val="ru-RU"/>
        </w:rPr>
        <w:t xml:space="preserve"> уча</w:t>
      </w:r>
      <w:r w:rsidR="006E63C5">
        <w:rPr>
          <w:lang w:val="ru-RU"/>
        </w:rPr>
        <w:t>стия</w:t>
      </w:r>
      <w:r w:rsidRPr="000F77AB">
        <w:rPr>
          <w:lang w:val="ru-RU"/>
        </w:rPr>
        <w:t xml:space="preserve"> </w:t>
      </w:r>
      <w:r w:rsidRPr="00147EE1">
        <w:t>DBM</w:t>
      </w:r>
      <w:r w:rsidRPr="000F77AB">
        <w:rPr>
          <w:lang w:val="ru-RU"/>
        </w:rPr>
        <w:t>-</w:t>
      </w:r>
      <w:r w:rsidRPr="00147EE1">
        <w:t>CSO</w:t>
      </w:r>
      <w:r w:rsidRPr="000F77AB">
        <w:rPr>
          <w:lang w:val="ru-RU"/>
        </w:rPr>
        <w:t xml:space="preserve"> </w:t>
      </w:r>
      <w:r w:rsidR="006E63C5">
        <w:rPr>
          <w:lang w:val="ru-RU"/>
        </w:rPr>
        <w:t>на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Филиппинах</w:t>
      </w:r>
      <w:r w:rsidRPr="000F77AB">
        <w:rPr>
          <w:lang w:val="ru-RU"/>
        </w:rPr>
        <w:t xml:space="preserve">, </w:t>
      </w:r>
      <w:r w:rsidR="006E63C5">
        <w:rPr>
          <w:lang w:val="ru-RU"/>
        </w:rPr>
        <w:t>Руководство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проведению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общественных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консультаций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обязательствам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страны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в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рамках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Партнёрства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открытого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правительства</w:t>
      </w:r>
      <w:r w:rsidRPr="000F77AB">
        <w:rPr>
          <w:lang w:val="ru-RU"/>
        </w:rPr>
        <w:t xml:space="preserve">, </w:t>
      </w:r>
      <w:r w:rsidR="006E63C5">
        <w:rPr>
          <w:lang w:val="ru-RU"/>
        </w:rPr>
        <w:t>Всемирная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комиссия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дамбам</w:t>
      </w:r>
      <w:r w:rsidRPr="000F77AB">
        <w:rPr>
          <w:lang w:val="ru-RU"/>
        </w:rPr>
        <w:t xml:space="preserve">, </w:t>
      </w:r>
      <w:r w:rsidR="006E63C5">
        <w:rPr>
          <w:lang w:val="ru-RU"/>
        </w:rPr>
        <w:t>записка</w:t>
      </w:r>
      <w:r w:rsidR="006E63C5" w:rsidRPr="000F77AB">
        <w:rPr>
          <w:lang w:val="ru-RU"/>
        </w:rPr>
        <w:t xml:space="preserve"> </w:t>
      </w:r>
      <w:proofErr w:type="spellStart"/>
      <w:r w:rsidR="006E63C5">
        <w:rPr>
          <w:lang w:val="ru-RU"/>
        </w:rPr>
        <w:t>Вивек</w:t>
      </w:r>
      <w:proofErr w:type="spellEnd"/>
      <w:r w:rsidR="006E63C5" w:rsidRPr="000F77AB">
        <w:rPr>
          <w:lang w:val="ru-RU"/>
        </w:rPr>
        <w:t xml:space="preserve"> </w:t>
      </w:r>
      <w:proofErr w:type="spellStart"/>
      <w:r w:rsidR="006E63C5">
        <w:rPr>
          <w:lang w:val="ru-RU"/>
        </w:rPr>
        <w:t>Рамкумар</w:t>
      </w:r>
      <w:proofErr w:type="spellEnd"/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принципах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общественного</w:t>
      </w:r>
      <w:r w:rsidR="006E63C5" w:rsidRPr="000F77AB">
        <w:rPr>
          <w:lang w:val="ru-RU"/>
        </w:rPr>
        <w:t xml:space="preserve"> </w:t>
      </w:r>
      <w:r w:rsidR="006E63C5">
        <w:rPr>
          <w:lang w:val="ru-RU"/>
        </w:rPr>
        <w:t>участия</w:t>
      </w:r>
      <w:r w:rsidR="006E63C5" w:rsidRPr="000F77AB">
        <w:rPr>
          <w:lang w:val="ru-RU"/>
        </w:rPr>
        <w:t xml:space="preserve">; </w:t>
      </w:r>
      <w:r w:rsidR="000F77AB">
        <w:rPr>
          <w:lang w:val="ru-RU"/>
        </w:rPr>
        <w:t>Рекомендации</w:t>
      </w:r>
      <w:r w:rsidR="000F77AB" w:rsidRPr="000F77AB">
        <w:rPr>
          <w:lang w:val="ru-RU"/>
        </w:rPr>
        <w:t xml:space="preserve"> </w:t>
      </w:r>
      <w:r w:rsidR="000F77AB">
        <w:t>GRI</w:t>
      </w:r>
      <w:r w:rsidR="000F77AB" w:rsidRPr="000F77AB">
        <w:rPr>
          <w:lang w:val="ru-RU"/>
        </w:rPr>
        <w:t xml:space="preserve"> «</w:t>
      </w:r>
      <w:r w:rsidR="000F77AB">
        <w:rPr>
          <w:lang w:val="ru-RU"/>
        </w:rPr>
        <w:t>Права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человека</w:t>
      </w:r>
      <w:r w:rsidR="000F77AB" w:rsidRPr="000F77AB">
        <w:rPr>
          <w:lang w:val="ru-RU"/>
        </w:rPr>
        <w:t xml:space="preserve">, </w:t>
      </w:r>
      <w:r w:rsidR="000F77AB">
        <w:rPr>
          <w:lang w:val="ru-RU"/>
        </w:rPr>
        <w:t>здравоохранение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и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стратегия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снижения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бедности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из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Управления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Верховного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комиссара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>ООН</w:t>
      </w:r>
      <w:r w:rsidR="000F77AB" w:rsidRPr="000F77AB">
        <w:rPr>
          <w:lang w:val="ru-RU"/>
        </w:rPr>
        <w:t xml:space="preserve"> </w:t>
      </w:r>
      <w:r w:rsidR="000F77AB">
        <w:rPr>
          <w:lang w:val="ru-RU"/>
        </w:rPr>
        <w:t xml:space="preserve">и ВОЗ 2008 года, Руководство ОЭСР от 2001 года по информации, консультациям и участию общественности в формировании политики; Национальная коалиция по диалогу и обсуждению ключевых принципов участия общественности, Международная ассоциация общественного участия, Национальная лига городов за планирование в целях повышения демократии на местах, Принципы консультаций британского правительства; конференция НПО Совета Европы: Кодекс передовой практики гражданского участия в процессах принятия решений; Генеральный директор ЕС по охране здоровья и прав потребителей: </w:t>
      </w:r>
      <w:r w:rsidR="000F77AB">
        <w:rPr>
          <w:lang w:val="ru-RU"/>
        </w:rPr>
        <w:t>Кодекс передовой практики</w:t>
      </w:r>
      <w:r w:rsidR="000F77AB">
        <w:rPr>
          <w:lang w:val="ru-RU"/>
        </w:rPr>
        <w:t xml:space="preserve"> в области консультаций с заинтересованными сторонами</w:t>
      </w:r>
      <w:bookmarkStart w:id="0" w:name="_GoBack"/>
      <w:bookmarkEnd w:id="0"/>
      <w:r w:rsidRPr="000F77AB">
        <w:rPr>
          <w:lang w:val="ru-RU"/>
        </w:rPr>
        <w:t>.</w:t>
      </w:r>
    </w:p>
  </w:endnote>
  <w:endnote w:id="8">
    <w:p w14:paraId="659E6796" w14:textId="159DF4E4" w:rsidR="00325B4D" w:rsidRPr="00061600" w:rsidRDefault="00325B4D" w:rsidP="0018159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061600">
        <w:rPr>
          <w:lang w:val="ru-RU"/>
        </w:rPr>
        <w:t xml:space="preserve"> “</w:t>
      </w:r>
      <w:r>
        <w:rPr>
          <w:lang w:val="ru-RU"/>
        </w:rPr>
        <w:t>Вот</w:t>
      </w:r>
      <w:r w:rsidRPr="00061600">
        <w:rPr>
          <w:lang w:val="ru-RU"/>
        </w:rPr>
        <w:t xml:space="preserve"> </w:t>
      </w:r>
      <w:r>
        <w:rPr>
          <w:lang w:val="ru-RU"/>
        </w:rPr>
        <w:t>как</w:t>
      </w:r>
      <w:r w:rsidRPr="00061600">
        <w:rPr>
          <w:lang w:val="ru-RU"/>
        </w:rPr>
        <w:t xml:space="preserve"> </w:t>
      </w:r>
      <w:r>
        <w:rPr>
          <w:lang w:val="ru-RU"/>
        </w:rPr>
        <w:t>ваш</w:t>
      </w:r>
      <w:r w:rsidRPr="00061600">
        <w:rPr>
          <w:lang w:val="ru-RU"/>
        </w:rPr>
        <w:t xml:space="preserve"> </w:t>
      </w:r>
      <w:r>
        <w:rPr>
          <w:lang w:val="ru-RU"/>
        </w:rPr>
        <w:t>вклад</w:t>
      </w:r>
      <w:r w:rsidRPr="00061600">
        <w:rPr>
          <w:lang w:val="ru-RU"/>
        </w:rPr>
        <w:t xml:space="preserve"> </w:t>
      </w:r>
      <w:r>
        <w:rPr>
          <w:lang w:val="ru-RU"/>
        </w:rPr>
        <w:t>помог</w:t>
      </w:r>
      <w:r w:rsidRPr="00061600">
        <w:rPr>
          <w:lang w:val="ru-RU"/>
        </w:rPr>
        <w:t xml:space="preserve"> </w:t>
      </w:r>
      <w:r>
        <w:rPr>
          <w:lang w:val="ru-RU"/>
        </w:rPr>
        <w:t>нам</w:t>
      </w:r>
      <w:r w:rsidRPr="00061600">
        <w:rPr>
          <w:lang w:val="ru-RU"/>
        </w:rPr>
        <w:t xml:space="preserve"> </w:t>
      </w:r>
      <w:r>
        <w:rPr>
          <w:lang w:val="ru-RU"/>
        </w:rPr>
        <w:t>улучшить</w:t>
      </w:r>
      <w:r w:rsidRPr="00061600">
        <w:rPr>
          <w:lang w:val="ru-RU"/>
        </w:rPr>
        <w:t xml:space="preserve"> </w:t>
      </w:r>
      <w:r>
        <w:rPr>
          <w:lang w:val="ru-RU"/>
        </w:rPr>
        <w:t>наши</w:t>
      </w:r>
      <w:r w:rsidRPr="00061600">
        <w:rPr>
          <w:lang w:val="ru-RU"/>
        </w:rPr>
        <w:t xml:space="preserve"> </w:t>
      </w:r>
      <w:r>
        <w:rPr>
          <w:lang w:val="ru-RU"/>
        </w:rPr>
        <w:t>новые</w:t>
      </w:r>
      <w:r w:rsidRPr="00061600">
        <w:rPr>
          <w:lang w:val="ru-RU"/>
        </w:rPr>
        <w:t xml:space="preserve"> </w:t>
      </w:r>
      <w:r>
        <w:rPr>
          <w:lang w:val="ru-RU"/>
        </w:rPr>
        <w:t>принципы</w:t>
      </w:r>
      <w:r w:rsidRPr="00061600">
        <w:rPr>
          <w:lang w:val="ru-RU"/>
        </w:rPr>
        <w:t xml:space="preserve"> </w:t>
      </w:r>
      <w:r>
        <w:rPr>
          <w:lang w:val="ru-RU"/>
        </w:rPr>
        <w:t>участия</w:t>
      </w:r>
      <w:r w:rsidRPr="00061600">
        <w:rPr>
          <w:lang w:val="ru-RU"/>
        </w:rPr>
        <w:t xml:space="preserve"> </w:t>
      </w:r>
      <w:r>
        <w:rPr>
          <w:lang w:val="ru-RU"/>
        </w:rPr>
        <w:t>населения</w:t>
      </w:r>
      <w:r w:rsidRPr="00061600">
        <w:rPr>
          <w:lang w:val="ru-RU"/>
        </w:rPr>
        <w:t xml:space="preserve">!” </w:t>
      </w:r>
      <w:r>
        <w:t>by</w:t>
      </w:r>
      <w:r w:rsidRPr="00061600">
        <w:rPr>
          <w:lang w:val="ru-RU"/>
        </w:rPr>
        <w:t xml:space="preserve"> </w:t>
      </w:r>
      <w:r>
        <w:t>Murray</w:t>
      </w:r>
      <w:r w:rsidRPr="00061600">
        <w:rPr>
          <w:lang w:val="ru-RU"/>
        </w:rPr>
        <w:t xml:space="preserve"> </w:t>
      </w:r>
      <w:r>
        <w:t>Petrie</w:t>
      </w:r>
      <w:r w:rsidRPr="00061600">
        <w:rPr>
          <w:lang w:val="ru-RU"/>
        </w:rPr>
        <w:t xml:space="preserve">: </w:t>
      </w:r>
      <w:r w:rsidRPr="00147C1A">
        <w:rPr>
          <w:lang w:val="en-NZ"/>
        </w:rPr>
        <w:t>http</w:t>
      </w:r>
      <w:r w:rsidRPr="00061600">
        <w:rPr>
          <w:lang w:val="ru-RU"/>
        </w:rPr>
        <w:t>://</w:t>
      </w:r>
      <w:r w:rsidRPr="00147C1A">
        <w:rPr>
          <w:lang w:val="en-NZ"/>
        </w:rPr>
        <w:t>www</w:t>
      </w:r>
      <w:r w:rsidRPr="00061600">
        <w:rPr>
          <w:lang w:val="ru-RU"/>
        </w:rPr>
        <w:t>.</w:t>
      </w:r>
      <w:proofErr w:type="spellStart"/>
      <w:r w:rsidRPr="00147C1A">
        <w:rPr>
          <w:lang w:val="en-NZ"/>
        </w:rPr>
        <w:t>fiscaltransparency</w:t>
      </w:r>
      <w:proofErr w:type="spellEnd"/>
      <w:r w:rsidRPr="00061600">
        <w:rPr>
          <w:lang w:val="ru-RU"/>
        </w:rPr>
        <w:t>.</w:t>
      </w:r>
      <w:r w:rsidRPr="00147C1A">
        <w:rPr>
          <w:lang w:val="en-NZ"/>
        </w:rPr>
        <w:t>net</w:t>
      </w:r>
      <w:r w:rsidRPr="00061600">
        <w:rPr>
          <w:lang w:val="ru-RU"/>
        </w:rPr>
        <w:t>/</w:t>
      </w:r>
      <w:r w:rsidRPr="00147C1A">
        <w:rPr>
          <w:lang w:val="en-NZ"/>
        </w:rPr>
        <w:t>blog</w:t>
      </w:r>
      <w:r w:rsidRPr="00061600">
        <w:rPr>
          <w:lang w:val="ru-RU"/>
        </w:rPr>
        <w:t>_</w:t>
      </w:r>
      <w:r w:rsidRPr="00147C1A">
        <w:rPr>
          <w:lang w:val="en-NZ"/>
        </w:rPr>
        <w:t>open</w:t>
      </w:r>
      <w:r w:rsidRPr="00061600">
        <w:rPr>
          <w:lang w:val="ru-RU"/>
        </w:rPr>
        <w:t>_</w:t>
      </w:r>
      <w:r w:rsidRPr="00147C1A">
        <w:rPr>
          <w:lang w:val="en-NZ"/>
        </w:rPr>
        <w:t>public</w:t>
      </w:r>
      <w:r w:rsidRPr="00061600">
        <w:rPr>
          <w:lang w:val="ru-RU"/>
        </w:rPr>
        <w:t>.</w:t>
      </w:r>
      <w:proofErr w:type="spellStart"/>
      <w:r w:rsidRPr="00147C1A">
        <w:rPr>
          <w:lang w:val="en-NZ"/>
        </w:rPr>
        <w:t>php</w:t>
      </w:r>
      <w:proofErr w:type="spellEnd"/>
      <w:r w:rsidRPr="00061600">
        <w:rPr>
          <w:lang w:val="ru-RU"/>
        </w:rPr>
        <w:t>?</w:t>
      </w:r>
      <w:proofErr w:type="spellStart"/>
      <w:r w:rsidRPr="00147C1A">
        <w:rPr>
          <w:lang w:val="en-NZ"/>
        </w:rPr>
        <w:t>IdToOpen</w:t>
      </w:r>
      <w:proofErr w:type="spellEnd"/>
      <w:r w:rsidRPr="00061600">
        <w:rPr>
          <w:lang w:val="ru-RU"/>
        </w:rPr>
        <w:t>=3665</w:t>
      </w:r>
    </w:p>
  </w:endnote>
  <w:endnote w:id="9">
    <w:p w14:paraId="55116FDC" w14:textId="474FC70E" w:rsidR="00325B4D" w:rsidRPr="00061600" w:rsidRDefault="00325B4D" w:rsidP="00274EC8">
      <w:pPr>
        <w:pStyle w:val="EndnoteText"/>
        <w:rPr>
          <w:lang w:val="ru-RU"/>
        </w:rPr>
      </w:pPr>
      <w:r>
        <w:rPr>
          <w:rStyle w:val="EndnoteReference"/>
        </w:rPr>
        <w:endnoteRef/>
      </w:r>
      <w:r w:rsidRPr="00061600">
        <w:rPr>
          <w:lang w:val="ru-RU"/>
        </w:rPr>
        <w:t xml:space="preserve"> </w:t>
      </w:r>
      <w:r>
        <w:rPr>
          <w:lang w:val="ru-RU"/>
        </w:rPr>
        <w:t>Бюджетно</w:t>
      </w:r>
      <w:r w:rsidRPr="00061600">
        <w:rPr>
          <w:lang w:val="ru-RU"/>
        </w:rPr>
        <w:t>-</w:t>
      </w:r>
      <w:r>
        <w:rPr>
          <w:lang w:val="ru-RU"/>
        </w:rPr>
        <w:t>налоговая</w:t>
      </w:r>
      <w:r w:rsidRPr="00061600">
        <w:rPr>
          <w:lang w:val="ru-RU"/>
        </w:rPr>
        <w:t xml:space="preserve"> </w:t>
      </w:r>
      <w:r>
        <w:rPr>
          <w:lang w:val="ru-RU"/>
        </w:rPr>
        <w:t>прозрачность</w:t>
      </w:r>
      <w:r w:rsidRPr="00061600">
        <w:rPr>
          <w:lang w:val="ru-RU"/>
        </w:rPr>
        <w:t xml:space="preserve"> </w:t>
      </w:r>
      <w:r>
        <w:rPr>
          <w:lang w:val="ru-RU"/>
        </w:rPr>
        <w:t>в</w:t>
      </w:r>
      <w:r w:rsidRPr="00061600">
        <w:rPr>
          <w:lang w:val="ru-RU"/>
        </w:rPr>
        <w:t xml:space="preserve"> </w:t>
      </w:r>
      <w:r>
        <w:rPr>
          <w:lang w:val="ru-RU"/>
        </w:rPr>
        <w:t>странах</w:t>
      </w:r>
      <w:r w:rsidRPr="00061600">
        <w:rPr>
          <w:lang w:val="ru-RU"/>
        </w:rPr>
        <w:t xml:space="preserve"> </w:t>
      </w:r>
      <w:r>
        <w:rPr>
          <w:lang w:val="ru-RU"/>
        </w:rPr>
        <w:t>Партнёрства</w:t>
      </w:r>
      <w:r w:rsidRPr="00061600">
        <w:rPr>
          <w:lang w:val="ru-RU"/>
        </w:rPr>
        <w:t xml:space="preserve"> </w:t>
      </w:r>
      <w:r>
        <w:rPr>
          <w:lang w:val="ru-RU"/>
        </w:rPr>
        <w:t>по</w:t>
      </w:r>
      <w:r w:rsidRPr="00061600">
        <w:rPr>
          <w:lang w:val="ru-RU"/>
        </w:rPr>
        <w:t xml:space="preserve"> </w:t>
      </w:r>
      <w:r>
        <w:rPr>
          <w:lang w:val="ru-RU"/>
        </w:rPr>
        <w:t>налогово</w:t>
      </w:r>
      <w:r w:rsidRPr="00061600">
        <w:rPr>
          <w:lang w:val="ru-RU"/>
        </w:rPr>
        <w:t>-</w:t>
      </w:r>
      <w:r>
        <w:rPr>
          <w:lang w:val="ru-RU"/>
        </w:rPr>
        <w:t>бюджетной</w:t>
      </w:r>
      <w:r w:rsidRPr="00061600">
        <w:rPr>
          <w:lang w:val="ru-RU"/>
        </w:rPr>
        <w:t xml:space="preserve"> </w:t>
      </w:r>
      <w:r>
        <w:rPr>
          <w:lang w:val="ru-RU"/>
        </w:rPr>
        <w:t>прозрачности</w:t>
      </w:r>
      <w:r w:rsidRPr="00061600">
        <w:rPr>
          <w:lang w:val="ru-RU"/>
        </w:rPr>
        <w:t xml:space="preserve"> </w:t>
      </w:r>
      <w:r>
        <w:rPr>
          <w:lang w:val="ru-RU"/>
        </w:rPr>
        <w:t>в</w:t>
      </w:r>
      <w:r w:rsidRPr="00061600">
        <w:rPr>
          <w:lang w:val="ru-RU"/>
        </w:rPr>
        <w:t xml:space="preserve"> </w:t>
      </w:r>
      <w:r>
        <w:rPr>
          <w:lang w:val="ru-RU"/>
        </w:rPr>
        <w:t>открытом правительстве</w:t>
      </w:r>
      <w:r w:rsidRPr="00061600">
        <w:rPr>
          <w:lang w:val="ru-RU"/>
        </w:rPr>
        <w:t xml:space="preserve">, </w:t>
      </w:r>
      <w:r>
        <w:rPr>
          <w:lang w:val="ru-RU"/>
        </w:rPr>
        <w:t>реализация обещаний Партнёрства: Анализ</w:t>
      </w:r>
      <w:r w:rsidRPr="00061600">
        <w:rPr>
          <w:lang w:val="ru-RU"/>
        </w:rPr>
        <w:t xml:space="preserve">. </w:t>
      </w:r>
      <w:r w:rsidRPr="00FC5003">
        <w:rPr>
          <w:lang w:val="en-NZ"/>
        </w:rPr>
        <w:t>http</w:t>
      </w:r>
      <w:r w:rsidRPr="00061600">
        <w:rPr>
          <w:lang w:val="ru-RU"/>
        </w:rPr>
        <w:t>://</w:t>
      </w:r>
      <w:r w:rsidRPr="00FC5003">
        <w:rPr>
          <w:lang w:val="en-NZ"/>
        </w:rPr>
        <w:t>www</w:t>
      </w:r>
      <w:r w:rsidRPr="00061600">
        <w:rPr>
          <w:lang w:val="ru-RU"/>
        </w:rPr>
        <w:t>.</w:t>
      </w:r>
      <w:proofErr w:type="spellStart"/>
      <w:r w:rsidRPr="00FC5003">
        <w:rPr>
          <w:lang w:val="en-NZ"/>
        </w:rPr>
        <w:t>fiscaltransparency</w:t>
      </w:r>
      <w:proofErr w:type="spellEnd"/>
      <w:r w:rsidRPr="00061600">
        <w:rPr>
          <w:lang w:val="ru-RU"/>
        </w:rPr>
        <w:t>.</w:t>
      </w:r>
      <w:r w:rsidRPr="00FC5003">
        <w:rPr>
          <w:lang w:val="en-NZ"/>
        </w:rPr>
        <w:t>net</w:t>
      </w:r>
      <w:r w:rsidRPr="00061600">
        <w:rPr>
          <w:lang w:val="ru-RU"/>
        </w:rPr>
        <w:t>/</w:t>
      </w:r>
      <w:proofErr w:type="spellStart"/>
      <w:r w:rsidRPr="00FC5003">
        <w:rPr>
          <w:lang w:val="en-NZ"/>
        </w:rPr>
        <w:t>eng</w:t>
      </w:r>
      <w:proofErr w:type="spellEnd"/>
      <w:r w:rsidRPr="00061600">
        <w:rPr>
          <w:lang w:val="ru-RU"/>
        </w:rPr>
        <w:t>/</w:t>
      </w:r>
      <w:r w:rsidRPr="00FC5003">
        <w:rPr>
          <w:lang w:val="en-NZ"/>
        </w:rPr>
        <w:t>resource</w:t>
      </w:r>
      <w:r w:rsidRPr="00061600">
        <w:rPr>
          <w:lang w:val="ru-RU"/>
        </w:rPr>
        <w:t>_</w:t>
      </w:r>
      <w:r w:rsidRPr="00FC5003">
        <w:rPr>
          <w:lang w:val="en-NZ"/>
        </w:rPr>
        <w:t>open</w:t>
      </w:r>
      <w:r w:rsidRPr="00061600">
        <w:rPr>
          <w:lang w:val="ru-RU"/>
        </w:rPr>
        <w:t>_</w:t>
      </w:r>
      <w:r w:rsidRPr="00FC5003">
        <w:rPr>
          <w:lang w:val="en-NZ"/>
        </w:rPr>
        <w:t>public</w:t>
      </w:r>
      <w:r w:rsidRPr="00061600">
        <w:rPr>
          <w:lang w:val="ru-RU"/>
        </w:rPr>
        <w:t>.</w:t>
      </w:r>
      <w:proofErr w:type="spellStart"/>
      <w:r w:rsidRPr="00FC5003">
        <w:rPr>
          <w:lang w:val="en-NZ"/>
        </w:rPr>
        <w:t>php</w:t>
      </w:r>
      <w:proofErr w:type="spellEnd"/>
      <w:r w:rsidRPr="00061600">
        <w:rPr>
          <w:lang w:val="ru-RU"/>
        </w:rPr>
        <w:t>?</w:t>
      </w:r>
      <w:proofErr w:type="spellStart"/>
      <w:r w:rsidRPr="00FC5003">
        <w:rPr>
          <w:lang w:val="en-NZ"/>
        </w:rPr>
        <w:t>IdToOpen</w:t>
      </w:r>
      <w:proofErr w:type="spellEnd"/>
      <w:r w:rsidRPr="00061600">
        <w:rPr>
          <w:lang w:val="ru-RU"/>
        </w:rPr>
        <w:t>=20151028136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ato">
    <w:altName w:val="Times New Roman"/>
    <w:charset w:val="00"/>
    <w:family w:val="auto"/>
    <w:pitch w:val="default"/>
  </w:font>
  <w:font w:name="Minion Pro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943D2" w14:textId="77777777" w:rsidR="00325B4D" w:rsidRDefault="00325B4D" w:rsidP="00B934E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FBB3B1" w14:textId="77777777" w:rsidR="00325B4D" w:rsidRDefault="00325B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BE3EC" w14:textId="0CDF82E6" w:rsidR="00325B4D" w:rsidRPr="00FD400A" w:rsidRDefault="00325B4D" w:rsidP="00757152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</w:rPr>
    </w:pPr>
    <w:r w:rsidRPr="00FD400A">
      <w:rPr>
        <w:rStyle w:val="PageNumber"/>
        <w:rFonts w:ascii="Arial" w:hAnsi="Arial" w:cs="Arial"/>
        <w:sz w:val="20"/>
      </w:rPr>
      <w:fldChar w:fldCharType="begin"/>
    </w:r>
    <w:r w:rsidRPr="00FD400A">
      <w:rPr>
        <w:rStyle w:val="PageNumber"/>
        <w:rFonts w:ascii="Arial" w:hAnsi="Arial" w:cs="Arial"/>
        <w:sz w:val="20"/>
      </w:rPr>
      <w:instrText xml:space="preserve">PAGE  </w:instrText>
    </w:r>
    <w:r w:rsidRPr="00FD400A">
      <w:rPr>
        <w:rStyle w:val="PageNumber"/>
        <w:rFonts w:ascii="Arial" w:hAnsi="Arial" w:cs="Arial"/>
        <w:sz w:val="20"/>
      </w:rPr>
      <w:fldChar w:fldCharType="separate"/>
    </w:r>
    <w:r w:rsidR="000F77AB">
      <w:rPr>
        <w:rStyle w:val="PageNumber"/>
        <w:rFonts w:ascii="Arial" w:hAnsi="Arial" w:cs="Arial"/>
        <w:noProof/>
        <w:sz w:val="20"/>
      </w:rPr>
      <w:t>8</w:t>
    </w:r>
    <w:r w:rsidRPr="00FD400A">
      <w:rPr>
        <w:rStyle w:val="PageNumber"/>
        <w:rFonts w:ascii="Arial" w:hAnsi="Arial" w:cs="Arial"/>
        <w:sz w:val="20"/>
      </w:rPr>
      <w:fldChar w:fldCharType="end"/>
    </w:r>
  </w:p>
  <w:p w14:paraId="03775DB6" w14:textId="65D871C3" w:rsidR="00325B4D" w:rsidRPr="00B934E9" w:rsidRDefault="00325B4D" w:rsidP="00EC6AA9">
    <w:pPr>
      <w:pStyle w:val="Footer"/>
      <w:rPr>
        <w:rFonts w:ascii="Arial" w:hAnsi="Arial" w:cs="Arial"/>
        <w:color w:val="000000" w:themeColor="text1"/>
        <w:sz w:val="18"/>
        <w:szCs w:val="18"/>
      </w:rPr>
    </w:pPr>
    <w:hyperlink r:id="rId1" w:history="1">
      <w:r w:rsidRPr="00B934E9">
        <w:rPr>
          <w:rStyle w:val="Hyperlink"/>
          <w:rFonts w:ascii="Arial" w:hAnsi="Arial" w:cs="Arial"/>
          <w:color w:val="000000" w:themeColor="text1"/>
          <w:sz w:val="18"/>
          <w:szCs w:val="18"/>
        </w:rPr>
        <w:t>www.fiscaltransparency.net</w:t>
      </w:r>
    </w:hyperlink>
    <w:r w:rsidRPr="00B934E9">
      <w:rPr>
        <w:rFonts w:ascii="Arial" w:hAnsi="Arial" w:cs="Arial"/>
        <w:color w:val="000000" w:themeColor="text1"/>
        <w:sz w:val="18"/>
        <w:szCs w:val="18"/>
      </w:rPr>
      <w:t xml:space="preserve"> </w:t>
    </w:r>
    <w:r w:rsidRPr="00B934E9">
      <w:rPr>
        <w:rFonts w:ascii="Arial" w:hAnsi="Arial" w:cs="Arial"/>
        <w:color w:val="000000" w:themeColor="text1"/>
        <w:sz w:val="18"/>
        <w:szCs w:val="18"/>
      </w:rPr>
      <w:tab/>
    </w:r>
    <w:r w:rsidRPr="00B934E9">
      <w:rPr>
        <w:rFonts w:ascii="Arial" w:hAnsi="Arial" w:cs="Arial"/>
        <w:color w:val="000000" w:themeColor="text1"/>
        <w:sz w:val="18"/>
        <w:szCs w:val="18"/>
      </w:rPr>
      <w:tab/>
      <w:t>@</w:t>
    </w:r>
    <w:proofErr w:type="spellStart"/>
    <w:r w:rsidRPr="00B934E9">
      <w:rPr>
        <w:rFonts w:ascii="Arial" w:hAnsi="Arial" w:cs="Arial"/>
        <w:color w:val="000000" w:themeColor="text1"/>
        <w:sz w:val="18"/>
        <w:szCs w:val="18"/>
      </w:rPr>
      <w:t>FiscalTrans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C78A7" w14:textId="77777777" w:rsidR="00423595" w:rsidRDefault="00423595" w:rsidP="002352EB">
      <w:r>
        <w:separator/>
      </w:r>
    </w:p>
  </w:footnote>
  <w:footnote w:type="continuationSeparator" w:id="0">
    <w:p w14:paraId="3F84837A" w14:textId="77777777" w:rsidR="00423595" w:rsidRDefault="00423595" w:rsidP="00235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12118" w14:textId="2DF43DD0" w:rsidR="00325B4D" w:rsidRDefault="00325B4D">
    <w:pPr>
      <w:pStyle w:val="Header"/>
    </w:pPr>
    <w:r w:rsidRPr="00233FE6">
      <w:rPr>
        <w:rFonts w:eastAsiaTheme="majorEastAsia"/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0E544C4C" wp14:editId="38D8FC2B">
          <wp:simplePos x="0" y="0"/>
          <wp:positionH relativeFrom="column">
            <wp:posOffset>2319020</wp:posOffset>
          </wp:positionH>
          <wp:positionV relativeFrom="paragraph">
            <wp:posOffset>-127000</wp:posOffset>
          </wp:positionV>
          <wp:extent cx="952500" cy="635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42" cy="63516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3="http://schemas.microsoft.com/office/drawing/2016/5/9/chartex" xmlns:cx4="http://schemas.microsoft.com/office/drawing/2016/5/10/chartex" xmlns:cx5="http://schemas.microsoft.com/office/drawing/2016/5/1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69E"/>
    <w:multiLevelType w:val="hybridMultilevel"/>
    <w:tmpl w:val="8F1806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CA6"/>
    <w:multiLevelType w:val="hybridMultilevel"/>
    <w:tmpl w:val="26DAEA62"/>
    <w:lvl w:ilvl="0" w:tplc="FBEAC3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F62CF"/>
    <w:multiLevelType w:val="hybridMultilevel"/>
    <w:tmpl w:val="B7BC5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61B6B"/>
    <w:multiLevelType w:val="hybridMultilevel"/>
    <w:tmpl w:val="F7426370"/>
    <w:lvl w:ilvl="0" w:tplc="1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">
    <w:nsid w:val="16C70F37"/>
    <w:multiLevelType w:val="hybridMultilevel"/>
    <w:tmpl w:val="B58C2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7F1E"/>
    <w:multiLevelType w:val="hybridMultilevel"/>
    <w:tmpl w:val="EC52C24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D1B33"/>
    <w:multiLevelType w:val="hybridMultilevel"/>
    <w:tmpl w:val="75164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B0268"/>
    <w:multiLevelType w:val="hybridMultilevel"/>
    <w:tmpl w:val="E0EAEB30"/>
    <w:lvl w:ilvl="0" w:tplc="C1BCB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67AC"/>
    <w:multiLevelType w:val="hybridMultilevel"/>
    <w:tmpl w:val="F31ADB62"/>
    <w:lvl w:ilvl="0" w:tplc="E0105A28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hint="default"/>
        <w:spacing w:val="1"/>
        <w:w w:val="102"/>
        <w:sz w:val="21"/>
        <w:szCs w:val="21"/>
      </w:rPr>
    </w:lvl>
    <w:lvl w:ilvl="1" w:tplc="02ACCDAA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754C8844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32EA95D0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E32EEF10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F0DCCE02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C1740910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29A2BA08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7338BA9E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9">
    <w:nsid w:val="36B3207D"/>
    <w:multiLevelType w:val="hybridMultilevel"/>
    <w:tmpl w:val="A740E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7BAF"/>
    <w:multiLevelType w:val="hybridMultilevel"/>
    <w:tmpl w:val="6814425E"/>
    <w:lvl w:ilvl="0" w:tplc="C1BCB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523CF"/>
    <w:multiLevelType w:val="hybridMultilevel"/>
    <w:tmpl w:val="C98EC844"/>
    <w:lvl w:ilvl="0" w:tplc="C1BCB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51BF9"/>
    <w:multiLevelType w:val="hybridMultilevel"/>
    <w:tmpl w:val="78828E1A"/>
    <w:lvl w:ilvl="0" w:tplc="89921C84">
      <w:start w:val="1"/>
      <w:numFmt w:val="decimal"/>
      <w:lvlText w:val="%1."/>
      <w:lvlJc w:val="left"/>
      <w:pPr>
        <w:ind w:left="720" w:hanging="360"/>
      </w:pPr>
      <w:rPr>
        <w:rFonts w:ascii="Arial" w:eastAsia="MS Mincho" w:hAnsi="Arial" w:cs="Times New Roman" w:hint="default"/>
        <w:b/>
        <w:i/>
        <w:color w:val="4C585A"/>
        <w:sz w:val="21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11B18"/>
    <w:multiLevelType w:val="hybridMultilevel"/>
    <w:tmpl w:val="34527AAC"/>
    <w:lvl w:ilvl="0" w:tplc="98A45D52">
      <w:start w:val="1"/>
      <w:numFmt w:val="lowerRoman"/>
      <w:lvlText w:val="%1."/>
      <w:lvlJc w:val="left"/>
      <w:pPr>
        <w:ind w:left="836" w:hanging="467"/>
        <w:jc w:val="right"/>
      </w:pPr>
      <w:rPr>
        <w:rFonts w:ascii="Cambria" w:eastAsia="Cambria" w:hAnsi="Cambria" w:hint="default"/>
        <w:spacing w:val="1"/>
        <w:w w:val="102"/>
        <w:sz w:val="21"/>
        <w:szCs w:val="21"/>
      </w:rPr>
    </w:lvl>
    <w:lvl w:ilvl="1" w:tplc="7FDE0D10">
      <w:start w:val="1"/>
      <w:numFmt w:val="bullet"/>
      <w:lvlText w:val="•"/>
      <w:lvlJc w:val="left"/>
      <w:pPr>
        <w:ind w:left="1718" w:hanging="467"/>
      </w:pPr>
      <w:rPr>
        <w:rFonts w:hint="default"/>
      </w:rPr>
    </w:lvl>
    <w:lvl w:ilvl="2" w:tplc="9A52B0D0">
      <w:start w:val="1"/>
      <w:numFmt w:val="bullet"/>
      <w:lvlText w:val="•"/>
      <w:lvlJc w:val="left"/>
      <w:pPr>
        <w:ind w:left="2596" w:hanging="467"/>
      </w:pPr>
      <w:rPr>
        <w:rFonts w:hint="default"/>
      </w:rPr>
    </w:lvl>
    <w:lvl w:ilvl="3" w:tplc="9154EDCA">
      <w:start w:val="1"/>
      <w:numFmt w:val="bullet"/>
      <w:lvlText w:val="•"/>
      <w:lvlJc w:val="left"/>
      <w:pPr>
        <w:ind w:left="3474" w:hanging="467"/>
      </w:pPr>
      <w:rPr>
        <w:rFonts w:hint="default"/>
      </w:rPr>
    </w:lvl>
    <w:lvl w:ilvl="4" w:tplc="E0525B22">
      <w:start w:val="1"/>
      <w:numFmt w:val="bullet"/>
      <w:lvlText w:val="•"/>
      <w:lvlJc w:val="left"/>
      <w:pPr>
        <w:ind w:left="4352" w:hanging="467"/>
      </w:pPr>
      <w:rPr>
        <w:rFonts w:hint="default"/>
      </w:rPr>
    </w:lvl>
    <w:lvl w:ilvl="5" w:tplc="8230FE68">
      <w:start w:val="1"/>
      <w:numFmt w:val="bullet"/>
      <w:lvlText w:val="•"/>
      <w:lvlJc w:val="left"/>
      <w:pPr>
        <w:ind w:left="5230" w:hanging="467"/>
      </w:pPr>
      <w:rPr>
        <w:rFonts w:hint="default"/>
      </w:rPr>
    </w:lvl>
    <w:lvl w:ilvl="6" w:tplc="7CCC41A2">
      <w:start w:val="1"/>
      <w:numFmt w:val="bullet"/>
      <w:lvlText w:val="•"/>
      <w:lvlJc w:val="left"/>
      <w:pPr>
        <w:ind w:left="6108" w:hanging="467"/>
      </w:pPr>
      <w:rPr>
        <w:rFonts w:hint="default"/>
      </w:rPr>
    </w:lvl>
    <w:lvl w:ilvl="7" w:tplc="729C537A">
      <w:start w:val="1"/>
      <w:numFmt w:val="bullet"/>
      <w:lvlText w:val="•"/>
      <w:lvlJc w:val="left"/>
      <w:pPr>
        <w:ind w:left="6986" w:hanging="467"/>
      </w:pPr>
      <w:rPr>
        <w:rFonts w:hint="default"/>
      </w:rPr>
    </w:lvl>
    <w:lvl w:ilvl="8" w:tplc="CE46C778">
      <w:start w:val="1"/>
      <w:numFmt w:val="bullet"/>
      <w:lvlText w:val="•"/>
      <w:lvlJc w:val="left"/>
      <w:pPr>
        <w:ind w:left="7864" w:hanging="467"/>
      </w:pPr>
      <w:rPr>
        <w:rFonts w:hint="default"/>
      </w:rPr>
    </w:lvl>
  </w:abstractNum>
  <w:abstractNum w:abstractNumId="14">
    <w:nsid w:val="5C2A0245"/>
    <w:multiLevelType w:val="hybridMultilevel"/>
    <w:tmpl w:val="015091D2"/>
    <w:lvl w:ilvl="0" w:tplc="E89C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661FD"/>
    <w:multiLevelType w:val="hybridMultilevel"/>
    <w:tmpl w:val="05FABEA2"/>
    <w:lvl w:ilvl="0" w:tplc="14C2D95C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hint="default"/>
        <w:spacing w:val="1"/>
        <w:w w:val="102"/>
        <w:sz w:val="21"/>
        <w:szCs w:val="21"/>
      </w:rPr>
    </w:lvl>
    <w:lvl w:ilvl="1" w:tplc="0B9842F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7F28B6B8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43580F2E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9AC892B2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57FA6766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4F7E24DE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C4B02C92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563CCFE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16">
    <w:nsid w:val="614271D1"/>
    <w:multiLevelType w:val="hybridMultilevel"/>
    <w:tmpl w:val="5C2A2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D4873"/>
    <w:multiLevelType w:val="hybridMultilevel"/>
    <w:tmpl w:val="54EEB37E"/>
    <w:lvl w:ilvl="0" w:tplc="87DC9A7C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hint="default"/>
        <w:b/>
        <w:bCs/>
        <w:spacing w:val="2"/>
        <w:w w:val="102"/>
        <w:sz w:val="21"/>
        <w:szCs w:val="21"/>
      </w:rPr>
    </w:lvl>
    <w:lvl w:ilvl="1" w:tplc="FFE828F6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E5B871A8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AE4C28F2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DB05C2A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3B06B5BA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4CB2DEAC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1CE039EE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BDB8F31A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8">
    <w:nsid w:val="692B5CD7"/>
    <w:multiLevelType w:val="hybridMultilevel"/>
    <w:tmpl w:val="DEA03D8E"/>
    <w:lvl w:ilvl="0" w:tplc="0424188C">
      <w:start w:val="1"/>
      <w:numFmt w:val="decimal"/>
      <w:lvlText w:val="%1."/>
      <w:lvlJc w:val="left"/>
      <w:pPr>
        <w:ind w:left="836" w:hanging="360"/>
      </w:pPr>
      <w:rPr>
        <w:rFonts w:ascii="Cambria" w:eastAsia="Cambria" w:hAnsi="Cambria" w:hint="default"/>
        <w:spacing w:val="2"/>
        <w:w w:val="102"/>
        <w:sz w:val="21"/>
        <w:szCs w:val="21"/>
      </w:rPr>
    </w:lvl>
    <w:lvl w:ilvl="1" w:tplc="12DCD11A">
      <w:start w:val="1"/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4BB8451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05D66634">
      <w:start w:val="1"/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700605C6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F036D4F0">
      <w:start w:val="1"/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4DADC32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E36AE74A">
      <w:start w:val="1"/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81B44E6A">
      <w:start w:val="1"/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9">
    <w:nsid w:val="724A450F"/>
    <w:multiLevelType w:val="hybridMultilevel"/>
    <w:tmpl w:val="4C408210"/>
    <w:lvl w:ilvl="0" w:tplc="14C2D95C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hint="default"/>
        <w:spacing w:val="1"/>
        <w:w w:val="102"/>
        <w:sz w:val="21"/>
        <w:szCs w:val="21"/>
      </w:rPr>
    </w:lvl>
    <w:lvl w:ilvl="1" w:tplc="32D43AF0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6FD4B31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3174B764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EF0AEC2A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912A66C8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7D5CA3B2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854651B2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7C4AB576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0">
    <w:nsid w:val="731C4406"/>
    <w:multiLevelType w:val="hybridMultilevel"/>
    <w:tmpl w:val="B06E17C6"/>
    <w:lvl w:ilvl="0" w:tplc="85F8FFDE">
      <w:start w:val="1"/>
      <w:numFmt w:val="bullet"/>
      <w:lvlText w:val=""/>
      <w:lvlJc w:val="left"/>
      <w:pPr>
        <w:ind w:left="886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A0381CA4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31B40DF0">
      <w:start w:val="1"/>
      <w:numFmt w:val="bullet"/>
      <w:lvlText w:val="•"/>
      <w:lvlJc w:val="left"/>
      <w:pPr>
        <w:ind w:left="2628" w:hanging="360"/>
      </w:pPr>
      <w:rPr>
        <w:rFonts w:hint="default"/>
      </w:rPr>
    </w:lvl>
    <w:lvl w:ilvl="3" w:tplc="34CCCEAA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07301DD2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  <w:lvl w:ilvl="5" w:tplc="68503490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C308B1A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C45A3C38">
      <w:start w:val="1"/>
      <w:numFmt w:val="bullet"/>
      <w:lvlText w:val="•"/>
      <w:lvlJc w:val="left"/>
      <w:pPr>
        <w:ind w:left="6998" w:hanging="360"/>
      </w:pPr>
      <w:rPr>
        <w:rFonts w:hint="default"/>
      </w:rPr>
    </w:lvl>
    <w:lvl w:ilvl="8" w:tplc="BDEA6236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21">
    <w:nsid w:val="7711215A"/>
    <w:multiLevelType w:val="hybridMultilevel"/>
    <w:tmpl w:val="C2780E44"/>
    <w:lvl w:ilvl="0" w:tplc="41C44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0355E"/>
    <w:multiLevelType w:val="hybridMultilevel"/>
    <w:tmpl w:val="426A3BC0"/>
    <w:lvl w:ilvl="0" w:tplc="829C12E8">
      <w:start w:val="1"/>
      <w:numFmt w:val="lowerLetter"/>
      <w:lvlText w:val="%1)"/>
      <w:lvlJc w:val="left"/>
      <w:pPr>
        <w:ind w:left="836" w:hanging="360"/>
      </w:pPr>
      <w:rPr>
        <w:rFonts w:ascii="Cambria" w:eastAsia="Cambria" w:hAnsi="Cambria" w:hint="default"/>
        <w:spacing w:val="1"/>
        <w:w w:val="102"/>
        <w:sz w:val="21"/>
        <w:szCs w:val="21"/>
      </w:rPr>
    </w:lvl>
    <w:lvl w:ilvl="1" w:tplc="A106E94E">
      <w:start w:val="1"/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DD0A8772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A4827876">
      <w:start w:val="1"/>
      <w:numFmt w:val="bullet"/>
      <w:lvlText w:val="•"/>
      <w:lvlJc w:val="left"/>
      <w:pPr>
        <w:ind w:left="3474" w:hanging="360"/>
      </w:pPr>
      <w:rPr>
        <w:rFonts w:hint="default"/>
      </w:rPr>
    </w:lvl>
    <w:lvl w:ilvl="4" w:tplc="E4A08BC0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 w:tplc="DF36BB4E">
      <w:start w:val="1"/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283CEB98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48C0AE6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73305154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23">
    <w:nsid w:val="7BD8561E"/>
    <w:multiLevelType w:val="hybridMultilevel"/>
    <w:tmpl w:val="22BCE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23"/>
  </w:num>
  <w:num w:numId="8">
    <w:abstractNumId w:val="19"/>
  </w:num>
  <w:num w:numId="9">
    <w:abstractNumId w:val="22"/>
  </w:num>
  <w:num w:numId="10">
    <w:abstractNumId w:val="8"/>
  </w:num>
  <w:num w:numId="11">
    <w:abstractNumId w:val="15"/>
  </w:num>
  <w:num w:numId="12">
    <w:abstractNumId w:val="18"/>
  </w:num>
  <w:num w:numId="13">
    <w:abstractNumId w:val="13"/>
  </w:num>
  <w:num w:numId="14">
    <w:abstractNumId w:val="17"/>
  </w:num>
  <w:num w:numId="15">
    <w:abstractNumId w:val="20"/>
  </w:num>
  <w:num w:numId="16">
    <w:abstractNumId w:val="14"/>
  </w:num>
  <w:num w:numId="17">
    <w:abstractNumId w:val="5"/>
  </w:num>
  <w:num w:numId="18">
    <w:abstractNumId w:val="3"/>
  </w:num>
  <w:num w:numId="19">
    <w:abstractNumId w:val="7"/>
  </w:num>
  <w:num w:numId="20">
    <w:abstractNumId w:val="1"/>
  </w:num>
  <w:num w:numId="21">
    <w:abstractNumId w:val="10"/>
  </w:num>
  <w:num w:numId="22">
    <w:abstractNumId w:val="11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3E"/>
    <w:rsid w:val="0000048C"/>
    <w:rsid w:val="000021D4"/>
    <w:rsid w:val="000078A3"/>
    <w:rsid w:val="0001190E"/>
    <w:rsid w:val="00013324"/>
    <w:rsid w:val="0001471D"/>
    <w:rsid w:val="00016B49"/>
    <w:rsid w:val="000233CA"/>
    <w:rsid w:val="00023753"/>
    <w:rsid w:val="0003151C"/>
    <w:rsid w:val="00037F69"/>
    <w:rsid w:val="00040901"/>
    <w:rsid w:val="00056EB9"/>
    <w:rsid w:val="00057432"/>
    <w:rsid w:val="00061600"/>
    <w:rsid w:val="000714BB"/>
    <w:rsid w:val="00075D19"/>
    <w:rsid w:val="00082237"/>
    <w:rsid w:val="000B241C"/>
    <w:rsid w:val="000B2CFD"/>
    <w:rsid w:val="000B3FAA"/>
    <w:rsid w:val="000D1787"/>
    <w:rsid w:val="000D66DD"/>
    <w:rsid w:val="000D6DC8"/>
    <w:rsid w:val="000E474D"/>
    <w:rsid w:val="000F6AEF"/>
    <w:rsid w:val="000F77AB"/>
    <w:rsid w:val="000F79A0"/>
    <w:rsid w:val="00104A6E"/>
    <w:rsid w:val="00110A4F"/>
    <w:rsid w:val="00113367"/>
    <w:rsid w:val="0014031E"/>
    <w:rsid w:val="00164BA9"/>
    <w:rsid w:val="00173F10"/>
    <w:rsid w:val="0017616D"/>
    <w:rsid w:val="00181598"/>
    <w:rsid w:val="00192D44"/>
    <w:rsid w:val="001930BF"/>
    <w:rsid w:val="00195BCB"/>
    <w:rsid w:val="001A6B60"/>
    <w:rsid w:val="001B4247"/>
    <w:rsid w:val="001C2D6A"/>
    <w:rsid w:val="001D5D43"/>
    <w:rsid w:val="001E5A0C"/>
    <w:rsid w:val="001E6DC5"/>
    <w:rsid w:val="001F0BCD"/>
    <w:rsid w:val="001F28C0"/>
    <w:rsid w:val="00207838"/>
    <w:rsid w:val="00207C50"/>
    <w:rsid w:val="002148C2"/>
    <w:rsid w:val="00233ECD"/>
    <w:rsid w:val="002352EB"/>
    <w:rsid w:val="002373AC"/>
    <w:rsid w:val="00250BCC"/>
    <w:rsid w:val="00260470"/>
    <w:rsid w:val="00274EC8"/>
    <w:rsid w:val="00285C2B"/>
    <w:rsid w:val="002875D4"/>
    <w:rsid w:val="0029184A"/>
    <w:rsid w:val="002A55A4"/>
    <w:rsid w:val="002B7D12"/>
    <w:rsid w:val="002C07B9"/>
    <w:rsid w:val="002E1C27"/>
    <w:rsid w:val="002F595D"/>
    <w:rsid w:val="0030001E"/>
    <w:rsid w:val="00300D52"/>
    <w:rsid w:val="0030671D"/>
    <w:rsid w:val="00317FC0"/>
    <w:rsid w:val="00324D45"/>
    <w:rsid w:val="00325B4D"/>
    <w:rsid w:val="00331E1C"/>
    <w:rsid w:val="00332D0A"/>
    <w:rsid w:val="00333B03"/>
    <w:rsid w:val="00336306"/>
    <w:rsid w:val="0033711E"/>
    <w:rsid w:val="003419C7"/>
    <w:rsid w:val="003469DC"/>
    <w:rsid w:val="00352FFD"/>
    <w:rsid w:val="00374189"/>
    <w:rsid w:val="003746F8"/>
    <w:rsid w:val="00394C6B"/>
    <w:rsid w:val="00395022"/>
    <w:rsid w:val="003A00DE"/>
    <w:rsid w:val="003A1BC8"/>
    <w:rsid w:val="003A4500"/>
    <w:rsid w:val="003A6CF4"/>
    <w:rsid w:val="003B3A24"/>
    <w:rsid w:val="003C029A"/>
    <w:rsid w:val="003E162F"/>
    <w:rsid w:val="003F460F"/>
    <w:rsid w:val="00415B40"/>
    <w:rsid w:val="00420AD7"/>
    <w:rsid w:val="00422DBF"/>
    <w:rsid w:val="00423595"/>
    <w:rsid w:val="00424816"/>
    <w:rsid w:val="00447C5F"/>
    <w:rsid w:val="0045105E"/>
    <w:rsid w:val="00461522"/>
    <w:rsid w:val="00473A33"/>
    <w:rsid w:val="00487C80"/>
    <w:rsid w:val="004913CB"/>
    <w:rsid w:val="0049342A"/>
    <w:rsid w:val="00495A6E"/>
    <w:rsid w:val="004A51F4"/>
    <w:rsid w:val="004B3405"/>
    <w:rsid w:val="004B52E5"/>
    <w:rsid w:val="004D1E77"/>
    <w:rsid w:val="004E4C96"/>
    <w:rsid w:val="004E676C"/>
    <w:rsid w:val="004E70C8"/>
    <w:rsid w:val="004E70F2"/>
    <w:rsid w:val="004F6E9F"/>
    <w:rsid w:val="004F7ABC"/>
    <w:rsid w:val="00527E7D"/>
    <w:rsid w:val="005300A8"/>
    <w:rsid w:val="0054484C"/>
    <w:rsid w:val="00557CCB"/>
    <w:rsid w:val="00593400"/>
    <w:rsid w:val="00597EF1"/>
    <w:rsid w:val="005B12A2"/>
    <w:rsid w:val="005B15EF"/>
    <w:rsid w:val="005B1D56"/>
    <w:rsid w:val="005B44C0"/>
    <w:rsid w:val="005C468F"/>
    <w:rsid w:val="005C730E"/>
    <w:rsid w:val="005E455A"/>
    <w:rsid w:val="005E4808"/>
    <w:rsid w:val="005E6D5E"/>
    <w:rsid w:val="005F0281"/>
    <w:rsid w:val="005F3158"/>
    <w:rsid w:val="005F64AA"/>
    <w:rsid w:val="00606E13"/>
    <w:rsid w:val="00613F6F"/>
    <w:rsid w:val="0061653B"/>
    <w:rsid w:val="006229DD"/>
    <w:rsid w:val="00645475"/>
    <w:rsid w:val="00651E9B"/>
    <w:rsid w:val="00673E8D"/>
    <w:rsid w:val="00683739"/>
    <w:rsid w:val="006838A1"/>
    <w:rsid w:val="006914AF"/>
    <w:rsid w:val="006A49D6"/>
    <w:rsid w:val="006B2CC8"/>
    <w:rsid w:val="006C6570"/>
    <w:rsid w:val="006E0A04"/>
    <w:rsid w:val="006E63C5"/>
    <w:rsid w:val="006E6A58"/>
    <w:rsid w:val="006F3CBF"/>
    <w:rsid w:val="00725B92"/>
    <w:rsid w:val="00757152"/>
    <w:rsid w:val="007903B3"/>
    <w:rsid w:val="007A5EDA"/>
    <w:rsid w:val="007B73D8"/>
    <w:rsid w:val="007C760D"/>
    <w:rsid w:val="007E1459"/>
    <w:rsid w:val="007E214F"/>
    <w:rsid w:val="007E2F1F"/>
    <w:rsid w:val="007F3C3A"/>
    <w:rsid w:val="00801632"/>
    <w:rsid w:val="008224B3"/>
    <w:rsid w:val="00832583"/>
    <w:rsid w:val="0084279C"/>
    <w:rsid w:val="00854CB0"/>
    <w:rsid w:val="00864788"/>
    <w:rsid w:val="00867FC5"/>
    <w:rsid w:val="008735AC"/>
    <w:rsid w:val="00875D47"/>
    <w:rsid w:val="0087727C"/>
    <w:rsid w:val="008912F3"/>
    <w:rsid w:val="008A54F1"/>
    <w:rsid w:val="008B6A44"/>
    <w:rsid w:val="008B78C4"/>
    <w:rsid w:val="008C1156"/>
    <w:rsid w:val="008D73E6"/>
    <w:rsid w:val="008F1DF4"/>
    <w:rsid w:val="008F2702"/>
    <w:rsid w:val="008F592E"/>
    <w:rsid w:val="008F79AE"/>
    <w:rsid w:val="00901C7F"/>
    <w:rsid w:val="00921064"/>
    <w:rsid w:val="00924534"/>
    <w:rsid w:val="00936DF7"/>
    <w:rsid w:val="009436C2"/>
    <w:rsid w:val="00953B3E"/>
    <w:rsid w:val="00974DA5"/>
    <w:rsid w:val="00983017"/>
    <w:rsid w:val="009B2132"/>
    <w:rsid w:val="009B3279"/>
    <w:rsid w:val="009C3299"/>
    <w:rsid w:val="00A361A8"/>
    <w:rsid w:val="00A41F26"/>
    <w:rsid w:val="00A43EC7"/>
    <w:rsid w:val="00A5095B"/>
    <w:rsid w:val="00A50A0C"/>
    <w:rsid w:val="00A50C8F"/>
    <w:rsid w:val="00A728F2"/>
    <w:rsid w:val="00A901E5"/>
    <w:rsid w:val="00A91253"/>
    <w:rsid w:val="00AA213C"/>
    <w:rsid w:val="00AB2F6E"/>
    <w:rsid w:val="00AC1BF3"/>
    <w:rsid w:val="00AD6273"/>
    <w:rsid w:val="00AF0A00"/>
    <w:rsid w:val="00B24FBA"/>
    <w:rsid w:val="00B30A36"/>
    <w:rsid w:val="00B34E8C"/>
    <w:rsid w:val="00B36704"/>
    <w:rsid w:val="00B47D63"/>
    <w:rsid w:val="00B51BAC"/>
    <w:rsid w:val="00B52859"/>
    <w:rsid w:val="00B62E3F"/>
    <w:rsid w:val="00B7745D"/>
    <w:rsid w:val="00B8346F"/>
    <w:rsid w:val="00B8686C"/>
    <w:rsid w:val="00B877CB"/>
    <w:rsid w:val="00B87FD2"/>
    <w:rsid w:val="00B934E9"/>
    <w:rsid w:val="00C260B0"/>
    <w:rsid w:val="00C447A9"/>
    <w:rsid w:val="00C54F02"/>
    <w:rsid w:val="00C6537E"/>
    <w:rsid w:val="00C817E0"/>
    <w:rsid w:val="00C96620"/>
    <w:rsid w:val="00CA0CB0"/>
    <w:rsid w:val="00CC17F6"/>
    <w:rsid w:val="00CC28D3"/>
    <w:rsid w:val="00CD3BDD"/>
    <w:rsid w:val="00CD698F"/>
    <w:rsid w:val="00CE0E25"/>
    <w:rsid w:val="00CE5E56"/>
    <w:rsid w:val="00CE6140"/>
    <w:rsid w:val="00CF07CA"/>
    <w:rsid w:val="00CF0B7A"/>
    <w:rsid w:val="00CF3282"/>
    <w:rsid w:val="00CF45C6"/>
    <w:rsid w:val="00CF57EA"/>
    <w:rsid w:val="00D0387B"/>
    <w:rsid w:val="00D07916"/>
    <w:rsid w:val="00D136DB"/>
    <w:rsid w:val="00D159D7"/>
    <w:rsid w:val="00D26841"/>
    <w:rsid w:val="00D366DB"/>
    <w:rsid w:val="00D436B8"/>
    <w:rsid w:val="00D74DAB"/>
    <w:rsid w:val="00D84BFF"/>
    <w:rsid w:val="00D84E64"/>
    <w:rsid w:val="00D866AE"/>
    <w:rsid w:val="00DA2973"/>
    <w:rsid w:val="00DA353E"/>
    <w:rsid w:val="00DC1386"/>
    <w:rsid w:val="00DC5570"/>
    <w:rsid w:val="00DC638F"/>
    <w:rsid w:val="00DD5898"/>
    <w:rsid w:val="00DF6E9E"/>
    <w:rsid w:val="00E01930"/>
    <w:rsid w:val="00E16A50"/>
    <w:rsid w:val="00E34B4B"/>
    <w:rsid w:val="00E3529E"/>
    <w:rsid w:val="00E354BE"/>
    <w:rsid w:val="00E436F5"/>
    <w:rsid w:val="00E666BB"/>
    <w:rsid w:val="00E67EE7"/>
    <w:rsid w:val="00E857B1"/>
    <w:rsid w:val="00EB328C"/>
    <w:rsid w:val="00EB7863"/>
    <w:rsid w:val="00EC41E0"/>
    <w:rsid w:val="00EC6AA9"/>
    <w:rsid w:val="00EC7858"/>
    <w:rsid w:val="00EE3C8B"/>
    <w:rsid w:val="00EE4875"/>
    <w:rsid w:val="00EF0F2A"/>
    <w:rsid w:val="00EF3B7F"/>
    <w:rsid w:val="00F11B0A"/>
    <w:rsid w:val="00F14329"/>
    <w:rsid w:val="00F32F6C"/>
    <w:rsid w:val="00F56496"/>
    <w:rsid w:val="00F666A7"/>
    <w:rsid w:val="00F756D8"/>
    <w:rsid w:val="00F869AE"/>
    <w:rsid w:val="00F957A4"/>
    <w:rsid w:val="00F9605A"/>
    <w:rsid w:val="00FD400A"/>
    <w:rsid w:val="00FE76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B5CDBF"/>
  <w15:docId w15:val="{238D800E-4F04-4945-BDDD-D57EC14B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6A"/>
    <w:rPr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181598"/>
    <w:pPr>
      <w:widowControl w:val="0"/>
      <w:ind w:left="836"/>
      <w:outlineLvl w:val="0"/>
    </w:pPr>
    <w:rPr>
      <w:rFonts w:eastAsia="Cambria" w:cstheme="minorBidi"/>
      <w:b/>
      <w:bCs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2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352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2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352E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AE"/>
    <w:rPr>
      <w:rFonts w:ascii="Lucida Grande" w:hAnsi="Lucida Grande" w:cs="Lucida Grande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8F79AE"/>
    <w:pPr>
      <w:ind w:left="720"/>
      <w:contextualSpacing/>
    </w:pPr>
    <w:rPr>
      <w:rFonts w:ascii="Times New Roman" w:eastAsia="ヒラギノ角ゴ Pro W3" w:hAnsi="Times New Roman"/>
      <w:color w:val="000000"/>
      <w:lang w:eastAsia="en-US"/>
    </w:rPr>
  </w:style>
  <w:style w:type="paragraph" w:styleId="NoSpacing">
    <w:name w:val="No Spacing"/>
    <w:uiPriority w:val="1"/>
    <w:qFormat/>
    <w:rsid w:val="008F79AE"/>
    <w:rPr>
      <w:rFonts w:asciiTheme="minorHAnsi" w:eastAsiaTheme="minorEastAsia" w:hAnsiTheme="minorHAnsi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F79AE"/>
  </w:style>
  <w:style w:type="character" w:styleId="Hyperlink">
    <w:name w:val="Hyperlink"/>
    <w:basedOn w:val="DefaultParagraphFont"/>
    <w:uiPriority w:val="99"/>
    <w:unhideWhenUsed/>
    <w:rsid w:val="00192D44"/>
    <w:rPr>
      <w:color w:val="0000FF" w:themeColor="hyperlink"/>
      <w:u w:val="single"/>
    </w:rPr>
  </w:style>
  <w:style w:type="paragraph" w:customStyle="1" w:styleId="Normal1">
    <w:name w:val="Normal1"/>
    <w:rsid w:val="000D6DC8"/>
    <w:pPr>
      <w:widowControl w:val="0"/>
      <w:spacing w:line="276" w:lineRule="auto"/>
      <w:contextualSpacing/>
    </w:pPr>
    <w:rPr>
      <w:rFonts w:ascii="Lato" w:eastAsia="Lato" w:hAnsi="Lato" w:cs="Lato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07C50"/>
    <w:rPr>
      <w:color w:val="800080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9C3299"/>
    <w:pPr>
      <w:widowControl w:val="0"/>
      <w:autoSpaceDE w:val="0"/>
      <w:autoSpaceDN w:val="0"/>
      <w:adjustRightInd w:val="0"/>
      <w:spacing w:line="241" w:lineRule="atLeast"/>
    </w:pPr>
    <w:rPr>
      <w:rFonts w:ascii="Minion Pro" w:eastAsiaTheme="minorEastAsia" w:hAnsi="Minion Pro"/>
      <w:lang w:eastAsia="en-US"/>
    </w:rPr>
  </w:style>
  <w:style w:type="character" w:customStyle="1" w:styleId="A2">
    <w:name w:val="A2"/>
    <w:uiPriority w:val="99"/>
    <w:rsid w:val="009C3299"/>
    <w:rPr>
      <w:rFonts w:cs="Minion Pro"/>
      <w:color w:val="221E1F"/>
      <w:sz w:val="68"/>
      <w:szCs w:val="68"/>
    </w:rPr>
  </w:style>
  <w:style w:type="paragraph" w:styleId="FootnoteText">
    <w:name w:val="footnote text"/>
    <w:basedOn w:val="Normal"/>
    <w:link w:val="FootnoteTextChar"/>
    <w:uiPriority w:val="99"/>
    <w:unhideWhenUsed/>
    <w:rsid w:val="008B78C4"/>
    <w:pPr>
      <w:spacing w:after="240"/>
    </w:pPr>
    <w:rPr>
      <w:rFonts w:ascii="Times New Roman" w:eastAsiaTheme="minorEastAsia" w:hAnsi="Times New Roman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78C4"/>
    <w:rPr>
      <w:rFonts w:ascii="Times New Roman" w:eastAsiaTheme="minorEastAsia" w:hAnsi="Times New Roman"/>
      <w:color w:val="000000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8B78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24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4B3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4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4B3"/>
    <w:rPr>
      <w:b/>
      <w:bCs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181598"/>
    <w:rPr>
      <w:rFonts w:eastAsia="Cambria" w:cstheme="minorBidi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181598"/>
    <w:pPr>
      <w:widowControl w:val="0"/>
      <w:ind w:left="836" w:hanging="360"/>
    </w:pPr>
    <w:rPr>
      <w:rFonts w:eastAsia="Cambria" w:cstheme="minorBidi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81598"/>
    <w:rPr>
      <w:rFonts w:eastAsia="Cambria" w:cstheme="minorBidi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181598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181598"/>
    <w:pPr>
      <w:widowControl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81598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181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caltransparency.net/eng/principles.php" TargetMode="External"/><Relationship Id="rId13" Type="http://schemas.openxmlformats.org/officeDocument/2006/relationships/hyperlink" Target="http://www.opengovpartnership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scaltransparency.net/eng/principles.php" TargetMode="External"/><Relationship Id="rId12" Type="http://schemas.openxmlformats.org/officeDocument/2006/relationships/hyperlink" Target="http://www.undp.org/content/undp/en/home/sdgoverview/post-2015-development-agenda/goal-1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nationalbudget.org/wp-content/uploads/OBS2015-Report-English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ecd.org/gov/budgeting/principles-budgetary-governanc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-pfm.imf.org/files/ft-code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scaltransparency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8</Pages>
  <Words>2781</Words>
  <Characters>15858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18602</CharactersWithSpaces>
  <SharedDoc>false</SharedDoc>
  <HLinks>
    <vt:vector size="6" baseType="variant">
      <vt:variant>
        <vt:i4>6750291</vt:i4>
      </vt:variant>
      <vt:variant>
        <vt:i4>2111</vt:i4>
      </vt:variant>
      <vt:variant>
        <vt:i4>1025</vt:i4>
      </vt:variant>
      <vt:variant>
        <vt:i4>1</vt:i4>
      </vt:variant>
      <vt:variant>
        <vt:lpwstr>GIFT_logo_FINAL_orange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Guerrero Amparan</dc:creator>
  <cp:keywords/>
  <dc:description/>
  <cp:lastModifiedBy>DeskUser</cp:lastModifiedBy>
  <cp:revision>11</cp:revision>
  <cp:lastPrinted>2016-03-14T23:44:00Z</cp:lastPrinted>
  <dcterms:created xsi:type="dcterms:W3CDTF">2017-02-07T10:43:00Z</dcterms:created>
  <dcterms:modified xsi:type="dcterms:W3CDTF">2017-02-10T10:06:00Z</dcterms:modified>
</cp:coreProperties>
</file>