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6" w:type="dxa"/>
        <w:tblInd w:w="7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1024"/>
        <w:gridCol w:w="910"/>
        <w:gridCol w:w="912"/>
        <w:gridCol w:w="913"/>
        <w:gridCol w:w="912"/>
        <w:gridCol w:w="472"/>
        <w:gridCol w:w="140"/>
        <w:gridCol w:w="784"/>
        <w:gridCol w:w="913"/>
        <w:gridCol w:w="913"/>
        <w:gridCol w:w="924"/>
        <w:gridCol w:w="913"/>
        <w:gridCol w:w="1574"/>
        <w:gridCol w:w="913"/>
        <w:gridCol w:w="913"/>
      </w:tblGrid>
      <w:tr w:rsidR="00640D28" w:rsidRPr="00FD5012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D28" w:rsidRPr="00FD5012" w:rsidRDefault="009C3993" w:rsidP="00403960">
            <w:pPr>
              <w:spacing w:after="0" w:line="240" w:lineRule="auto"/>
              <w:rPr>
                <w:color w:val="244061"/>
              </w:rPr>
            </w:pPr>
            <w:r w:rsidRPr="00FD5012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7216" behindDoc="0" locked="0" layoutInCell="1" allowOverlap="1" wp14:anchorId="38BAEBF8" wp14:editId="75FB5CE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8258175" cy="714375"/>
                  <wp:effectExtent l="0" t="0" r="9525" b="9525"/>
                  <wp:wrapNone/>
                  <wp:docPr id="2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1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380"/>
            </w:tblGrid>
            <w:tr w:rsidR="00640D28" w:rsidRPr="00FD5012">
              <w:trPr>
                <w:trHeight w:val="285"/>
                <w:tblCellSpacing w:w="0" w:type="dxa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40D28" w:rsidRPr="00FD5012" w:rsidRDefault="00640D28" w:rsidP="00403960">
                  <w:pPr>
                    <w:spacing w:after="0" w:line="240" w:lineRule="auto"/>
                    <w:rPr>
                      <w:rFonts w:ascii="Cambria" w:hAnsi="Cambria"/>
                      <w:color w:val="244061"/>
                    </w:rPr>
                  </w:pPr>
                </w:p>
              </w:tc>
            </w:tr>
          </w:tbl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9C3993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  <w:r w:rsidRPr="00FD5012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0" behindDoc="0" locked="0" layoutInCell="1" allowOverlap="1" wp14:anchorId="472946D8" wp14:editId="158F964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53340</wp:posOffset>
                  </wp:positionV>
                  <wp:extent cx="1571625" cy="838200"/>
                  <wp:effectExtent l="0" t="0" r="9525" b="0"/>
                  <wp:wrapNone/>
                  <wp:docPr id="3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</w:tr>
      <w:tr w:rsidR="00640D28" w:rsidRPr="00FD5012" w:rsidTr="00C14E9F">
        <w:trPr>
          <w:trHeight w:val="509"/>
        </w:trPr>
        <w:tc>
          <w:tcPr>
            <w:tcW w:w="1468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horzAnchor="margin" w:tblpY="-660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3420"/>
            </w:tblGrid>
            <w:tr w:rsidR="00640D28" w:rsidRPr="00FD5012" w:rsidTr="0023251C">
              <w:trPr>
                <w:trHeight w:val="328"/>
                <w:tblCellSpacing w:w="0" w:type="dxa"/>
              </w:trPr>
              <w:tc>
                <w:tcPr>
                  <w:tcW w:w="13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429" w:rsidRPr="00FD5012" w:rsidRDefault="00640D28" w:rsidP="00402EAD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i/>
                      <w:color w:val="244061" w:themeColor="accent1" w:themeShade="80"/>
                      <w:sz w:val="28"/>
                      <w:szCs w:val="28"/>
                    </w:rPr>
                  </w:pPr>
                  <w:r w:rsidRPr="00FD5012">
                    <w:rPr>
                      <w:rFonts w:ascii="Cambria" w:hAnsi="Cambria"/>
                      <w:b/>
                      <w:color w:val="244061"/>
                      <w:sz w:val="28"/>
                    </w:rPr>
                    <w:t>PEMPAL-ova Zajednica prakse za unutarnju reviziju (IACOP)</w:t>
                  </w:r>
                  <w:r w:rsidRPr="00FD5012"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</w:rPr>
                    <w:br/>
                  </w:r>
                  <w:r w:rsidRPr="00FD5012">
                    <w:rPr>
                      <w:rFonts w:ascii="Cambria" w:hAnsi="Cambria"/>
                      <w:b/>
                      <w:i/>
                      <w:color w:val="244061" w:themeColor="accent1" w:themeShade="80"/>
                      <w:sz w:val="28"/>
                    </w:rPr>
                    <w:t>Sastanak radne skupine za osiguranje kvalitete</w:t>
                  </w:r>
                </w:p>
                <w:p w:rsidR="008C548D" w:rsidRPr="00FD5012" w:rsidRDefault="008C548D" w:rsidP="00402EAD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D5012">
                    <w:rPr>
                      <w:rFonts w:ascii="Cambria" w:hAnsi="Cambria"/>
                      <w:b/>
                      <w:color w:val="244061"/>
                      <w:sz w:val="28"/>
                    </w:rPr>
                    <w:t>36. sastanak IACOP-a</w:t>
                  </w:r>
                </w:p>
                <w:p w:rsidR="008C548D" w:rsidRPr="00FD5012" w:rsidRDefault="008C548D" w:rsidP="008C548D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i/>
                      <w:color w:val="244061" w:themeColor="accent1" w:themeShade="80"/>
                      <w:sz w:val="26"/>
                      <w:szCs w:val="26"/>
                    </w:rPr>
                  </w:pPr>
                  <w:r w:rsidRPr="00FD5012">
                    <w:rPr>
                      <w:rFonts w:ascii="Cambria" w:hAnsi="Cambria"/>
                      <w:b/>
                      <w:i/>
                      <w:color w:val="244061" w:themeColor="accent1" w:themeShade="80"/>
                      <w:sz w:val="26"/>
                    </w:rPr>
                    <w:t xml:space="preserve">Erevan, 15. listopada 2015. </w:t>
                  </w:r>
                </w:p>
                <w:p w:rsidR="00640D28" w:rsidRPr="00FD5012" w:rsidRDefault="00640D28" w:rsidP="00FC0AC8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</w:rPr>
                  </w:pPr>
                </w:p>
              </w:tc>
            </w:tr>
            <w:tr w:rsidR="00640D28" w:rsidRPr="00FD5012" w:rsidTr="0023251C">
              <w:trPr>
                <w:trHeight w:val="32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0D28" w:rsidRPr="00FD5012" w:rsidRDefault="00640D28" w:rsidP="00403960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</w:rPr>
                  </w:pPr>
                </w:p>
              </w:tc>
            </w:tr>
          </w:tbl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</w:tr>
      <w:tr w:rsidR="00640D28" w:rsidRPr="00FD5012" w:rsidTr="00C14E9F">
        <w:trPr>
          <w:trHeight w:val="285"/>
        </w:trPr>
        <w:tc>
          <w:tcPr>
            <w:tcW w:w="1468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b/>
                <w:bCs/>
                <w:color w:val="244061"/>
                <w:sz w:val="28"/>
                <w:szCs w:val="28"/>
              </w:rPr>
            </w:pPr>
            <w:r w:rsidRPr="00FD5012">
              <w:rPr>
                <w:rFonts w:ascii="Cambria" w:hAnsi="Cambria"/>
                <w:b/>
                <w:color w:val="244061"/>
                <w:sz w:val="28"/>
              </w:rPr>
              <w:t>Ciljevi:</w:t>
            </w:r>
          </w:p>
          <w:p w:rsidR="00C171A1" w:rsidRPr="00FD5012" w:rsidRDefault="00C171A1" w:rsidP="00403960">
            <w:pPr>
              <w:spacing w:after="0" w:line="240" w:lineRule="auto"/>
              <w:rPr>
                <w:rFonts w:ascii="Cambria" w:hAnsi="Cambria"/>
                <w:b/>
                <w:bCs/>
                <w:color w:val="244061"/>
              </w:rPr>
            </w:pPr>
          </w:p>
          <w:p w:rsidR="00732429" w:rsidRPr="00FD5012" w:rsidRDefault="00732429" w:rsidP="0073242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</w:rPr>
            </w:pPr>
            <w:r w:rsidRPr="00FD5012">
              <w:rPr>
                <w:rFonts w:ascii="Cambria" w:hAnsi="Cambria"/>
                <w:color w:val="244061"/>
                <w:sz w:val="24"/>
              </w:rPr>
              <w:t>Dovršetak sustava ocjenjivanja pristupa PEMPAL IACOP vanjskoj procjeni funkcije unutarnje revizije od strane Središnje harmonizacijske jedinice</w:t>
            </w:r>
          </w:p>
          <w:p w:rsidR="00732429" w:rsidRPr="00FD5012" w:rsidRDefault="00732429" w:rsidP="0073242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</w:rPr>
            </w:pPr>
            <w:r w:rsidRPr="00FD5012">
              <w:rPr>
                <w:rFonts w:ascii="Cambria" w:hAnsi="Cambria"/>
                <w:color w:val="244061"/>
                <w:sz w:val="24"/>
              </w:rPr>
              <w:t>Potvrđivanje</w:t>
            </w:r>
            <w:r w:rsidRPr="00FD5012">
              <w:rPr>
                <w:rFonts w:ascii="Cambria" w:hAnsi="Cambria"/>
                <w:b/>
                <w:i/>
                <w:color w:val="244061"/>
                <w:sz w:val="24"/>
              </w:rPr>
              <w:t xml:space="preserve"> Vodiča dobre prakse za procjenu kvalitete unutarnje revizije u javnom sektoru</w:t>
            </w:r>
          </w:p>
          <w:p w:rsidR="00732429" w:rsidRPr="00FD5012" w:rsidRDefault="00732429" w:rsidP="0073242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</w:rPr>
            </w:pPr>
            <w:r w:rsidRPr="00FD5012">
              <w:rPr>
                <w:rFonts w:ascii="Cambria" w:hAnsi="Cambria"/>
                <w:color w:val="244061"/>
                <w:sz w:val="24"/>
              </w:rPr>
              <w:t>Razgovor o mogućoj primjeni Vodiča u zemljama IACOP-a</w:t>
            </w:r>
          </w:p>
          <w:p w:rsidR="00732429" w:rsidRPr="00FD5012" w:rsidRDefault="00732429" w:rsidP="00403960">
            <w:pPr>
              <w:spacing w:after="0" w:line="240" w:lineRule="auto"/>
              <w:rPr>
                <w:rFonts w:ascii="Cambria" w:hAnsi="Cambria"/>
                <w:b/>
                <w:bCs/>
                <w:color w:val="244061"/>
              </w:rPr>
            </w:pPr>
          </w:p>
        </w:tc>
      </w:tr>
      <w:tr w:rsidR="00640D28" w:rsidRPr="00FD5012" w:rsidTr="00C14E9F">
        <w:trPr>
          <w:trHeight w:val="427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sz w:val="28"/>
                <w:szCs w:val="28"/>
              </w:rPr>
            </w:pPr>
          </w:p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  <w:r w:rsidRPr="00FD5012">
              <w:rPr>
                <w:rFonts w:ascii="Cambria" w:hAnsi="Cambria"/>
                <w:b/>
                <w:color w:val="244061"/>
                <w:sz w:val="28"/>
              </w:rPr>
              <w:t>Očekivani ishodi: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</w:tc>
      </w:tr>
      <w:tr w:rsidR="0023251C" w:rsidRPr="00FD5012" w:rsidTr="00C14E9F">
        <w:trPr>
          <w:trHeight w:val="285"/>
        </w:trPr>
        <w:tc>
          <w:tcPr>
            <w:tcW w:w="1468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251C" w:rsidRPr="00FD5012" w:rsidRDefault="0023251C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</w:rPr>
            </w:pPr>
          </w:p>
          <w:p w:rsidR="0023251C" w:rsidRPr="00FD5012" w:rsidRDefault="0023251C" w:rsidP="0023251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</w:rPr>
            </w:pPr>
            <w:r w:rsidRPr="00FD5012">
              <w:rPr>
                <w:rFonts w:ascii="Cambria" w:hAnsi="Cambria"/>
                <w:color w:val="244061"/>
                <w:sz w:val="24"/>
              </w:rPr>
              <w:t>Jedinstveni vodič za primjenu Međunarodnog okvira stručnih praksi i Međunarodnih standarda za stručnu provedbu unutarnje revizije na osiguranje kvalitete unutarnje revizije u javnom sektoru</w:t>
            </w:r>
          </w:p>
          <w:p w:rsidR="0023251C" w:rsidRPr="00FD5012" w:rsidRDefault="008C548D" w:rsidP="0023251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</w:rPr>
            </w:pPr>
            <w:r w:rsidRPr="00FD5012">
              <w:rPr>
                <w:rFonts w:ascii="Cambria" w:hAnsi="Cambria"/>
                <w:color w:val="244061"/>
                <w:sz w:val="24"/>
              </w:rPr>
              <w:t>Solidno razumijevanje osiguranja kvalitete aktivnosti unutarnje revizije i načina primjene Vodiča</w:t>
            </w:r>
          </w:p>
          <w:p w:rsidR="0023251C" w:rsidRPr="00FD5012" w:rsidRDefault="0023251C" w:rsidP="0023251C">
            <w:pPr>
              <w:spacing w:after="0" w:line="240" w:lineRule="atLeast"/>
              <w:ind w:hanging="360"/>
              <w:rPr>
                <w:rFonts w:ascii="Cambria" w:hAnsi="Cambria" w:cs="Arial"/>
                <w:color w:val="244061"/>
                <w:sz w:val="23"/>
                <w:szCs w:val="23"/>
              </w:rPr>
            </w:pPr>
          </w:p>
        </w:tc>
      </w:tr>
      <w:tr w:rsidR="0023251C" w:rsidRPr="00FD5012" w:rsidTr="00C14E9F">
        <w:trPr>
          <w:trHeight w:val="285"/>
        </w:trPr>
        <w:tc>
          <w:tcPr>
            <w:tcW w:w="1468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251C" w:rsidRPr="00FD5012" w:rsidRDefault="0023251C" w:rsidP="00DA094B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sz w:val="28"/>
                <w:szCs w:val="28"/>
              </w:rPr>
            </w:pPr>
            <w:r w:rsidRPr="00FD5012">
              <w:rPr>
                <w:rFonts w:ascii="Cambria" w:hAnsi="Cambria"/>
                <w:b/>
                <w:color w:val="244061"/>
                <w:sz w:val="28"/>
              </w:rPr>
              <w:t>Za pročitati prije sastanka:</w:t>
            </w:r>
          </w:p>
          <w:p w:rsidR="0023251C" w:rsidRPr="00FD5012" w:rsidRDefault="0023251C" w:rsidP="0023251C">
            <w:pPr>
              <w:spacing w:after="0"/>
              <w:rPr>
                <w:rFonts w:ascii="Cambria" w:hAnsi="Cambria" w:cs="Arial"/>
                <w:color w:val="244061"/>
                <w:sz w:val="23"/>
                <w:szCs w:val="23"/>
              </w:rPr>
            </w:pPr>
          </w:p>
          <w:p w:rsidR="0023251C" w:rsidRPr="00FD5012" w:rsidRDefault="0023251C" w:rsidP="0023251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</w:rPr>
            </w:pPr>
            <w:r w:rsidRPr="00FD5012">
              <w:rPr>
                <w:rFonts w:ascii="Cambria" w:hAnsi="Cambria"/>
                <w:color w:val="244061"/>
                <w:sz w:val="24"/>
              </w:rPr>
              <w:t>Obrazac: Aneks QA04 Vanjska procjena kvalitete od strane Središnje harmonizacijske jedinice</w:t>
            </w:r>
          </w:p>
        </w:tc>
      </w:tr>
      <w:tr w:rsidR="00640D28" w:rsidRPr="00FD5012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2441" w:type="dxa"/>
              <w:tblLook w:val="00A0" w:firstRow="1" w:lastRow="0" w:firstColumn="1" w:lastColumn="0" w:noHBand="0" w:noVBand="0"/>
            </w:tblPr>
            <w:tblGrid>
              <w:gridCol w:w="682"/>
              <w:gridCol w:w="1759"/>
            </w:tblGrid>
            <w:tr w:rsidR="00640D28" w:rsidRPr="00FD5012" w:rsidTr="005C1B5A">
              <w:tc>
                <w:tcPr>
                  <w:tcW w:w="682" w:type="dxa"/>
                </w:tcPr>
                <w:p w:rsidR="00640D28" w:rsidRPr="00FD5012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</w:rPr>
                  </w:pPr>
                </w:p>
              </w:tc>
              <w:tc>
                <w:tcPr>
                  <w:tcW w:w="1759" w:type="dxa"/>
                </w:tcPr>
                <w:p w:rsidR="00640D28" w:rsidRPr="00FD5012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</w:rPr>
                  </w:pPr>
                </w:p>
              </w:tc>
            </w:tr>
            <w:tr w:rsidR="00640D28" w:rsidRPr="00FD5012" w:rsidTr="005C1B5A">
              <w:tc>
                <w:tcPr>
                  <w:tcW w:w="682" w:type="dxa"/>
                </w:tcPr>
                <w:p w:rsidR="00640D28" w:rsidRPr="00FD5012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</w:rPr>
                  </w:pPr>
                </w:p>
              </w:tc>
              <w:tc>
                <w:tcPr>
                  <w:tcW w:w="1759" w:type="dxa"/>
                </w:tcPr>
                <w:p w:rsidR="00640D28" w:rsidRPr="00FD5012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</w:rPr>
                  </w:pPr>
                </w:p>
              </w:tc>
            </w:tr>
          </w:tbl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  <w:tc>
          <w:tcPr>
            <w:tcW w:w="1210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FD5012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  <w:p w:rsidR="009C3993" w:rsidRPr="00FD5012" w:rsidRDefault="009C3993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  <w:p w:rsidR="009C3993" w:rsidRPr="00FD5012" w:rsidRDefault="009C3993" w:rsidP="00403960">
            <w:pPr>
              <w:spacing w:after="0" w:line="240" w:lineRule="auto"/>
              <w:rPr>
                <w:rFonts w:ascii="Cambria" w:hAnsi="Cambria"/>
                <w:color w:val="244061"/>
              </w:rPr>
            </w:pPr>
          </w:p>
        </w:tc>
      </w:tr>
      <w:tr w:rsidR="00640D28" w:rsidRPr="00FD5012" w:rsidTr="00C14E9F">
        <w:trPr>
          <w:trHeight w:val="585"/>
        </w:trPr>
        <w:tc>
          <w:tcPr>
            <w:tcW w:w="14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40D28" w:rsidRPr="00FD5012" w:rsidRDefault="001A0C7A">
            <w:pPr>
              <w:spacing w:after="0" w:line="240" w:lineRule="auto"/>
              <w:rPr>
                <w:rFonts w:ascii="Cambria" w:hAnsi="Cambria"/>
                <w:b/>
                <w:bCs/>
                <w:color w:val="244061" w:themeColor="accent1" w:themeShade="80"/>
              </w:rPr>
            </w:pPr>
            <w:r w:rsidRPr="00FD5012">
              <w:rPr>
                <w:rFonts w:ascii="Cambria" w:hAnsi="Cambria"/>
                <w:b/>
                <w:color w:val="C00000"/>
              </w:rPr>
              <w:t>15. listopada 2015</w:t>
            </w:r>
            <w:r w:rsidRPr="00FD5012">
              <w:t>.</w:t>
            </w:r>
            <w:r w:rsidRPr="00FD5012">
              <w:tab/>
            </w:r>
            <w:r w:rsidRPr="00FD5012">
              <w:tab/>
            </w:r>
            <w:r w:rsidRPr="00FD5012">
              <w:tab/>
            </w:r>
            <w:r w:rsidRPr="00FD5012">
              <w:tab/>
            </w:r>
            <w:r w:rsidRPr="00FD5012">
              <w:tab/>
            </w:r>
            <w:r w:rsidRPr="00FD5012">
              <w:rPr>
                <w:rFonts w:ascii="Cambria" w:hAnsi="Cambria"/>
                <w:b/>
                <w:color w:val="C00000"/>
              </w:rPr>
              <w:t>Sastanak radne skupine za osiguranje kvalitete</w:t>
            </w:r>
          </w:p>
        </w:tc>
      </w:tr>
      <w:tr w:rsidR="008F53AF" w:rsidRPr="00FD5012" w:rsidTr="008F53A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3AF" w:rsidRPr="00FD5012" w:rsidRDefault="008F53AF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</w:rPr>
            </w:pPr>
            <w:r w:rsidRPr="00FD5012">
              <w:rPr>
                <w:rFonts w:ascii="Cambria" w:hAnsi="Cambria"/>
                <w:b/>
                <w:color w:val="244061" w:themeColor="accent1" w:themeShade="80"/>
              </w:rPr>
              <w:t>Vrijeme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3AF" w:rsidRPr="00FD5012" w:rsidRDefault="008F53AF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</w:rPr>
            </w:pPr>
            <w:r w:rsidRPr="00FD5012">
              <w:rPr>
                <w:rFonts w:ascii="Cambria" w:hAnsi="Cambria"/>
                <w:b/>
                <w:color w:val="244061" w:themeColor="accent1" w:themeShade="80"/>
              </w:rPr>
              <w:t>Aktivnost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3AF" w:rsidRPr="00FD5012" w:rsidRDefault="008F53AF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</w:rPr>
            </w:pPr>
            <w:r w:rsidRPr="00FD5012">
              <w:rPr>
                <w:rFonts w:ascii="Cambria" w:hAnsi="Cambria"/>
                <w:b/>
                <w:color w:val="244061" w:themeColor="accent1" w:themeShade="80"/>
              </w:rPr>
              <w:t>Ciljevi:</w:t>
            </w:r>
          </w:p>
        </w:tc>
      </w:tr>
      <w:tr w:rsidR="008F53AF" w:rsidRPr="00FD5012" w:rsidTr="008F53A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3AF" w:rsidRPr="00FD5012" w:rsidRDefault="008F53AF" w:rsidP="0023251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09.00 – 09.30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F" w:rsidRPr="00FD5012" w:rsidRDefault="008F53AF" w:rsidP="002C625D">
            <w:pPr>
              <w:spacing w:after="0" w:line="240" w:lineRule="auto"/>
              <w:rPr>
                <w:rFonts w:ascii="Cambria" w:hAnsi="Cambria"/>
                <w:b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Radna skupina za osiguranje kvalitete predstavlja dnevni red i učinjeni napredak</w:t>
            </w:r>
          </w:p>
          <w:p w:rsidR="008F53AF" w:rsidRPr="00FD5012" w:rsidRDefault="008F53AF" w:rsidP="002C625D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 xml:space="preserve">Gospođa </w:t>
            </w:r>
            <w:r w:rsidRPr="00FD5012">
              <w:rPr>
                <w:rFonts w:ascii="Cambria" w:hAnsi="Cambria"/>
                <w:i/>
                <w:color w:val="002060"/>
              </w:rPr>
              <w:t>Edit Nemeth, predsjednica IACOP-a, Mađarska</w:t>
            </w:r>
          </w:p>
          <w:p w:rsidR="008F53AF" w:rsidRPr="00FD5012" w:rsidRDefault="008F53AF" w:rsidP="006F5641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Gospodin Arman Vatyan, voditelj IACOP-a; voditelj Odjela Svjetske banke za financijsko upravljanje za srednju Aziju,</w:t>
            </w:r>
          </w:p>
          <w:p w:rsidR="008F53AF" w:rsidRPr="00FD5012" w:rsidRDefault="008F53AF" w:rsidP="002C625D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 xml:space="preserve">Gospođa Ljerka Crnkovic, voditeljica Radne skupine za osiguranje kvalitete; koordinator; Unutarnja revizija i financijska kontrola, Ministarstvo financija, Hrvatska  </w:t>
            </w:r>
          </w:p>
          <w:p w:rsidR="008F53AF" w:rsidRPr="00FD5012" w:rsidRDefault="008F53AF" w:rsidP="00EA23A3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 xml:space="preserve">Gospodin Jean-Pierre Garitte, međunarodni stručnjak, bivši predsjednik uprave Instituta internih revizora 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AF" w:rsidRPr="00FD5012" w:rsidRDefault="008F53AF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Prezentacija ciljeva i dnevnog reda sastanka i pregled rezultata koje je postigla Radna skupina za osiguranje kvalitete</w:t>
            </w:r>
          </w:p>
          <w:p w:rsidR="008F53AF" w:rsidRPr="00FD5012" w:rsidRDefault="008F53AF" w:rsidP="002C625D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</w:p>
        </w:tc>
      </w:tr>
      <w:tr w:rsidR="008F53AF" w:rsidRPr="00FD5012" w:rsidTr="008F53AF">
        <w:trPr>
          <w:trHeight w:val="14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53AF" w:rsidRPr="00FD5012" w:rsidRDefault="008F53AF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9.30 – 11.00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AF" w:rsidRPr="00FD5012" w:rsidRDefault="008F53AF" w:rsidP="00EA23A3">
            <w:pPr>
              <w:spacing w:after="0" w:line="240" w:lineRule="auto"/>
              <w:rPr>
                <w:rFonts w:ascii="Cambria" w:hAnsi="Cambria"/>
                <w:b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Razgovor i dovršetak ocjenjivanja u pogledu vanjske procjene kvalitete od strane Središnje harmonizacijske jedinice (1., 2. i 3. poglavlje)</w:t>
            </w:r>
          </w:p>
          <w:p w:rsidR="008F53AF" w:rsidRPr="00FD5012" w:rsidRDefault="008F53AF" w:rsidP="0023251C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Gospođa Ljerka Crnkovic</w:t>
            </w:r>
          </w:p>
          <w:p w:rsidR="008F53AF" w:rsidRPr="00FD5012" w:rsidRDefault="008F53AF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Gospodin Jean Pierre-Garitte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AF" w:rsidRPr="00FD5012" w:rsidRDefault="008F53AF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Pregled nacrta 1., 2. i 3. poglavlja Vodiča i odluka o konačnim verzijama poglavlja</w:t>
            </w:r>
          </w:p>
        </w:tc>
      </w:tr>
      <w:tr w:rsidR="00C171A1" w:rsidRPr="00FD5012" w:rsidTr="00C14E9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D28" w:rsidRPr="00FD5012" w:rsidRDefault="00640D2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11.00 – 11.30</w:t>
            </w:r>
          </w:p>
        </w:tc>
        <w:tc>
          <w:tcPr>
            <w:tcW w:w="13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0D28" w:rsidRPr="00FD5012" w:rsidRDefault="00C171A1" w:rsidP="00EA23A3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Pauza za kavu</w:t>
            </w:r>
          </w:p>
        </w:tc>
      </w:tr>
      <w:tr w:rsidR="008F53AF" w:rsidRPr="00FD5012" w:rsidTr="008F53AF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53AF" w:rsidRPr="00FD5012" w:rsidRDefault="008F53A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11.30 – 13.00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AF" w:rsidRPr="00FD5012" w:rsidRDefault="008F53AF">
            <w:pPr>
              <w:spacing w:after="0" w:line="240" w:lineRule="auto"/>
              <w:rPr>
                <w:rFonts w:ascii="Cambria" w:hAnsi="Cambria"/>
                <w:b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Razgovor i dovršetak ocjenjivanja u pogledu vanjske procjene kvalitete od strane Središnje harmonizacijske jedinice (4., 5. i 6. poglavlje)</w:t>
            </w:r>
          </w:p>
          <w:p w:rsidR="008F53AF" w:rsidRPr="00FD5012" w:rsidRDefault="008F53AF" w:rsidP="00C171A1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Gospođa Ljerka Crnkovic</w:t>
            </w:r>
          </w:p>
          <w:p w:rsidR="008F53AF" w:rsidRPr="00FD5012" w:rsidRDefault="008F53AF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Gospodin Jean Pierre-Garitte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53AF" w:rsidRPr="00FD5012" w:rsidRDefault="008F53AF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Pregled nacrta 4., 5. i 6. poglavlja Vodiča i odluka o konačnim verzijama poglavlja</w:t>
            </w:r>
          </w:p>
        </w:tc>
      </w:tr>
      <w:tr w:rsidR="00C171A1" w:rsidRPr="00FD5012" w:rsidTr="00C14E9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D28" w:rsidRPr="00FD5012" w:rsidRDefault="00640D2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13.00 – 14.00</w:t>
            </w:r>
          </w:p>
        </w:tc>
        <w:tc>
          <w:tcPr>
            <w:tcW w:w="13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0D28" w:rsidRPr="00FD5012" w:rsidRDefault="00C171A1" w:rsidP="00EA23A3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Ručak</w:t>
            </w:r>
          </w:p>
        </w:tc>
      </w:tr>
      <w:tr w:rsidR="008F53AF" w:rsidRPr="00FD5012" w:rsidTr="008F53A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3AF" w:rsidRPr="00FD5012" w:rsidRDefault="008F53AF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14.00 – 15.30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AF" w:rsidRPr="00FD5012" w:rsidRDefault="008F53AF" w:rsidP="004D752C">
            <w:pPr>
              <w:spacing w:after="0" w:line="240" w:lineRule="auto"/>
              <w:rPr>
                <w:rFonts w:ascii="Cambria" w:hAnsi="Cambria"/>
                <w:b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Razgovor i dovršetak ocjenjivanja u pogledu vanjske procjene kvalitete od strane Središnje harmonizacijske jedinice (7., 8. i 9. poglavlje)</w:t>
            </w:r>
          </w:p>
          <w:p w:rsidR="008F53AF" w:rsidRPr="00FD5012" w:rsidRDefault="008F53AF" w:rsidP="00C171A1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lastRenderedPageBreak/>
              <w:t>Gospođa Ljerka Crnkovic</w:t>
            </w:r>
          </w:p>
          <w:p w:rsidR="008F53AF" w:rsidRPr="00FD5012" w:rsidRDefault="008F53AF" w:rsidP="004D752C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Gospodin Jean Pierre-Garitte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AF" w:rsidRPr="00FD5012" w:rsidRDefault="008F53AF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lastRenderedPageBreak/>
              <w:t>Pregled nacrta 7., 8. i 9. poglavlja Vodiča i odluka o konačnim verzijama poglavlja</w:t>
            </w:r>
          </w:p>
        </w:tc>
      </w:tr>
    </w:tbl>
    <w:p w:rsidR="00BF0905" w:rsidRPr="00FD5012" w:rsidRDefault="00BF0905"/>
    <w:tbl>
      <w:tblPr>
        <w:tblW w:w="14686" w:type="dxa"/>
        <w:tblInd w:w="6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5283"/>
        <w:gridCol w:w="7847"/>
      </w:tblGrid>
      <w:tr w:rsidR="008F53AF" w:rsidRPr="00FD5012" w:rsidTr="008F53AF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3AF" w:rsidRPr="00FD5012" w:rsidRDefault="008F53AF" w:rsidP="00130B9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</w:rPr>
            </w:pPr>
            <w:r w:rsidRPr="00FD5012">
              <w:rPr>
                <w:rFonts w:ascii="Cambria" w:hAnsi="Cambria"/>
                <w:b/>
                <w:color w:val="244061" w:themeColor="accent1" w:themeShade="80"/>
              </w:rPr>
              <w:t>Vrijeme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3AF" w:rsidRPr="00FD5012" w:rsidRDefault="008F53AF" w:rsidP="00130B9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</w:rPr>
            </w:pPr>
            <w:r w:rsidRPr="00FD5012">
              <w:rPr>
                <w:rFonts w:ascii="Cambria" w:hAnsi="Cambria"/>
                <w:b/>
                <w:color w:val="244061" w:themeColor="accent1" w:themeShade="80"/>
              </w:rPr>
              <w:t>Aktivnost</w:t>
            </w: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3AF" w:rsidRPr="00FD5012" w:rsidRDefault="008F53AF" w:rsidP="00130B9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</w:rPr>
            </w:pPr>
            <w:r w:rsidRPr="00FD5012">
              <w:rPr>
                <w:rFonts w:ascii="Cambria" w:hAnsi="Cambria"/>
                <w:b/>
                <w:color w:val="244061" w:themeColor="accent1" w:themeShade="80"/>
              </w:rPr>
              <w:t>Ciljevi:</w:t>
            </w:r>
          </w:p>
        </w:tc>
      </w:tr>
      <w:tr w:rsidR="00640D28" w:rsidRPr="00FD5012" w:rsidTr="00C14E9F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D28" w:rsidRPr="00FD5012" w:rsidRDefault="00640D2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15.30 - 16.00</w:t>
            </w:r>
          </w:p>
        </w:tc>
        <w:tc>
          <w:tcPr>
            <w:tcW w:w="1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0D28" w:rsidRPr="00FD5012" w:rsidRDefault="00C171A1" w:rsidP="00EA23A3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Pauza za kavu</w:t>
            </w:r>
          </w:p>
        </w:tc>
      </w:tr>
      <w:tr w:rsidR="008F53AF" w:rsidRPr="00FD5012" w:rsidTr="008F53AF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3AF" w:rsidRPr="00FD5012" w:rsidRDefault="008F53AF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16.00 – 17.00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AF" w:rsidRPr="00FD5012" w:rsidRDefault="008F53AF" w:rsidP="005D6BD2">
            <w:pPr>
              <w:spacing w:after="0" w:line="240" w:lineRule="auto"/>
              <w:rPr>
                <w:rFonts w:ascii="Cambria" w:hAnsi="Cambria"/>
                <w:b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 xml:space="preserve">Odobrenje konačne ocjene i razgovor o mogućoj primjeni Vodiča </w:t>
            </w:r>
          </w:p>
          <w:p w:rsidR="008F53AF" w:rsidRPr="00FD5012" w:rsidRDefault="008F53AF" w:rsidP="0023251C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 xml:space="preserve">Ljerka Crnkovic </w:t>
            </w:r>
          </w:p>
          <w:p w:rsidR="008F53AF" w:rsidRPr="00FD5012" w:rsidRDefault="008F53AF" w:rsidP="0023251C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 xml:space="preserve">Jean Pierre-Garitte </w:t>
            </w:r>
          </w:p>
          <w:p w:rsidR="008F53AF" w:rsidRPr="00FD5012" w:rsidRDefault="008F53AF" w:rsidP="005D6BD2">
            <w:pPr>
              <w:spacing w:after="0" w:line="240" w:lineRule="auto"/>
              <w:rPr>
                <w:rFonts w:ascii="Cambria" w:hAnsi="Cambria"/>
                <w:color w:val="002060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AF" w:rsidRPr="00FD5012" w:rsidRDefault="008F53AF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Potvrđivanje Vodiča dobre prakse za procjenu kvalitete unutarnje revizije u javnom sektoru</w:t>
            </w:r>
            <w:r w:rsidRPr="00FD5012">
              <w:rPr>
                <w:rFonts w:ascii="Cambria" w:hAnsi="Cambria"/>
                <w:b/>
                <w:color w:val="002060"/>
              </w:rPr>
              <w:t xml:space="preserve"> </w:t>
            </w:r>
            <w:r w:rsidRPr="00FD5012">
              <w:rPr>
                <w:rFonts w:ascii="Cambria" w:hAnsi="Cambria"/>
                <w:color w:val="002060"/>
              </w:rPr>
              <w:t>i razgovor o mogućoj primjeni</w:t>
            </w:r>
            <w:r w:rsidRPr="00FD5012">
              <w:rPr>
                <w:rFonts w:ascii="Cambria" w:hAnsi="Cambria"/>
                <w:color w:val="002060"/>
                <w:sz w:val="23"/>
              </w:rPr>
              <w:t xml:space="preserve"> </w:t>
            </w:r>
          </w:p>
        </w:tc>
      </w:tr>
      <w:tr w:rsidR="008F53AF" w:rsidRPr="00FD5012" w:rsidTr="008F53A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3AF" w:rsidRPr="00FD5012" w:rsidRDefault="008F53AF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FD5012">
              <w:rPr>
                <w:rFonts w:ascii="Cambria" w:hAnsi="Cambria"/>
                <w:b/>
                <w:color w:val="002060"/>
              </w:rPr>
              <w:t>17.00 – 1730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AF" w:rsidRPr="00FD5012" w:rsidRDefault="008F53AF" w:rsidP="005B11D2">
            <w:pPr>
              <w:spacing w:after="0" w:line="240" w:lineRule="auto"/>
              <w:rPr>
                <w:rFonts w:ascii="Cambria" w:hAnsi="Cambria" w:cs="Arial"/>
                <w:b/>
                <w:color w:val="002060"/>
                <w:sz w:val="23"/>
                <w:szCs w:val="23"/>
              </w:rPr>
            </w:pPr>
            <w:r w:rsidRPr="00FD5012">
              <w:rPr>
                <w:rFonts w:ascii="Cambria" w:hAnsi="Cambria"/>
                <w:b/>
                <w:color w:val="002060"/>
                <w:sz w:val="23"/>
              </w:rPr>
              <w:t xml:space="preserve"> </w:t>
            </w:r>
            <w:r w:rsidRPr="00FD5012">
              <w:rPr>
                <w:rFonts w:ascii="Cambria" w:hAnsi="Cambria"/>
                <w:b/>
                <w:color w:val="002060"/>
              </w:rPr>
              <w:t>Završetak sastanka i podjela potvrda</w:t>
            </w:r>
          </w:p>
          <w:p w:rsidR="008F53AF" w:rsidRPr="00FD5012" w:rsidRDefault="008F53AF" w:rsidP="005B11D2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Gospodin Arman Vatyan</w:t>
            </w:r>
          </w:p>
          <w:p w:rsidR="008F53AF" w:rsidRPr="00FD5012" w:rsidRDefault="008F53AF" w:rsidP="0023251C">
            <w:pPr>
              <w:spacing w:after="0" w:line="240" w:lineRule="auto"/>
              <w:rPr>
                <w:rFonts w:ascii="Cambria" w:hAnsi="Cambria"/>
                <w:i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Gospođa Edit Nemeth</w:t>
            </w:r>
          </w:p>
          <w:p w:rsidR="008F53AF" w:rsidRPr="00FD5012" w:rsidRDefault="008F53AF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i/>
                <w:color w:val="002060"/>
              </w:rPr>
              <w:t>Gospođa Ljerka Crnkovic</w:t>
            </w: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3AF" w:rsidRPr="00FD5012" w:rsidRDefault="008F53AF" w:rsidP="00EA23A3">
            <w:pPr>
              <w:spacing w:after="0" w:line="240" w:lineRule="auto"/>
              <w:rPr>
                <w:rFonts w:ascii="Cambria" w:hAnsi="Cambria"/>
                <w:color w:val="002060"/>
              </w:rPr>
            </w:pPr>
            <w:r w:rsidRPr="00FD5012">
              <w:rPr>
                <w:rFonts w:ascii="Cambria" w:hAnsi="Cambria"/>
                <w:color w:val="002060"/>
              </w:rPr>
              <w:t>Odobravanje priopćenja (communiqué)</w:t>
            </w:r>
          </w:p>
          <w:p w:rsidR="008F53AF" w:rsidRPr="00FD5012" w:rsidRDefault="008F53AF" w:rsidP="00EA23A3">
            <w:pPr>
              <w:spacing w:after="0" w:line="240" w:lineRule="auto"/>
              <w:rPr>
                <w:rFonts w:ascii="Cambria" w:hAnsi="Cambria"/>
                <w:color w:val="002060"/>
              </w:rPr>
            </w:pPr>
          </w:p>
          <w:p w:rsidR="008F53AF" w:rsidRPr="00FD5012" w:rsidRDefault="008F53AF" w:rsidP="00EA23A3">
            <w:pPr>
              <w:spacing w:after="0" w:line="240" w:lineRule="auto"/>
              <w:rPr>
                <w:rFonts w:ascii="Cambria" w:hAnsi="Cambria"/>
                <w:color w:val="002060"/>
              </w:rPr>
            </w:pPr>
          </w:p>
        </w:tc>
      </w:tr>
    </w:tbl>
    <w:p w:rsidR="00640D28" w:rsidRPr="00FD5012" w:rsidRDefault="00640D28" w:rsidP="00F13CDA"/>
    <w:p w:rsidR="00640D28" w:rsidRPr="00FD5012" w:rsidRDefault="00640D28">
      <w:pPr>
        <w:rPr>
          <w:color w:val="244061"/>
        </w:rPr>
      </w:pPr>
      <w:bookmarkStart w:id="0" w:name="_GoBack"/>
      <w:bookmarkEnd w:id="0"/>
    </w:p>
    <w:sectPr w:rsidR="00640D28" w:rsidRPr="00FD5012" w:rsidSect="007B5666"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BC4"/>
    <w:multiLevelType w:val="hybridMultilevel"/>
    <w:tmpl w:val="AADEB4B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B500B"/>
    <w:multiLevelType w:val="multilevel"/>
    <w:tmpl w:val="18FCD3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1AF8"/>
    <w:multiLevelType w:val="hybridMultilevel"/>
    <w:tmpl w:val="BD24C59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574E7"/>
    <w:multiLevelType w:val="hybridMultilevel"/>
    <w:tmpl w:val="954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F2075"/>
    <w:multiLevelType w:val="hybridMultilevel"/>
    <w:tmpl w:val="A8A0AF7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161D"/>
    <w:multiLevelType w:val="hybridMultilevel"/>
    <w:tmpl w:val="2B3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E44E1A"/>
    <w:multiLevelType w:val="hybridMultilevel"/>
    <w:tmpl w:val="18FCD326"/>
    <w:lvl w:ilvl="0" w:tplc="9D2E8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030B"/>
    <w:multiLevelType w:val="hybridMultilevel"/>
    <w:tmpl w:val="EC82F552"/>
    <w:lvl w:ilvl="0" w:tplc="9D2E8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3959"/>
    <w:multiLevelType w:val="hybridMultilevel"/>
    <w:tmpl w:val="867CD5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402C6"/>
    <w:multiLevelType w:val="hybridMultilevel"/>
    <w:tmpl w:val="091A8F3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C6F97"/>
    <w:multiLevelType w:val="hybridMultilevel"/>
    <w:tmpl w:val="A24E3750"/>
    <w:lvl w:ilvl="0" w:tplc="27C62180">
      <w:start w:val="14"/>
      <w:numFmt w:val="bullet"/>
      <w:lvlText w:val="-"/>
      <w:lvlJc w:val="left"/>
      <w:pPr>
        <w:ind w:left="39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67C12534"/>
    <w:multiLevelType w:val="hybridMultilevel"/>
    <w:tmpl w:val="EEBE759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E234F"/>
    <w:multiLevelType w:val="hybridMultilevel"/>
    <w:tmpl w:val="523A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60"/>
    <w:rsid w:val="000222B6"/>
    <w:rsid w:val="00035E70"/>
    <w:rsid w:val="00042D2E"/>
    <w:rsid w:val="00050BEC"/>
    <w:rsid w:val="0005291A"/>
    <w:rsid w:val="000677AE"/>
    <w:rsid w:val="00070593"/>
    <w:rsid w:val="00085BEE"/>
    <w:rsid w:val="000C0A31"/>
    <w:rsid w:val="000C1015"/>
    <w:rsid w:val="000D0457"/>
    <w:rsid w:val="001067FA"/>
    <w:rsid w:val="001413B4"/>
    <w:rsid w:val="00146A10"/>
    <w:rsid w:val="001731CD"/>
    <w:rsid w:val="00176064"/>
    <w:rsid w:val="00177498"/>
    <w:rsid w:val="00182398"/>
    <w:rsid w:val="0019219D"/>
    <w:rsid w:val="001A0C7A"/>
    <w:rsid w:val="001A31F4"/>
    <w:rsid w:val="001C2D22"/>
    <w:rsid w:val="001C7524"/>
    <w:rsid w:val="001E00AA"/>
    <w:rsid w:val="0023251C"/>
    <w:rsid w:val="00270752"/>
    <w:rsid w:val="00276892"/>
    <w:rsid w:val="002940E3"/>
    <w:rsid w:val="002C17E6"/>
    <w:rsid w:val="002C625D"/>
    <w:rsid w:val="002D4B91"/>
    <w:rsid w:val="00317E72"/>
    <w:rsid w:val="003203C4"/>
    <w:rsid w:val="00326F1A"/>
    <w:rsid w:val="00371BC8"/>
    <w:rsid w:val="00394E06"/>
    <w:rsid w:val="003B1D2A"/>
    <w:rsid w:val="003B253A"/>
    <w:rsid w:val="003B6436"/>
    <w:rsid w:val="003C2579"/>
    <w:rsid w:val="003C2693"/>
    <w:rsid w:val="003E6B5D"/>
    <w:rsid w:val="00402EAD"/>
    <w:rsid w:val="00403960"/>
    <w:rsid w:val="0041320F"/>
    <w:rsid w:val="00415E0D"/>
    <w:rsid w:val="0044550E"/>
    <w:rsid w:val="00446A98"/>
    <w:rsid w:val="00454063"/>
    <w:rsid w:val="00457412"/>
    <w:rsid w:val="004607A0"/>
    <w:rsid w:val="00467756"/>
    <w:rsid w:val="00470461"/>
    <w:rsid w:val="00486099"/>
    <w:rsid w:val="004A1CEA"/>
    <w:rsid w:val="004A69C2"/>
    <w:rsid w:val="004D752C"/>
    <w:rsid w:val="00523089"/>
    <w:rsid w:val="005517F2"/>
    <w:rsid w:val="0055732B"/>
    <w:rsid w:val="005A330F"/>
    <w:rsid w:val="005B11D2"/>
    <w:rsid w:val="005B38AD"/>
    <w:rsid w:val="005C1B5A"/>
    <w:rsid w:val="005D6BD2"/>
    <w:rsid w:val="005E42DF"/>
    <w:rsid w:val="005E5342"/>
    <w:rsid w:val="005F1CF8"/>
    <w:rsid w:val="0061570B"/>
    <w:rsid w:val="00620C5C"/>
    <w:rsid w:val="00640D28"/>
    <w:rsid w:val="0064108E"/>
    <w:rsid w:val="00642E75"/>
    <w:rsid w:val="006441F1"/>
    <w:rsid w:val="0064472D"/>
    <w:rsid w:val="00646208"/>
    <w:rsid w:val="00650D81"/>
    <w:rsid w:val="00682743"/>
    <w:rsid w:val="0068650C"/>
    <w:rsid w:val="006907AD"/>
    <w:rsid w:val="006911A8"/>
    <w:rsid w:val="006A3EDC"/>
    <w:rsid w:val="006D7A59"/>
    <w:rsid w:val="006E4ED6"/>
    <w:rsid w:val="006F5641"/>
    <w:rsid w:val="006F6360"/>
    <w:rsid w:val="0072375E"/>
    <w:rsid w:val="00727A3A"/>
    <w:rsid w:val="00732429"/>
    <w:rsid w:val="007A2DF3"/>
    <w:rsid w:val="007B5666"/>
    <w:rsid w:val="007D76F1"/>
    <w:rsid w:val="007F46DA"/>
    <w:rsid w:val="00820E10"/>
    <w:rsid w:val="0083610A"/>
    <w:rsid w:val="0084553F"/>
    <w:rsid w:val="00874879"/>
    <w:rsid w:val="00887D6E"/>
    <w:rsid w:val="008905B7"/>
    <w:rsid w:val="00895D72"/>
    <w:rsid w:val="008C0CA4"/>
    <w:rsid w:val="008C548D"/>
    <w:rsid w:val="008E3BC1"/>
    <w:rsid w:val="008E7633"/>
    <w:rsid w:val="008F4EE4"/>
    <w:rsid w:val="008F53AF"/>
    <w:rsid w:val="0092603E"/>
    <w:rsid w:val="0094310F"/>
    <w:rsid w:val="00951712"/>
    <w:rsid w:val="009602D2"/>
    <w:rsid w:val="00965C53"/>
    <w:rsid w:val="00975031"/>
    <w:rsid w:val="00976E5B"/>
    <w:rsid w:val="00983E99"/>
    <w:rsid w:val="009A69BD"/>
    <w:rsid w:val="009C3494"/>
    <w:rsid w:val="009C3993"/>
    <w:rsid w:val="009E3DB0"/>
    <w:rsid w:val="00A27C00"/>
    <w:rsid w:val="00A3491F"/>
    <w:rsid w:val="00A40C12"/>
    <w:rsid w:val="00A46912"/>
    <w:rsid w:val="00A61B9C"/>
    <w:rsid w:val="00A76267"/>
    <w:rsid w:val="00A85042"/>
    <w:rsid w:val="00A90D4C"/>
    <w:rsid w:val="00AC1976"/>
    <w:rsid w:val="00AE71A9"/>
    <w:rsid w:val="00B03CEC"/>
    <w:rsid w:val="00B21417"/>
    <w:rsid w:val="00B9167A"/>
    <w:rsid w:val="00BA3AF6"/>
    <w:rsid w:val="00BA40F6"/>
    <w:rsid w:val="00BC1B34"/>
    <w:rsid w:val="00BD7C8E"/>
    <w:rsid w:val="00BF0905"/>
    <w:rsid w:val="00BF5370"/>
    <w:rsid w:val="00C14E9F"/>
    <w:rsid w:val="00C171A1"/>
    <w:rsid w:val="00C41F0F"/>
    <w:rsid w:val="00C70109"/>
    <w:rsid w:val="00C70235"/>
    <w:rsid w:val="00C708F1"/>
    <w:rsid w:val="00C7488F"/>
    <w:rsid w:val="00C81C00"/>
    <w:rsid w:val="00CA0FC6"/>
    <w:rsid w:val="00CC3CC3"/>
    <w:rsid w:val="00CF2E24"/>
    <w:rsid w:val="00D135A2"/>
    <w:rsid w:val="00D329C6"/>
    <w:rsid w:val="00D4399E"/>
    <w:rsid w:val="00D43F4B"/>
    <w:rsid w:val="00D60C7A"/>
    <w:rsid w:val="00DA094B"/>
    <w:rsid w:val="00DB1D0E"/>
    <w:rsid w:val="00DD66DA"/>
    <w:rsid w:val="00E00F29"/>
    <w:rsid w:val="00E13C81"/>
    <w:rsid w:val="00E14732"/>
    <w:rsid w:val="00E27613"/>
    <w:rsid w:val="00E326E1"/>
    <w:rsid w:val="00E81EAE"/>
    <w:rsid w:val="00EA23A3"/>
    <w:rsid w:val="00EA51B6"/>
    <w:rsid w:val="00EB3574"/>
    <w:rsid w:val="00EC522E"/>
    <w:rsid w:val="00EF0C9C"/>
    <w:rsid w:val="00EF42BD"/>
    <w:rsid w:val="00F059D6"/>
    <w:rsid w:val="00F13CDA"/>
    <w:rsid w:val="00F71A4F"/>
    <w:rsid w:val="00F75F6D"/>
    <w:rsid w:val="00FA6A38"/>
    <w:rsid w:val="00FC0AC8"/>
    <w:rsid w:val="00FC6411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85A1E2-2FBA-4E18-A36E-C2116A8A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hr-H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7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517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1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17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1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1712"/>
    <w:rPr>
      <w:rFonts w:cs="Times New Roman"/>
      <w:b/>
      <w:bCs/>
      <w:sz w:val="20"/>
      <w:szCs w:val="20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99"/>
    <w:qFormat/>
    <w:rsid w:val="00326F1A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99"/>
    <w:locked/>
    <w:rsid w:val="00A90D4C"/>
    <w:rPr>
      <w:rFonts w:ascii="Calibri" w:hAnsi="Calibri" w:cs="Times New Roman"/>
      <w:sz w:val="22"/>
      <w:szCs w:val="22"/>
      <w:lang w:val="hr-HR" w:eastAsia="hr-HR" w:bidi="hr-HR"/>
    </w:rPr>
  </w:style>
  <w:style w:type="table" w:styleId="TableGrid">
    <w:name w:val="Table Grid"/>
    <w:basedOn w:val="TableNormal"/>
    <w:uiPriority w:val="99"/>
    <w:locked/>
    <w:rsid w:val="001413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locked/>
    <w:rsid w:val="002940E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940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Kristina Zaituna</cp:lastModifiedBy>
  <cp:revision>6</cp:revision>
  <cp:lastPrinted>2015-08-18T11:50:00Z</cp:lastPrinted>
  <dcterms:created xsi:type="dcterms:W3CDTF">2015-09-23T10:37:00Z</dcterms:created>
  <dcterms:modified xsi:type="dcterms:W3CDTF">2015-12-08T12:34:00Z</dcterms:modified>
</cp:coreProperties>
</file>