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BE31C" w14:textId="77777777" w:rsidR="00137E3D" w:rsidRDefault="002C3149" w:rsidP="00137E3D">
      <w:pPr>
        <w:widowControl w:val="0"/>
        <w:autoSpaceDE w:val="0"/>
        <w:autoSpaceDN w:val="0"/>
        <w:adjustRightInd w:val="0"/>
        <w:jc w:val="center"/>
        <w:rPr>
          <w:rFonts w:ascii="Helvetica Neue" w:hAnsi="Helvetica Neue" w:cs="Helvetica Neue"/>
          <w:b/>
          <w:lang w:val="en-US"/>
        </w:rPr>
      </w:pPr>
      <w:r w:rsidRPr="00D057B5">
        <w:rPr>
          <w:rFonts w:ascii="Helvetica Neue" w:hAnsi="Helvetica Neue" w:cs="Helvetica Neue"/>
          <w:b/>
          <w:lang w:val="en-US"/>
        </w:rPr>
        <w:t xml:space="preserve">PEMPAL </w:t>
      </w:r>
      <w:r w:rsidRPr="00D057B5">
        <w:rPr>
          <w:rFonts w:ascii="Cambria" w:hAnsi="Cambria" w:cs="Cambria"/>
          <w:b/>
          <w:lang w:val="en-US"/>
        </w:rPr>
        <w:t>–</w:t>
      </w:r>
      <w:r w:rsidRPr="00D057B5">
        <w:rPr>
          <w:rFonts w:ascii="Helvetica Neue" w:hAnsi="Helvetica Neue" w:cs="Helvetica Neue"/>
          <w:b/>
          <w:lang w:val="en-US"/>
        </w:rPr>
        <w:t xml:space="preserve"> T</w:t>
      </w:r>
      <w:r w:rsidR="00137E3D">
        <w:rPr>
          <w:rFonts w:ascii="Helvetica Neue" w:hAnsi="Helvetica Neue" w:cs="Helvetica Neue"/>
          <w:b/>
          <w:lang w:val="en-US"/>
        </w:rPr>
        <w:t>reasury Community of Practice</w:t>
      </w:r>
    </w:p>
    <w:p w14:paraId="44EF047D" w14:textId="77777777" w:rsidR="00137E3D" w:rsidRDefault="00137E3D" w:rsidP="00137E3D">
      <w:pPr>
        <w:widowControl w:val="0"/>
        <w:autoSpaceDE w:val="0"/>
        <w:autoSpaceDN w:val="0"/>
        <w:adjustRightInd w:val="0"/>
        <w:jc w:val="center"/>
        <w:rPr>
          <w:rFonts w:ascii="Helvetica Neue" w:hAnsi="Helvetica Neue" w:cs="Helvetica Neue"/>
          <w:b/>
          <w:lang w:val="en-US"/>
        </w:rPr>
      </w:pPr>
      <w:r>
        <w:rPr>
          <w:rFonts w:ascii="Helvetica Neue" w:hAnsi="Helvetica Neue" w:cs="Helvetica Neue"/>
          <w:b/>
          <w:lang w:val="en-US"/>
        </w:rPr>
        <w:t>Thematic group “Cash management”</w:t>
      </w:r>
    </w:p>
    <w:p w14:paraId="3690D654" w14:textId="77777777" w:rsidR="00137E3D" w:rsidRDefault="00137E3D" w:rsidP="002C3149">
      <w:pPr>
        <w:widowControl w:val="0"/>
        <w:autoSpaceDE w:val="0"/>
        <w:autoSpaceDN w:val="0"/>
        <w:adjustRightInd w:val="0"/>
        <w:jc w:val="both"/>
        <w:rPr>
          <w:rFonts w:ascii="Helvetica Neue" w:hAnsi="Helvetica Neue" w:cs="Helvetica Neue"/>
          <w:b/>
          <w:lang w:val="en-US"/>
        </w:rPr>
      </w:pPr>
    </w:p>
    <w:p w14:paraId="02C897B3" w14:textId="2389ED0A" w:rsidR="002C3149" w:rsidRPr="00D057B5" w:rsidRDefault="00137E3D" w:rsidP="002C3149">
      <w:pPr>
        <w:widowControl w:val="0"/>
        <w:autoSpaceDE w:val="0"/>
        <w:autoSpaceDN w:val="0"/>
        <w:adjustRightInd w:val="0"/>
        <w:jc w:val="both"/>
        <w:rPr>
          <w:rFonts w:ascii="Helvetica Neue" w:hAnsi="Helvetica Neue" w:cs="Helvetica Neue"/>
          <w:b/>
          <w:i/>
          <w:iCs/>
          <w:lang w:val="en-US"/>
        </w:rPr>
      </w:pPr>
      <w:r>
        <w:rPr>
          <w:rFonts w:ascii="Helvetica Neue" w:hAnsi="Helvetica Neue" w:cs="Helvetica Neue"/>
          <w:b/>
          <w:i/>
          <w:iCs/>
          <w:lang w:val="en-US"/>
        </w:rPr>
        <w:t>Videoc</w:t>
      </w:r>
      <w:r w:rsidR="002C3149" w:rsidRPr="00D057B5">
        <w:rPr>
          <w:rFonts w:ascii="Helvetica Neue" w:hAnsi="Helvetica Neue" w:cs="Helvetica Neue"/>
          <w:b/>
          <w:i/>
          <w:iCs/>
          <w:lang w:val="en-US"/>
        </w:rPr>
        <w:t xml:space="preserve">onference, </w:t>
      </w:r>
      <w:r w:rsidR="00876C11" w:rsidRPr="00D057B5">
        <w:rPr>
          <w:rFonts w:ascii="Helvetica Neue" w:hAnsi="Helvetica Neue" w:cs="Helvetica Neue"/>
          <w:b/>
          <w:i/>
          <w:iCs/>
          <w:lang w:val="en-US"/>
        </w:rPr>
        <w:t>2</w:t>
      </w:r>
      <w:r w:rsidR="00C3439F" w:rsidRPr="00D057B5">
        <w:rPr>
          <w:rFonts w:ascii="Helvetica Neue" w:hAnsi="Helvetica Neue" w:cs="Helvetica Neue"/>
          <w:b/>
          <w:i/>
          <w:iCs/>
          <w:lang w:val="en-US"/>
        </w:rPr>
        <w:t>9</w:t>
      </w:r>
      <w:r w:rsidR="00876C11" w:rsidRPr="00D057B5">
        <w:rPr>
          <w:rFonts w:ascii="Helvetica Neue" w:hAnsi="Helvetica Neue" w:cs="Helvetica Neue"/>
          <w:b/>
          <w:i/>
          <w:iCs/>
          <w:lang w:val="en-US"/>
        </w:rPr>
        <w:t xml:space="preserve"> October</w:t>
      </w:r>
      <w:r w:rsidR="00C3439F" w:rsidRPr="00D057B5">
        <w:rPr>
          <w:rFonts w:ascii="Helvetica Neue" w:hAnsi="Helvetica Neue" w:cs="Helvetica Neue"/>
          <w:b/>
          <w:i/>
          <w:iCs/>
          <w:lang w:val="en-US"/>
        </w:rPr>
        <w:t xml:space="preserve"> 2015</w:t>
      </w:r>
    </w:p>
    <w:p w14:paraId="64C9FAD7" w14:textId="77777777" w:rsidR="002C3149" w:rsidRPr="00D057B5" w:rsidRDefault="002C3149" w:rsidP="002C3149">
      <w:pPr>
        <w:widowControl w:val="0"/>
        <w:autoSpaceDE w:val="0"/>
        <w:autoSpaceDN w:val="0"/>
        <w:adjustRightInd w:val="0"/>
        <w:rPr>
          <w:rFonts w:ascii="Times New Roman" w:hAnsi="Times New Roman" w:cs="Times New Roman"/>
          <w:lang w:val="en-US"/>
        </w:rPr>
      </w:pPr>
    </w:p>
    <w:p w14:paraId="33A8FEEB" w14:textId="0A473132" w:rsidR="002C3149" w:rsidRDefault="002C3149" w:rsidP="002C3149">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On </w:t>
      </w:r>
      <w:r w:rsidR="00876C11" w:rsidRPr="00D057B5">
        <w:rPr>
          <w:rFonts w:ascii="Times New Roman" w:hAnsi="Times New Roman" w:cs="Times New Roman"/>
          <w:lang w:val="en-US"/>
        </w:rPr>
        <w:t>2</w:t>
      </w:r>
      <w:r w:rsidR="00C3439F" w:rsidRPr="00D057B5">
        <w:rPr>
          <w:rFonts w:ascii="Times New Roman" w:hAnsi="Times New Roman" w:cs="Times New Roman"/>
          <w:lang w:val="en-US"/>
        </w:rPr>
        <w:t>9</w:t>
      </w:r>
      <w:r w:rsidRPr="00D057B5">
        <w:rPr>
          <w:rFonts w:ascii="Times New Roman" w:hAnsi="Times New Roman" w:cs="Times New Roman"/>
          <w:lang w:val="en-US"/>
        </w:rPr>
        <w:t xml:space="preserve"> </w:t>
      </w:r>
      <w:r w:rsidR="00876C11" w:rsidRPr="00D057B5">
        <w:rPr>
          <w:rFonts w:ascii="Times New Roman" w:hAnsi="Times New Roman" w:cs="Times New Roman"/>
          <w:lang w:val="en-US"/>
        </w:rPr>
        <w:t>October</w:t>
      </w:r>
      <w:r w:rsidRPr="00D057B5">
        <w:rPr>
          <w:rFonts w:ascii="Times New Roman" w:hAnsi="Times New Roman" w:cs="Times New Roman"/>
          <w:lang w:val="en-US"/>
        </w:rPr>
        <w:t xml:space="preserve">, </w:t>
      </w:r>
      <w:r w:rsidR="00876C11" w:rsidRPr="00D057B5">
        <w:rPr>
          <w:rFonts w:ascii="Times New Roman" w:hAnsi="Times New Roman" w:cs="Times New Roman"/>
          <w:lang w:val="en-US"/>
        </w:rPr>
        <w:t>37</w:t>
      </w:r>
      <w:r w:rsidRPr="00D057B5">
        <w:rPr>
          <w:rFonts w:ascii="Times New Roman" w:hAnsi="Times New Roman" w:cs="Times New Roman"/>
          <w:lang w:val="en-US"/>
        </w:rPr>
        <w:t xml:space="preserve"> participants from </w:t>
      </w:r>
      <w:r w:rsidR="00876C11" w:rsidRPr="00D057B5">
        <w:rPr>
          <w:rFonts w:ascii="Times New Roman" w:hAnsi="Times New Roman" w:cs="Times New Roman"/>
          <w:lang w:val="en-US"/>
        </w:rPr>
        <w:t>13</w:t>
      </w:r>
      <w:r w:rsidRPr="00D057B5">
        <w:rPr>
          <w:rFonts w:ascii="Times New Roman" w:hAnsi="Times New Roman" w:cs="Times New Roman"/>
          <w:lang w:val="en-US"/>
        </w:rPr>
        <w:t xml:space="preserve"> countries</w:t>
      </w:r>
      <w:r w:rsidR="00876C11" w:rsidRPr="00D057B5">
        <w:rPr>
          <w:rFonts w:ascii="Times New Roman" w:hAnsi="Times New Roman" w:cs="Times New Roman"/>
          <w:lang w:val="en-US"/>
        </w:rPr>
        <w:t xml:space="preserve"> (and 17 different locations)</w:t>
      </w:r>
      <w:r w:rsidRPr="00D057B5">
        <w:rPr>
          <w:rFonts w:ascii="Times New Roman" w:hAnsi="Times New Roman" w:cs="Times New Roman"/>
          <w:lang w:val="en-US"/>
        </w:rPr>
        <w:t xml:space="preserve"> took part in a three-hour video conference on cash management. This was the </w:t>
      </w:r>
      <w:r w:rsidR="00137E3D">
        <w:rPr>
          <w:rFonts w:ascii="Times New Roman" w:hAnsi="Times New Roman" w:cs="Times New Roman"/>
          <w:lang w:val="en-US"/>
        </w:rPr>
        <w:t xml:space="preserve">sixth </w:t>
      </w:r>
      <w:r w:rsidRPr="00D057B5">
        <w:rPr>
          <w:rFonts w:ascii="Times New Roman" w:hAnsi="Times New Roman" w:cs="Times New Roman"/>
          <w:lang w:val="en-US"/>
        </w:rPr>
        <w:t xml:space="preserve">event for the working group, with </w:t>
      </w:r>
      <w:r w:rsidR="00876C11" w:rsidRPr="00D057B5">
        <w:rPr>
          <w:rFonts w:ascii="Times New Roman" w:hAnsi="Times New Roman" w:cs="Times New Roman"/>
          <w:lang w:val="en-US"/>
        </w:rPr>
        <w:t>four</w:t>
      </w:r>
      <w:r w:rsidR="00C3439F" w:rsidRPr="00D057B5">
        <w:rPr>
          <w:rFonts w:ascii="Times New Roman" w:hAnsi="Times New Roman" w:cs="Times New Roman"/>
          <w:lang w:val="en-US"/>
        </w:rPr>
        <w:t xml:space="preserve"> </w:t>
      </w:r>
      <w:r w:rsidRPr="00D057B5">
        <w:rPr>
          <w:rFonts w:ascii="Times New Roman" w:hAnsi="Times New Roman" w:cs="Times New Roman"/>
          <w:lang w:val="en-US"/>
        </w:rPr>
        <w:t>video-conference</w:t>
      </w:r>
      <w:r w:rsidR="00C3439F" w:rsidRPr="00D057B5">
        <w:rPr>
          <w:rFonts w:ascii="Times New Roman" w:hAnsi="Times New Roman" w:cs="Times New Roman"/>
          <w:lang w:val="en-US"/>
        </w:rPr>
        <w:t>s</w:t>
      </w:r>
      <w:r w:rsidRPr="00D057B5">
        <w:rPr>
          <w:rFonts w:ascii="Times New Roman" w:hAnsi="Times New Roman" w:cs="Times New Roman"/>
          <w:lang w:val="en-US"/>
        </w:rPr>
        <w:t xml:space="preserve"> taking place in May</w:t>
      </w:r>
      <w:r w:rsidR="00C3439F" w:rsidRPr="00D057B5">
        <w:rPr>
          <w:rFonts w:ascii="Times New Roman" w:hAnsi="Times New Roman" w:cs="Times New Roman"/>
          <w:lang w:val="en-US"/>
        </w:rPr>
        <w:t>, September</w:t>
      </w:r>
      <w:r w:rsidRPr="00D057B5">
        <w:rPr>
          <w:rFonts w:ascii="Times New Roman" w:hAnsi="Times New Roman" w:cs="Times New Roman"/>
          <w:lang w:val="en-US"/>
        </w:rPr>
        <w:t xml:space="preserve"> </w:t>
      </w:r>
      <w:r w:rsidR="00C3439F" w:rsidRPr="00D057B5">
        <w:rPr>
          <w:rFonts w:ascii="Times New Roman" w:hAnsi="Times New Roman" w:cs="Times New Roman"/>
          <w:lang w:val="en-US"/>
        </w:rPr>
        <w:t>and November of 2014</w:t>
      </w:r>
      <w:r w:rsidR="00876C11" w:rsidRPr="00D057B5">
        <w:rPr>
          <w:rFonts w:ascii="Times New Roman" w:hAnsi="Times New Roman" w:cs="Times New Roman"/>
          <w:lang w:val="en-US"/>
        </w:rPr>
        <w:t>, and April 2015</w:t>
      </w:r>
      <w:r w:rsidR="00137E3D">
        <w:rPr>
          <w:rFonts w:ascii="Times New Roman" w:hAnsi="Times New Roman" w:cs="Times New Roman"/>
          <w:lang w:val="en-US"/>
        </w:rPr>
        <w:t>, and a plenary meeting held in Tirana, in May 2015.</w:t>
      </w:r>
      <w:r w:rsidRPr="00D057B5">
        <w:rPr>
          <w:rFonts w:ascii="Times New Roman" w:hAnsi="Times New Roman" w:cs="Times New Roman"/>
          <w:lang w:val="en-US"/>
        </w:rPr>
        <w:t xml:space="preserve"> </w:t>
      </w:r>
      <w:r w:rsidR="00070D45">
        <w:rPr>
          <w:rFonts w:ascii="Times New Roman" w:hAnsi="Times New Roman" w:cs="Times New Roman"/>
          <w:lang w:val="en-US"/>
        </w:rPr>
        <w:t>The leader of the World Bank resource team for TCOP</w:t>
      </w:r>
      <w:r w:rsidRPr="00D057B5">
        <w:rPr>
          <w:rFonts w:ascii="Times New Roman" w:hAnsi="Times New Roman" w:cs="Times New Roman"/>
          <w:lang w:val="en-US"/>
        </w:rPr>
        <w:t>, E</w:t>
      </w:r>
      <w:r w:rsidR="00876C11" w:rsidRPr="00D057B5">
        <w:rPr>
          <w:rFonts w:ascii="Times New Roman" w:hAnsi="Times New Roman" w:cs="Times New Roman"/>
          <w:lang w:val="en-US"/>
        </w:rPr>
        <w:t>lena Nikulina, and TCOP advisor</w:t>
      </w:r>
      <w:r w:rsidRPr="00D057B5">
        <w:rPr>
          <w:rFonts w:ascii="Times New Roman" w:hAnsi="Times New Roman" w:cs="Times New Roman"/>
          <w:lang w:val="en-US"/>
        </w:rPr>
        <w:t xml:space="preserve">, Ion Chicu, also participated. The </w:t>
      </w:r>
      <w:r w:rsidR="00DE3AC8" w:rsidRPr="00D057B5">
        <w:rPr>
          <w:rFonts w:ascii="Times New Roman" w:hAnsi="Times New Roman" w:cs="Times New Roman"/>
          <w:lang w:val="en-US"/>
        </w:rPr>
        <w:t>video link</w:t>
      </w:r>
      <w:bookmarkStart w:id="0" w:name="_GoBack"/>
      <w:bookmarkEnd w:id="0"/>
      <w:r w:rsidRPr="00D057B5">
        <w:rPr>
          <w:rFonts w:ascii="Times New Roman" w:hAnsi="Times New Roman" w:cs="Times New Roman"/>
          <w:lang w:val="en-US"/>
        </w:rPr>
        <w:t xml:space="preserve"> was </w:t>
      </w:r>
      <w:r w:rsidR="00DE3AC8" w:rsidRPr="00D057B5">
        <w:rPr>
          <w:rFonts w:ascii="Times New Roman" w:hAnsi="Times New Roman" w:cs="Times New Roman"/>
          <w:lang w:val="en-US"/>
        </w:rPr>
        <w:t>centered</w:t>
      </w:r>
      <w:r w:rsidRPr="00D057B5">
        <w:rPr>
          <w:rFonts w:ascii="Times New Roman" w:hAnsi="Times New Roman" w:cs="Times New Roman"/>
          <w:lang w:val="en-US"/>
        </w:rPr>
        <w:t xml:space="preserve"> around a presentation by TCOP </w:t>
      </w:r>
      <w:r w:rsidR="00070D45">
        <w:rPr>
          <w:rFonts w:ascii="Times New Roman" w:hAnsi="Times New Roman" w:cs="Times New Roman"/>
          <w:lang w:val="en-US"/>
        </w:rPr>
        <w:t xml:space="preserve">thematic </w:t>
      </w:r>
      <w:r w:rsidR="00876C11" w:rsidRPr="00D057B5">
        <w:rPr>
          <w:rFonts w:ascii="Times New Roman" w:hAnsi="Times New Roman" w:cs="Times New Roman"/>
          <w:lang w:val="en-US"/>
        </w:rPr>
        <w:t>advisor Mark Silins, on the Treasury Single Account (TSA)</w:t>
      </w:r>
      <w:r w:rsidR="00137E3D">
        <w:rPr>
          <w:rFonts w:ascii="Times New Roman" w:hAnsi="Times New Roman" w:cs="Times New Roman"/>
          <w:lang w:val="en-US"/>
        </w:rPr>
        <w:t xml:space="preserve"> – embedded below</w:t>
      </w:r>
      <w:r w:rsidR="00876C11" w:rsidRPr="00D057B5">
        <w:rPr>
          <w:rFonts w:ascii="Times New Roman" w:hAnsi="Times New Roman" w:cs="Times New Roman"/>
          <w:lang w:val="en-US"/>
        </w:rPr>
        <w:t xml:space="preserve">. </w:t>
      </w:r>
      <w:r w:rsidR="00070D45">
        <w:rPr>
          <w:rFonts w:ascii="Times New Roman" w:hAnsi="Times New Roman" w:cs="Times New Roman"/>
          <w:lang w:val="en-US"/>
        </w:rPr>
        <w:t>Agenda of t</w:t>
      </w:r>
      <w:r w:rsidR="00137E3D">
        <w:rPr>
          <w:rFonts w:ascii="Times New Roman" w:hAnsi="Times New Roman" w:cs="Times New Roman"/>
          <w:lang w:val="en-US"/>
        </w:rPr>
        <w:t xml:space="preserve">he videoconference </w:t>
      </w:r>
      <w:r w:rsidR="00070D45">
        <w:rPr>
          <w:rFonts w:ascii="Times New Roman" w:hAnsi="Times New Roman" w:cs="Times New Roman"/>
          <w:lang w:val="en-US"/>
        </w:rPr>
        <w:t xml:space="preserve">is embedded </w:t>
      </w:r>
      <w:r w:rsidR="00137E3D">
        <w:rPr>
          <w:rFonts w:ascii="Times New Roman" w:hAnsi="Times New Roman" w:cs="Times New Roman"/>
          <w:lang w:val="en-US"/>
        </w:rPr>
        <w:t>below.</w:t>
      </w:r>
    </w:p>
    <w:p w14:paraId="63E415A4" w14:textId="77777777" w:rsidR="00137E3D" w:rsidRDefault="00137E3D" w:rsidP="002C3149">
      <w:pPr>
        <w:widowControl w:val="0"/>
        <w:autoSpaceDE w:val="0"/>
        <w:autoSpaceDN w:val="0"/>
        <w:adjustRightInd w:val="0"/>
        <w:jc w:val="both"/>
        <w:rPr>
          <w:rFonts w:ascii="Times New Roman" w:hAnsi="Times New Roman" w:cs="Times New Roman"/>
          <w:lang w:val="en-US"/>
        </w:rPr>
      </w:pPr>
    </w:p>
    <w:p w14:paraId="7E44DA83" w14:textId="6B70A3AA" w:rsidR="00137E3D" w:rsidRPr="00D057B5" w:rsidRDefault="00137E3D" w:rsidP="002C314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object w:dxaOrig="1531" w:dyaOrig="1002" w14:anchorId="327FE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75pt" o:ole="" filled="t" fillcolor="#92d050">
            <v:imagedata r:id="rId7" o:title=""/>
          </v:shape>
          <o:OLEObject Type="Embed" ProgID="PowerPoint.Show.12" ShapeID="_x0000_i1025" DrawAspect="Icon" ObjectID="_1509272417" r:id="rId8"/>
        </w:object>
      </w:r>
      <w:r>
        <w:rPr>
          <w:rFonts w:ascii="Times New Roman" w:hAnsi="Times New Roman" w:cs="Times New Roman"/>
          <w:lang w:val="en-US"/>
        </w:rPr>
        <w:t xml:space="preserve">     </w:t>
      </w:r>
      <w:bookmarkStart w:id="1" w:name="_MON_1508318660"/>
      <w:bookmarkEnd w:id="1"/>
      <w:r>
        <w:rPr>
          <w:rFonts w:ascii="Times New Roman" w:hAnsi="Times New Roman" w:cs="Times New Roman"/>
          <w:lang w:val="en-US"/>
        </w:rPr>
        <w:object w:dxaOrig="1531" w:dyaOrig="1002" w14:anchorId="0D5924E4">
          <v:shape id="_x0000_i1026" type="#_x0000_t75" style="width:65.25pt;height:42.75pt" o:ole="" filled="t" fillcolor="#ffc000">
            <v:imagedata r:id="rId9" o:title=""/>
          </v:shape>
          <o:OLEObject Type="Embed" ProgID="Word.Document.8" ShapeID="_x0000_i1026" DrawAspect="Icon" ObjectID="_1509272418" r:id="rId10">
            <o:FieldCodes>\s</o:FieldCodes>
          </o:OLEObject>
        </w:object>
      </w:r>
    </w:p>
    <w:p w14:paraId="26558866" w14:textId="77777777" w:rsidR="002C3149" w:rsidRPr="00D057B5" w:rsidRDefault="002C3149" w:rsidP="002C3149">
      <w:pPr>
        <w:widowControl w:val="0"/>
        <w:autoSpaceDE w:val="0"/>
        <w:autoSpaceDN w:val="0"/>
        <w:adjustRightInd w:val="0"/>
        <w:rPr>
          <w:rFonts w:ascii="Times New Roman" w:hAnsi="Times New Roman" w:cs="Times New Roman"/>
          <w:lang w:val="en-US"/>
        </w:rPr>
      </w:pPr>
    </w:p>
    <w:p w14:paraId="0CDD1E79" w14:textId="6E9E4559" w:rsidR="00876C11" w:rsidRPr="00D057B5" w:rsidRDefault="00876C11" w:rsidP="00137E3D">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Ms Nikulina introduced the presentation by highlighting that TSA has been a focal topic at earlier TCOP events. </w:t>
      </w:r>
      <w:r w:rsidR="00070D45">
        <w:rPr>
          <w:rFonts w:ascii="Times New Roman" w:hAnsi="Times New Roman" w:cs="Times New Roman"/>
          <w:lang w:val="en-US"/>
        </w:rPr>
        <w:t>The May plenary meeting indicated that i</w:t>
      </w:r>
      <w:r w:rsidRPr="00D057B5">
        <w:rPr>
          <w:rFonts w:ascii="Times New Roman" w:hAnsi="Times New Roman" w:cs="Times New Roman"/>
          <w:lang w:val="en-US"/>
        </w:rPr>
        <w:t xml:space="preserve">t was timely for </w:t>
      </w:r>
      <w:r w:rsidR="00070D45">
        <w:rPr>
          <w:rFonts w:ascii="Times New Roman" w:hAnsi="Times New Roman" w:cs="Times New Roman"/>
          <w:lang w:val="en-US"/>
        </w:rPr>
        <w:t>the COP</w:t>
      </w:r>
      <w:r w:rsidRPr="00D057B5">
        <w:rPr>
          <w:rFonts w:ascii="Times New Roman" w:hAnsi="Times New Roman" w:cs="Times New Roman"/>
          <w:lang w:val="en-US"/>
        </w:rPr>
        <w:t xml:space="preserve"> to revisit the topic, as there continues to be conceptual differences in the way countries implement and refer to cash consolidation. </w:t>
      </w:r>
    </w:p>
    <w:p w14:paraId="44F63462" w14:textId="77777777" w:rsidR="00876C11" w:rsidRPr="00D057B5" w:rsidRDefault="00876C11" w:rsidP="002C3149">
      <w:pPr>
        <w:widowControl w:val="0"/>
        <w:autoSpaceDE w:val="0"/>
        <w:autoSpaceDN w:val="0"/>
        <w:adjustRightInd w:val="0"/>
        <w:rPr>
          <w:rFonts w:ascii="Times New Roman" w:hAnsi="Times New Roman" w:cs="Times New Roman"/>
          <w:lang w:val="en-US"/>
        </w:rPr>
      </w:pPr>
    </w:p>
    <w:p w14:paraId="518A069C" w14:textId="36B850EC" w:rsidR="001F41E4" w:rsidRPr="00D057B5" w:rsidRDefault="001F41E4" w:rsidP="00137E3D">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The key messages of the presentation </w:t>
      </w:r>
      <w:r w:rsidR="00B929B5" w:rsidRPr="00D057B5">
        <w:rPr>
          <w:rFonts w:ascii="Times New Roman" w:hAnsi="Times New Roman" w:cs="Times New Roman"/>
          <w:lang w:val="en-US"/>
        </w:rPr>
        <w:t>were</w:t>
      </w:r>
      <w:r w:rsidRPr="00D057B5">
        <w:rPr>
          <w:rFonts w:ascii="Times New Roman" w:hAnsi="Times New Roman" w:cs="Times New Roman"/>
          <w:lang w:val="en-US"/>
        </w:rPr>
        <w:t xml:space="preserve">: </w:t>
      </w:r>
    </w:p>
    <w:p w14:paraId="40DCD6CB" w14:textId="77777777" w:rsidR="001F41E4" w:rsidRPr="00D057B5" w:rsidRDefault="001F41E4" w:rsidP="00137E3D">
      <w:pPr>
        <w:widowControl w:val="0"/>
        <w:autoSpaceDE w:val="0"/>
        <w:autoSpaceDN w:val="0"/>
        <w:adjustRightInd w:val="0"/>
        <w:jc w:val="both"/>
        <w:rPr>
          <w:rFonts w:ascii="Times New Roman" w:hAnsi="Times New Roman" w:cs="Times New Roman"/>
          <w:lang w:val="en-US"/>
        </w:rPr>
      </w:pPr>
    </w:p>
    <w:p w14:paraId="3341D5BA" w14:textId="7B1CE47B"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TSA underpins not just cash management but a strong PFM system through the consolidation of cash balances;</w:t>
      </w:r>
    </w:p>
    <w:p w14:paraId="7FB121E6" w14:textId="4412C39A"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Ideally this should extend to all cash balances within the central general government including statutory bodies (but excludes government enterprises);</w:t>
      </w:r>
    </w:p>
    <w:p w14:paraId="496E72E2" w14:textId="1EE6BBA5"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 xml:space="preserve">There should be a single cash manager in government – the cash manager is focused on managing and forecasting cash not on controls over spending; </w:t>
      </w:r>
    </w:p>
    <w:p w14:paraId="2D3A2B88" w14:textId="698599FB" w:rsidR="001F41E4" w:rsidRPr="00D057B5" w:rsidRDefault="006104FB" w:rsidP="00137E3D">
      <w:pPr>
        <w:widowControl w:val="0"/>
        <w:numPr>
          <w:ilvl w:val="0"/>
          <w:numId w:val="4"/>
        </w:numPr>
        <w:tabs>
          <w:tab w:val="num" w:pos="720"/>
        </w:tabs>
        <w:autoSpaceDE w:val="0"/>
        <w:autoSpaceDN w:val="0"/>
        <w:adjustRightInd w:val="0"/>
        <w:jc w:val="both"/>
        <w:rPr>
          <w:rFonts w:ascii="Times New Roman" w:hAnsi="Times New Roman" w:cs="Times New Roman"/>
        </w:rPr>
      </w:pPr>
      <w:r>
        <w:rPr>
          <w:rFonts w:ascii="Times New Roman" w:hAnsi="Times New Roman" w:cs="Times New Roman"/>
        </w:rPr>
        <w:t>T</w:t>
      </w:r>
      <w:r w:rsidR="001F41E4" w:rsidRPr="00D057B5">
        <w:rPr>
          <w:rFonts w:ascii="Times New Roman" w:hAnsi="Times New Roman" w:cs="Times New Roman"/>
        </w:rPr>
        <w:t>he core principle should be that all balances are included in the TSA unless there are clear demonstrated benefits for whole of government in excluding specific balances</w:t>
      </w:r>
      <w:r w:rsidR="00B929B5" w:rsidRPr="00D057B5">
        <w:rPr>
          <w:rFonts w:ascii="Times New Roman" w:hAnsi="Times New Roman" w:cs="Times New Roman"/>
        </w:rPr>
        <w:t>;</w:t>
      </w:r>
      <w:r w:rsidR="001F41E4" w:rsidRPr="00D057B5">
        <w:rPr>
          <w:rFonts w:ascii="Times New Roman" w:hAnsi="Times New Roman" w:cs="Times New Roman"/>
        </w:rPr>
        <w:t xml:space="preserve"> </w:t>
      </w:r>
    </w:p>
    <w:p w14:paraId="2BA4DBAC" w14:textId="699FF046"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 xml:space="preserve">TSA must be real in name and in its nature – balances outside of the TSA reduce the coverage of the TSA and </w:t>
      </w:r>
      <w:r w:rsidR="00B929B5" w:rsidRPr="00D057B5">
        <w:rPr>
          <w:rFonts w:ascii="Times New Roman" w:hAnsi="Times New Roman" w:cs="Times New Roman"/>
        </w:rPr>
        <w:t xml:space="preserve">potentially, </w:t>
      </w:r>
      <w:r w:rsidRPr="00D057B5">
        <w:rPr>
          <w:rFonts w:ascii="Times New Roman" w:hAnsi="Times New Roman" w:cs="Times New Roman"/>
        </w:rPr>
        <w:t>the effectiveness of cash management</w:t>
      </w:r>
      <w:r w:rsidR="00B929B5" w:rsidRPr="00D057B5">
        <w:rPr>
          <w:rFonts w:ascii="Times New Roman" w:hAnsi="Times New Roman" w:cs="Times New Roman"/>
        </w:rPr>
        <w:t>;</w:t>
      </w:r>
      <w:r w:rsidRPr="00D057B5">
        <w:rPr>
          <w:rFonts w:ascii="Times New Roman" w:hAnsi="Times New Roman" w:cs="Times New Roman"/>
        </w:rPr>
        <w:t xml:space="preserve"> </w:t>
      </w:r>
    </w:p>
    <w:p w14:paraId="6E8C1219" w14:textId="45712280"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A single bank account is no longer the focus – today effective TSA models include a consolidation account with zero balance transit accounts</w:t>
      </w:r>
      <w:r w:rsidR="00B929B5" w:rsidRPr="00D057B5">
        <w:rPr>
          <w:rFonts w:ascii="Times New Roman" w:hAnsi="Times New Roman" w:cs="Times New Roman"/>
        </w:rPr>
        <w:t>; and</w:t>
      </w:r>
    </w:p>
    <w:p w14:paraId="0E9F4744" w14:textId="7F4D108F" w:rsidR="001F41E4" w:rsidRPr="00D057B5" w:rsidRDefault="001F41E4" w:rsidP="00137E3D">
      <w:pPr>
        <w:widowControl w:val="0"/>
        <w:numPr>
          <w:ilvl w:val="0"/>
          <w:numId w:val="4"/>
        </w:numPr>
        <w:tabs>
          <w:tab w:val="num" w:pos="720"/>
        </w:tabs>
        <w:autoSpaceDE w:val="0"/>
        <w:autoSpaceDN w:val="0"/>
        <w:adjustRightInd w:val="0"/>
        <w:jc w:val="both"/>
        <w:rPr>
          <w:rFonts w:ascii="Times New Roman" w:hAnsi="Times New Roman" w:cs="Times New Roman"/>
        </w:rPr>
      </w:pPr>
      <w:r w:rsidRPr="00D057B5">
        <w:rPr>
          <w:rFonts w:ascii="Times New Roman" w:hAnsi="Times New Roman" w:cs="Times New Roman"/>
        </w:rPr>
        <w:t>TSA can be effectively implemented irrespective of whether a decentralised or centralised (or hybrid) transaction system is in place</w:t>
      </w:r>
      <w:r w:rsidR="00B929B5" w:rsidRPr="00D057B5">
        <w:rPr>
          <w:rFonts w:ascii="Times New Roman" w:hAnsi="Times New Roman" w:cs="Times New Roman"/>
        </w:rPr>
        <w:t>.</w:t>
      </w:r>
    </w:p>
    <w:p w14:paraId="2EDE2000" w14:textId="372C7DA4" w:rsidR="00876C11" w:rsidRPr="00D057B5" w:rsidRDefault="00876C11" w:rsidP="00137E3D">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 </w:t>
      </w:r>
    </w:p>
    <w:p w14:paraId="0DA72386" w14:textId="77777777" w:rsidR="00B929B5" w:rsidRPr="00D057B5" w:rsidRDefault="00B929B5" w:rsidP="00137E3D">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A number of questions were posed by participants including:</w:t>
      </w:r>
    </w:p>
    <w:p w14:paraId="0D135AD6" w14:textId="77777777" w:rsidR="00B929B5" w:rsidRPr="00D057B5" w:rsidRDefault="00B929B5" w:rsidP="00137E3D">
      <w:pPr>
        <w:widowControl w:val="0"/>
        <w:autoSpaceDE w:val="0"/>
        <w:autoSpaceDN w:val="0"/>
        <w:adjustRightInd w:val="0"/>
        <w:jc w:val="both"/>
        <w:rPr>
          <w:rFonts w:ascii="Times New Roman" w:hAnsi="Times New Roman" w:cs="Times New Roman"/>
          <w:lang w:val="en-US"/>
        </w:rPr>
      </w:pPr>
    </w:p>
    <w:p w14:paraId="5FC0F374" w14:textId="0427394B" w:rsidR="00B929B5" w:rsidRPr="00D057B5" w:rsidRDefault="00B929B5"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lang w:val="en-US"/>
        </w:rPr>
      </w:pPr>
      <w:r w:rsidRPr="00D057B5">
        <w:rPr>
          <w:rFonts w:ascii="Times New Roman" w:hAnsi="Times New Roman" w:cs="Times New Roman"/>
          <w:lang w:val="en-US"/>
        </w:rPr>
        <w:t>Is it necessary to physically consolidate the cash balances or is the key foc</w:t>
      </w:r>
      <w:r w:rsidR="006104FB">
        <w:rPr>
          <w:rFonts w:ascii="Times New Roman" w:hAnsi="Times New Roman" w:cs="Times New Roman"/>
          <w:lang w:val="en-US"/>
        </w:rPr>
        <w:t>us on the timely presentation of</w:t>
      </w:r>
      <w:r w:rsidRPr="00D057B5">
        <w:rPr>
          <w:rFonts w:ascii="Times New Roman" w:hAnsi="Times New Roman" w:cs="Times New Roman"/>
          <w:lang w:val="en-US"/>
        </w:rPr>
        <w:t xml:space="preserve"> information and reporting of the cash position. Response – If cash managers are undertaking </w:t>
      </w:r>
      <w:r w:rsidR="006104FB">
        <w:rPr>
          <w:rFonts w:ascii="Times New Roman" w:hAnsi="Times New Roman" w:cs="Times New Roman"/>
          <w:lang w:val="en-US"/>
        </w:rPr>
        <w:t>cash management</w:t>
      </w:r>
      <w:r w:rsidRPr="00D057B5">
        <w:rPr>
          <w:rFonts w:ascii="Times New Roman" w:hAnsi="Times New Roman" w:cs="Times New Roman"/>
          <w:lang w:val="en-US"/>
        </w:rPr>
        <w:t xml:space="preserve"> operations then physical consolidation will be important. </w:t>
      </w:r>
      <w:r w:rsidR="004314E1" w:rsidRPr="00D057B5">
        <w:rPr>
          <w:rFonts w:ascii="Times New Roman" w:hAnsi="Times New Roman" w:cs="Times New Roman"/>
          <w:lang w:val="en-US"/>
        </w:rPr>
        <w:t>For example</w:t>
      </w:r>
      <w:r w:rsidR="006104FB">
        <w:rPr>
          <w:rFonts w:ascii="Times New Roman" w:hAnsi="Times New Roman" w:cs="Times New Roman"/>
          <w:lang w:val="en-US"/>
        </w:rPr>
        <w:t>,</w:t>
      </w:r>
      <w:r w:rsidRPr="00D057B5">
        <w:rPr>
          <w:rFonts w:ascii="Times New Roman" w:hAnsi="Times New Roman" w:cs="Times New Roman"/>
          <w:lang w:val="en-US"/>
        </w:rPr>
        <w:t xml:space="preserve"> overnight investment of consolidated balances </w:t>
      </w:r>
      <w:r w:rsidR="004314E1" w:rsidRPr="00D057B5">
        <w:rPr>
          <w:rFonts w:ascii="Times New Roman" w:hAnsi="Times New Roman" w:cs="Times New Roman"/>
          <w:lang w:val="en-US"/>
        </w:rPr>
        <w:t xml:space="preserve">explicitly in the market or </w:t>
      </w:r>
      <w:r w:rsidR="006104FB">
        <w:rPr>
          <w:rFonts w:ascii="Times New Roman" w:hAnsi="Times New Roman" w:cs="Times New Roman"/>
          <w:lang w:val="en-US"/>
        </w:rPr>
        <w:t>the</w:t>
      </w:r>
      <w:r w:rsidR="004314E1" w:rsidRPr="00D057B5">
        <w:rPr>
          <w:rFonts w:ascii="Times New Roman" w:hAnsi="Times New Roman" w:cs="Times New Roman"/>
          <w:lang w:val="en-US"/>
        </w:rPr>
        <w:t xml:space="preserve"> consolidat</w:t>
      </w:r>
      <w:r w:rsidR="006104FB">
        <w:rPr>
          <w:rFonts w:ascii="Times New Roman" w:hAnsi="Times New Roman" w:cs="Times New Roman"/>
          <w:lang w:val="en-US"/>
        </w:rPr>
        <w:t>ion of</w:t>
      </w:r>
      <w:r w:rsidR="004314E1" w:rsidRPr="00D057B5">
        <w:rPr>
          <w:rFonts w:ascii="Times New Roman" w:hAnsi="Times New Roman" w:cs="Times New Roman"/>
          <w:lang w:val="en-US"/>
        </w:rPr>
        <w:t xml:space="preserve"> balances for offsetting overdraft facilities; </w:t>
      </w:r>
    </w:p>
    <w:p w14:paraId="0EB49940" w14:textId="04086D38" w:rsidR="00B929B5" w:rsidRPr="00D057B5" w:rsidRDefault="004314E1"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lang w:val="en-US"/>
        </w:rPr>
      </w:pPr>
      <w:r w:rsidRPr="00D057B5">
        <w:rPr>
          <w:rFonts w:ascii="Times New Roman" w:hAnsi="Times New Roman" w:cs="Times New Roman"/>
          <w:lang w:val="en-US"/>
        </w:rPr>
        <w:t>Is cash information sufficient to effectively manage cash? For example forced payments through court</w:t>
      </w:r>
      <w:r w:rsidR="00B929B5" w:rsidRPr="00D057B5">
        <w:rPr>
          <w:rFonts w:ascii="Times New Roman" w:hAnsi="Times New Roman" w:cs="Times New Roman"/>
          <w:lang w:val="en-US"/>
        </w:rPr>
        <w:t xml:space="preserve"> orders </w:t>
      </w:r>
      <w:r w:rsidRPr="00D057B5">
        <w:rPr>
          <w:rFonts w:ascii="Times New Roman" w:hAnsi="Times New Roman" w:cs="Times New Roman"/>
          <w:lang w:val="en-US"/>
        </w:rPr>
        <w:t xml:space="preserve">could have a significant impact on daily cash balances. Response – to forecast and manage cash effectively, accurate information on commitments, contingencies and the actual timing of cashflows are important. Indeed active cash management is very dependent on the </w:t>
      </w:r>
      <w:r w:rsidRPr="00D057B5">
        <w:rPr>
          <w:rFonts w:ascii="Times New Roman" w:hAnsi="Times New Roman" w:cs="Times New Roman"/>
          <w:lang w:val="en-US"/>
        </w:rPr>
        <w:lastRenderedPageBreak/>
        <w:t xml:space="preserve">quality of forecasting much of which is dependent on </w:t>
      </w:r>
      <w:r w:rsidR="00CC4077">
        <w:rPr>
          <w:rFonts w:ascii="Times New Roman" w:hAnsi="Times New Roman" w:cs="Times New Roman"/>
          <w:lang w:val="en-US"/>
        </w:rPr>
        <w:t>a reasonable assessment</w:t>
      </w:r>
      <w:r w:rsidRPr="00D057B5">
        <w:rPr>
          <w:rFonts w:ascii="Times New Roman" w:hAnsi="Times New Roman" w:cs="Times New Roman"/>
          <w:lang w:val="en-US"/>
        </w:rPr>
        <w:t xml:space="preserve"> of what may happen;    </w:t>
      </w:r>
    </w:p>
    <w:p w14:paraId="3C8BF496" w14:textId="332C7C42" w:rsidR="00D057B5" w:rsidRPr="00D057B5" w:rsidRDefault="004314E1"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lang w:val="en-US"/>
        </w:rPr>
      </w:pPr>
      <w:r w:rsidRPr="00D057B5">
        <w:rPr>
          <w:rFonts w:ascii="Times New Roman" w:hAnsi="Times New Roman" w:cs="Times New Roman"/>
          <w:lang w:val="en-US"/>
        </w:rPr>
        <w:t>N</w:t>
      </w:r>
      <w:r w:rsidR="00B929B5" w:rsidRPr="00D057B5">
        <w:rPr>
          <w:rFonts w:ascii="Times New Roman" w:hAnsi="Times New Roman" w:cs="Times New Roman"/>
          <w:lang w:val="en-US"/>
        </w:rPr>
        <w:t xml:space="preserve">ot all </w:t>
      </w:r>
      <w:r w:rsidRPr="00D057B5">
        <w:rPr>
          <w:rFonts w:ascii="Times New Roman" w:hAnsi="Times New Roman" w:cs="Times New Roman"/>
          <w:lang w:val="en-US"/>
        </w:rPr>
        <w:t>development partners</w:t>
      </w:r>
      <w:r w:rsidR="00CC4077">
        <w:rPr>
          <w:rFonts w:ascii="Times New Roman" w:hAnsi="Times New Roman" w:cs="Times New Roman"/>
          <w:lang w:val="en-US"/>
        </w:rPr>
        <w:t xml:space="preserve"> (DP)</w:t>
      </w:r>
      <w:r w:rsidRPr="00D057B5">
        <w:rPr>
          <w:rFonts w:ascii="Times New Roman" w:hAnsi="Times New Roman" w:cs="Times New Roman"/>
          <w:lang w:val="en-US"/>
        </w:rPr>
        <w:t xml:space="preserve"> </w:t>
      </w:r>
      <w:r w:rsidR="00CC4077">
        <w:rPr>
          <w:rFonts w:ascii="Times New Roman" w:hAnsi="Times New Roman" w:cs="Times New Roman"/>
          <w:lang w:val="en-US"/>
        </w:rPr>
        <w:t xml:space="preserve">will </w:t>
      </w:r>
      <w:r w:rsidRPr="00D057B5">
        <w:rPr>
          <w:rFonts w:ascii="Times New Roman" w:hAnsi="Times New Roman" w:cs="Times New Roman"/>
          <w:lang w:val="en-US"/>
        </w:rPr>
        <w:t xml:space="preserve">agree to </w:t>
      </w:r>
      <w:r w:rsidR="00CC4077">
        <w:rPr>
          <w:rFonts w:ascii="Times New Roman" w:hAnsi="Times New Roman" w:cs="Times New Roman"/>
          <w:lang w:val="en-US"/>
        </w:rPr>
        <w:t xml:space="preserve">the </w:t>
      </w:r>
      <w:r w:rsidRPr="00D057B5">
        <w:rPr>
          <w:rFonts w:ascii="Times New Roman" w:hAnsi="Times New Roman" w:cs="Times New Roman"/>
          <w:lang w:val="en-US"/>
        </w:rPr>
        <w:t xml:space="preserve">consolidation of </w:t>
      </w:r>
      <w:r w:rsidR="00CC4077">
        <w:rPr>
          <w:rFonts w:ascii="Times New Roman" w:hAnsi="Times New Roman" w:cs="Times New Roman"/>
          <w:lang w:val="en-US"/>
        </w:rPr>
        <w:t xml:space="preserve">their </w:t>
      </w:r>
      <w:r w:rsidRPr="00D057B5">
        <w:rPr>
          <w:rFonts w:ascii="Times New Roman" w:hAnsi="Times New Roman" w:cs="Times New Roman"/>
          <w:lang w:val="en-US"/>
        </w:rPr>
        <w:t>earmarked grants for cash management. Response – DP financing is often encumbered and subject to specific additional controls. However, at a minimum</w:t>
      </w:r>
      <w:r w:rsidR="00CC4077">
        <w:rPr>
          <w:rFonts w:ascii="Times New Roman" w:hAnsi="Times New Roman" w:cs="Times New Roman"/>
          <w:lang w:val="en-US"/>
        </w:rPr>
        <w:t>,</w:t>
      </w:r>
      <w:r w:rsidRPr="00D057B5">
        <w:rPr>
          <w:rFonts w:ascii="Times New Roman" w:hAnsi="Times New Roman" w:cs="Times New Roman"/>
          <w:lang w:val="en-US"/>
        </w:rPr>
        <w:t xml:space="preserve"> countries should seek banking arrangements that allow the consolidation of all idol cash balances to increase </w:t>
      </w:r>
      <w:r w:rsidR="00CC4077">
        <w:rPr>
          <w:rFonts w:ascii="Times New Roman" w:hAnsi="Times New Roman" w:cs="Times New Roman"/>
          <w:lang w:val="en-US"/>
        </w:rPr>
        <w:t xml:space="preserve">investment </w:t>
      </w:r>
      <w:r w:rsidRPr="00D057B5">
        <w:rPr>
          <w:rFonts w:ascii="Times New Roman" w:hAnsi="Times New Roman" w:cs="Times New Roman"/>
          <w:lang w:val="en-US"/>
        </w:rPr>
        <w:t>retu</w:t>
      </w:r>
      <w:r w:rsidR="00CC4077">
        <w:rPr>
          <w:rFonts w:ascii="Times New Roman" w:hAnsi="Times New Roman" w:cs="Times New Roman"/>
          <w:lang w:val="en-US"/>
        </w:rPr>
        <w:t>r</w:t>
      </w:r>
      <w:r w:rsidRPr="00D057B5">
        <w:rPr>
          <w:rFonts w:ascii="Times New Roman" w:hAnsi="Times New Roman" w:cs="Times New Roman"/>
          <w:lang w:val="en-US"/>
        </w:rPr>
        <w:t xml:space="preserve">ns and reduce </w:t>
      </w:r>
      <w:r w:rsidR="00CC4077">
        <w:rPr>
          <w:rFonts w:ascii="Times New Roman" w:hAnsi="Times New Roman" w:cs="Times New Roman"/>
          <w:lang w:val="en-US"/>
        </w:rPr>
        <w:t xml:space="preserve">borrowing </w:t>
      </w:r>
      <w:r w:rsidRPr="00D057B5">
        <w:rPr>
          <w:rFonts w:ascii="Times New Roman" w:hAnsi="Times New Roman" w:cs="Times New Roman"/>
          <w:lang w:val="en-US"/>
        </w:rPr>
        <w:t xml:space="preserve">costs for the government; </w:t>
      </w:r>
    </w:p>
    <w:p w14:paraId="305E491F" w14:textId="0C3C22E0" w:rsidR="00876C11" w:rsidRDefault="00D057B5" w:rsidP="00137E3D">
      <w:pPr>
        <w:pStyle w:val="ListParagraph"/>
        <w:widowControl w:val="0"/>
        <w:numPr>
          <w:ilvl w:val="0"/>
          <w:numId w:val="5"/>
        </w:numPr>
        <w:autoSpaceDE w:val="0"/>
        <w:autoSpaceDN w:val="0"/>
        <w:adjustRightInd w:val="0"/>
        <w:spacing w:line="280" w:lineRule="atLeast"/>
        <w:jc w:val="both"/>
        <w:rPr>
          <w:rFonts w:ascii="Times New Roman" w:hAnsi="Times New Roman" w:cs="Times New Roman"/>
          <w:lang w:val="en-US"/>
        </w:rPr>
      </w:pPr>
      <w:r w:rsidRPr="00CC4077">
        <w:rPr>
          <w:rFonts w:ascii="Times New Roman" w:hAnsi="Times New Roman" w:cs="Times New Roman"/>
          <w:lang w:val="en-US"/>
        </w:rPr>
        <w:t>It would be beneficial to extend</w:t>
      </w:r>
      <w:r w:rsidR="00B929B5" w:rsidRPr="00CC4077">
        <w:rPr>
          <w:rFonts w:ascii="Times New Roman" w:hAnsi="Times New Roman" w:cs="Times New Roman"/>
          <w:lang w:val="en-US"/>
        </w:rPr>
        <w:t> </w:t>
      </w:r>
      <w:r w:rsidRPr="00CC4077">
        <w:rPr>
          <w:rFonts w:ascii="Times New Roman" w:hAnsi="Times New Roman" w:cs="Times New Roman"/>
          <w:lang w:val="en-US"/>
        </w:rPr>
        <w:t>TSA</w:t>
      </w:r>
      <w:r w:rsidR="00B929B5" w:rsidRPr="00CC4077">
        <w:rPr>
          <w:rFonts w:ascii="Times New Roman" w:hAnsi="Times New Roman" w:cs="Times New Roman"/>
          <w:lang w:val="en-US"/>
        </w:rPr>
        <w:t> coverage</w:t>
      </w:r>
      <w:r w:rsidRPr="00CC4077">
        <w:rPr>
          <w:rFonts w:ascii="Times New Roman" w:hAnsi="Times New Roman" w:cs="Times New Roman"/>
          <w:lang w:val="en-US"/>
        </w:rPr>
        <w:t xml:space="preserve"> to statutory bodie</w:t>
      </w:r>
      <w:r w:rsidR="00CC4077" w:rsidRPr="00CC4077">
        <w:rPr>
          <w:rFonts w:ascii="Times New Roman" w:hAnsi="Times New Roman" w:cs="Times New Roman"/>
          <w:lang w:val="en-US"/>
        </w:rPr>
        <w:t>s</w:t>
      </w:r>
      <w:r w:rsidRPr="00CC4077">
        <w:rPr>
          <w:rFonts w:ascii="Times New Roman" w:hAnsi="Times New Roman" w:cs="Times New Roman"/>
          <w:lang w:val="en-US"/>
        </w:rPr>
        <w:t xml:space="preserve">, but how do you overcome </w:t>
      </w:r>
      <w:r w:rsidR="00CC4077" w:rsidRPr="00CC4077">
        <w:rPr>
          <w:rFonts w:ascii="Times New Roman" w:hAnsi="Times New Roman" w:cs="Times New Roman"/>
          <w:lang w:val="en-US"/>
        </w:rPr>
        <w:t>resistance</w:t>
      </w:r>
      <w:r w:rsidRPr="00CC4077">
        <w:rPr>
          <w:rFonts w:ascii="Times New Roman" w:hAnsi="Times New Roman" w:cs="Times New Roman"/>
          <w:lang w:val="en-US"/>
        </w:rPr>
        <w:t xml:space="preserve"> to this? </w:t>
      </w:r>
      <w:r w:rsidR="00B929B5" w:rsidRPr="00CC4077">
        <w:rPr>
          <w:rFonts w:ascii="Times New Roman" w:hAnsi="Times New Roman" w:cs="Times New Roman"/>
          <w:lang w:val="en-US"/>
        </w:rPr>
        <w:t xml:space="preserve"> </w:t>
      </w:r>
      <w:r w:rsidRPr="00CC4077">
        <w:rPr>
          <w:rFonts w:ascii="Times New Roman" w:hAnsi="Times New Roman" w:cs="Times New Roman"/>
          <w:lang w:val="en-US"/>
        </w:rPr>
        <w:t>It is important to emphasis that the objective of consolidation is improved cash management. Those entities that maybe contributing to these arrangements must be provided assurance that their funds will be available when they are required</w:t>
      </w:r>
      <w:r w:rsidR="00CC4077" w:rsidRPr="00CC4077">
        <w:rPr>
          <w:rFonts w:ascii="Times New Roman" w:hAnsi="Times New Roman" w:cs="Times New Roman"/>
          <w:lang w:val="en-US"/>
        </w:rPr>
        <w:t xml:space="preserve"> and that centralization of the cash is not focused on centralized controls over spending</w:t>
      </w:r>
      <w:r w:rsidRPr="00CC4077">
        <w:rPr>
          <w:rFonts w:ascii="Times New Roman" w:hAnsi="Times New Roman" w:cs="Times New Roman"/>
          <w:lang w:val="en-US"/>
        </w:rPr>
        <w:t xml:space="preserve">. </w:t>
      </w:r>
    </w:p>
    <w:p w14:paraId="07E96633" w14:textId="77777777" w:rsidR="00CC4077" w:rsidRPr="00CC4077" w:rsidRDefault="00CC4077" w:rsidP="00137E3D">
      <w:pPr>
        <w:widowControl w:val="0"/>
        <w:autoSpaceDE w:val="0"/>
        <w:autoSpaceDN w:val="0"/>
        <w:adjustRightInd w:val="0"/>
        <w:spacing w:line="280" w:lineRule="atLeast"/>
        <w:jc w:val="both"/>
        <w:rPr>
          <w:rFonts w:ascii="Times New Roman" w:hAnsi="Times New Roman" w:cs="Times New Roman"/>
          <w:lang w:val="en-US"/>
        </w:rPr>
      </w:pPr>
    </w:p>
    <w:p w14:paraId="45755530" w14:textId="17055BE3" w:rsidR="002C3149" w:rsidRDefault="00D057B5" w:rsidP="00137E3D">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The VC concluded with a discussion regarding the </w:t>
      </w:r>
      <w:r>
        <w:rPr>
          <w:rFonts w:ascii="Times New Roman" w:hAnsi="Times New Roman" w:cs="Times New Roman"/>
          <w:lang w:val="en-US"/>
        </w:rPr>
        <w:t xml:space="preserve">next </w:t>
      </w:r>
      <w:r w:rsidRPr="00D057B5">
        <w:rPr>
          <w:rFonts w:ascii="Times New Roman" w:hAnsi="Times New Roman" w:cs="Times New Roman"/>
          <w:lang w:val="en-US"/>
        </w:rPr>
        <w:t xml:space="preserve">planned face-to-face meeting of the Cash Management and Forecasting Working Group, scheduled for Ankara, Turkey from 16-18 March 2016.   </w:t>
      </w:r>
      <w:r w:rsidR="00070D45">
        <w:rPr>
          <w:rFonts w:ascii="Times New Roman" w:hAnsi="Times New Roman" w:cs="Times New Roman"/>
          <w:lang w:val="en-US"/>
        </w:rPr>
        <w:t xml:space="preserve">Representatives of the Treasury of </w:t>
      </w:r>
      <w:r w:rsidRPr="00D057B5">
        <w:rPr>
          <w:rFonts w:ascii="Times New Roman" w:hAnsi="Times New Roman" w:cs="Times New Roman"/>
          <w:lang w:val="en-US"/>
        </w:rPr>
        <w:t>Turk</w:t>
      </w:r>
      <w:r w:rsidR="00070D45">
        <w:rPr>
          <w:rFonts w:ascii="Times New Roman" w:hAnsi="Times New Roman" w:cs="Times New Roman"/>
          <w:lang w:val="en-US"/>
        </w:rPr>
        <w:t>ey</w:t>
      </w:r>
      <w:r w:rsidRPr="00D057B5">
        <w:rPr>
          <w:rFonts w:ascii="Times New Roman" w:hAnsi="Times New Roman" w:cs="Times New Roman"/>
          <w:lang w:val="en-US"/>
        </w:rPr>
        <w:t xml:space="preserve"> </w:t>
      </w:r>
      <w:r w:rsidR="00CC4077">
        <w:rPr>
          <w:rFonts w:ascii="Times New Roman" w:hAnsi="Times New Roman" w:cs="Times New Roman"/>
          <w:lang w:val="en-US"/>
        </w:rPr>
        <w:t xml:space="preserve">indicated that they </w:t>
      </w:r>
      <w:r w:rsidR="00070D45">
        <w:rPr>
          <w:rFonts w:ascii="Times New Roman" w:hAnsi="Times New Roman" w:cs="Times New Roman"/>
          <w:lang w:val="en-US"/>
        </w:rPr>
        <w:t>we</w:t>
      </w:r>
      <w:r w:rsidRPr="00D057B5">
        <w:rPr>
          <w:rFonts w:ascii="Times New Roman" w:hAnsi="Times New Roman" w:cs="Times New Roman"/>
          <w:lang w:val="en-US"/>
        </w:rPr>
        <w:t xml:space="preserve">re well advanced in developing the agenda.  It is also anticipated that an earlier survey on the TSA will be revisited, and expanded to provide further analytical content for the Ankara event.  </w:t>
      </w:r>
    </w:p>
    <w:p w14:paraId="5B43AC3D" w14:textId="77777777" w:rsidR="00137E3D" w:rsidRDefault="00137E3D" w:rsidP="00137E3D">
      <w:pPr>
        <w:widowControl w:val="0"/>
        <w:autoSpaceDE w:val="0"/>
        <w:autoSpaceDN w:val="0"/>
        <w:adjustRightInd w:val="0"/>
        <w:jc w:val="both"/>
        <w:rPr>
          <w:rFonts w:ascii="Times New Roman" w:hAnsi="Times New Roman" w:cs="Times New Roman"/>
          <w:lang w:val="en-US"/>
        </w:rPr>
      </w:pPr>
    </w:p>
    <w:p w14:paraId="4E338730" w14:textId="4062D531" w:rsidR="00137E3D" w:rsidRPr="00D057B5" w:rsidRDefault="00137E3D" w:rsidP="00137E3D">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Considering group members’ large interest for the TSA models topic, another videoconference on these issues will be organized before the Ankara event. </w:t>
      </w:r>
    </w:p>
    <w:p w14:paraId="230CBE81" w14:textId="77777777" w:rsidR="00B750A9" w:rsidRPr="00D057B5" w:rsidRDefault="00B750A9" w:rsidP="002C3149">
      <w:pPr>
        <w:jc w:val="both"/>
        <w:rPr>
          <w:rFonts w:ascii="Times New Roman" w:hAnsi="Times New Roman" w:cs="Times New Roman"/>
          <w:lang w:val="en-US"/>
        </w:rPr>
      </w:pPr>
    </w:p>
    <w:p w14:paraId="60678769" w14:textId="0904E507" w:rsidR="00A42EC0" w:rsidRPr="00D057B5" w:rsidRDefault="00A42EC0" w:rsidP="001A61AD">
      <w:pPr>
        <w:rPr>
          <w:rFonts w:ascii="Times New Roman" w:hAnsi="Times New Roman" w:cs="Times New Roman"/>
        </w:rPr>
      </w:pPr>
    </w:p>
    <w:sectPr w:rsidR="00A42EC0" w:rsidRPr="00D057B5"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30EA6" w14:textId="77777777" w:rsidR="001370D4" w:rsidRDefault="001370D4" w:rsidP="001A61AD">
      <w:r>
        <w:separator/>
      </w:r>
    </w:p>
  </w:endnote>
  <w:endnote w:type="continuationSeparator" w:id="0">
    <w:p w14:paraId="374CDC64" w14:textId="77777777" w:rsidR="001370D4" w:rsidRDefault="001370D4" w:rsidP="001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0B9C2" w14:textId="77777777" w:rsidR="001370D4" w:rsidRDefault="001370D4" w:rsidP="001A61AD">
      <w:r>
        <w:separator/>
      </w:r>
    </w:p>
  </w:footnote>
  <w:footnote w:type="continuationSeparator" w:id="0">
    <w:p w14:paraId="7C84D81E" w14:textId="77777777" w:rsidR="001370D4" w:rsidRDefault="001370D4" w:rsidP="001A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14864"/>
    <w:multiLevelType w:val="hybridMultilevel"/>
    <w:tmpl w:val="2D8A4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D46E7E"/>
    <w:multiLevelType w:val="hybridMultilevel"/>
    <w:tmpl w:val="46A80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6C8907C2"/>
    <w:multiLevelType w:val="hybridMultilevel"/>
    <w:tmpl w:val="81E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E1AEE"/>
    <w:multiLevelType w:val="hybridMultilevel"/>
    <w:tmpl w:val="8B140E6E"/>
    <w:lvl w:ilvl="0" w:tplc="17AA3E80">
      <w:start w:val="1"/>
      <w:numFmt w:val="bullet"/>
      <w:lvlText w:val="•"/>
      <w:lvlJc w:val="left"/>
      <w:pPr>
        <w:tabs>
          <w:tab w:val="num" w:pos="360"/>
        </w:tabs>
        <w:ind w:left="360" w:hanging="360"/>
      </w:pPr>
      <w:rPr>
        <w:rFonts w:ascii="Arial" w:hAnsi="Arial" w:hint="default"/>
      </w:rPr>
    </w:lvl>
    <w:lvl w:ilvl="1" w:tplc="13A29C64" w:tentative="1">
      <w:start w:val="1"/>
      <w:numFmt w:val="bullet"/>
      <w:lvlText w:val="•"/>
      <w:lvlJc w:val="left"/>
      <w:pPr>
        <w:tabs>
          <w:tab w:val="num" w:pos="1080"/>
        </w:tabs>
        <w:ind w:left="1080" w:hanging="360"/>
      </w:pPr>
      <w:rPr>
        <w:rFonts w:ascii="Arial" w:hAnsi="Arial" w:hint="default"/>
      </w:rPr>
    </w:lvl>
    <w:lvl w:ilvl="2" w:tplc="4B0A5122" w:tentative="1">
      <w:start w:val="1"/>
      <w:numFmt w:val="bullet"/>
      <w:lvlText w:val="•"/>
      <w:lvlJc w:val="left"/>
      <w:pPr>
        <w:tabs>
          <w:tab w:val="num" w:pos="1800"/>
        </w:tabs>
        <w:ind w:left="1800" w:hanging="360"/>
      </w:pPr>
      <w:rPr>
        <w:rFonts w:ascii="Arial" w:hAnsi="Arial" w:hint="default"/>
      </w:rPr>
    </w:lvl>
    <w:lvl w:ilvl="3" w:tplc="E19A8FD4" w:tentative="1">
      <w:start w:val="1"/>
      <w:numFmt w:val="bullet"/>
      <w:lvlText w:val="•"/>
      <w:lvlJc w:val="left"/>
      <w:pPr>
        <w:tabs>
          <w:tab w:val="num" w:pos="2520"/>
        </w:tabs>
        <w:ind w:left="2520" w:hanging="360"/>
      </w:pPr>
      <w:rPr>
        <w:rFonts w:ascii="Arial" w:hAnsi="Arial" w:hint="default"/>
      </w:rPr>
    </w:lvl>
    <w:lvl w:ilvl="4" w:tplc="3AE488D2" w:tentative="1">
      <w:start w:val="1"/>
      <w:numFmt w:val="bullet"/>
      <w:lvlText w:val="•"/>
      <w:lvlJc w:val="left"/>
      <w:pPr>
        <w:tabs>
          <w:tab w:val="num" w:pos="3240"/>
        </w:tabs>
        <w:ind w:left="3240" w:hanging="360"/>
      </w:pPr>
      <w:rPr>
        <w:rFonts w:ascii="Arial" w:hAnsi="Arial" w:hint="default"/>
      </w:rPr>
    </w:lvl>
    <w:lvl w:ilvl="5" w:tplc="51080A28" w:tentative="1">
      <w:start w:val="1"/>
      <w:numFmt w:val="bullet"/>
      <w:lvlText w:val="•"/>
      <w:lvlJc w:val="left"/>
      <w:pPr>
        <w:tabs>
          <w:tab w:val="num" w:pos="3960"/>
        </w:tabs>
        <w:ind w:left="3960" w:hanging="360"/>
      </w:pPr>
      <w:rPr>
        <w:rFonts w:ascii="Arial" w:hAnsi="Arial" w:hint="default"/>
      </w:rPr>
    </w:lvl>
    <w:lvl w:ilvl="6" w:tplc="194A8602" w:tentative="1">
      <w:start w:val="1"/>
      <w:numFmt w:val="bullet"/>
      <w:lvlText w:val="•"/>
      <w:lvlJc w:val="left"/>
      <w:pPr>
        <w:tabs>
          <w:tab w:val="num" w:pos="4680"/>
        </w:tabs>
        <w:ind w:left="4680" w:hanging="360"/>
      </w:pPr>
      <w:rPr>
        <w:rFonts w:ascii="Arial" w:hAnsi="Arial" w:hint="default"/>
      </w:rPr>
    </w:lvl>
    <w:lvl w:ilvl="7" w:tplc="86029146" w:tentative="1">
      <w:start w:val="1"/>
      <w:numFmt w:val="bullet"/>
      <w:lvlText w:val="•"/>
      <w:lvlJc w:val="left"/>
      <w:pPr>
        <w:tabs>
          <w:tab w:val="num" w:pos="5400"/>
        </w:tabs>
        <w:ind w:left="5400" w:hanging="360"/>
      </w:pPr>
      <w:rPr>
        <w:rFonts w:ascii="Arial" w:hAnsi="Arial" w:hint="default"/>
      </w:rPr>
    </w:lvl>
    <w:lvl w:ilvl="8" w:tplc="BA0019A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CB626EC"/>
    <w:multiLevelType w:val="hybridMultilevel"/>
    <w:tmpl w:val="35F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C"/>
    <w:rsid w:val="00004B4A"/>
    <w:rsid w:val="00063A87"/>
    <w:rsid w:val="00070D45"/>
    <w:rsid w:val="00131F9B"/>
    <w:rsid w:val="001370D4"/>
    <w:rsid w:val="00137E3D"/>
    <w:rsid w:val="001A61AD"/>
    <w:rsid w:val="001F41E4"/>
    <w:rsid w:val="00223E57"/>
    <w:rsid w:val="002C3149"/>
    <w:rsid w:val="002F2C5B"/>
    <w:rsid w:val="004314E1"/>
    <w:rsid w:val="00463810"/>
    <w:rsid w:val="004A01D9"/>
    <w:rsid w:val="004E7116"/>
    <w:rsid w:val="006104FB"/>
    <w:rsid w:val="006454A1"/>
    <w:rsid w:val="006A1C76"/>
    <w:rsid w:val="006C5D60"/>
    <w:rsid w:val="00834BD6"/>
    <w:rsid w:val="00874901"/>
    <w:rsid w:val="00876C11"/>
    <w:rsid w:val="008E727F"/>
    <w:rsid w:val="00925592"/>
    <w:rsid w:val="00A42EC0"/>
    <w:rsid w:val="00A73DA9"/>
    <w:rsid w:val="00A9158C"/>
    <w:rsid w:val="00AD3C0B"/>
    <w:rsid w:val="00B05646"/>
    <w:rsid w:val="00B31A84"/>
    <w:rsid w:val="00B750A9"/>
    <w:rsid w:val="00B76B8E"/>
    <w:rsid w:val="00B929B5"/>
    <w:rsid w:val="00BF0082"/>
    <w:rsid w:val="00C3439F"/>
    <w:rsid w:val="00CC4077"/>
    <w:rsid w:val="00D057B5"/>
    <w:rsid w:val="00D51551"/>
    <w:rsid w:val="00D70110"/>
    <w:rsid w:val="00DE3AC8"/>
    <w:rsid w:val="00EC3FDA"/>
    <w:rsid w:val="00FD1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DFF2A"/>
  <w14:defaultImageDpi w14:val="300"/>
  <w15:docId w15:val="{F6C2B160-207F-4A7F-9627-0F38C71C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666405">
      <w:bodyDiv w:val="1"/>
      <w:marLeft w:val="0"/>
      <w:marRight w:val="0"/>
      <w:marTop w:val="0"/>
      <w:marBottom w:val="0"/>
      <w:divBdr>
        <w:top w:val="none" w:sz="0" w:space="0" w:color="auto"/>
        <w:left w:val="none" w:sz="0" w:space="0" w:color="auto"/>
        <w:bottom w:val="none" w:sz="0" w:space="0" w:color="auto"/>
        <w:right w:val="none" w:sz="0" w:space="0" w:color="auto"/>
      </w:divBdr>
      <w:divsChild>
        <w:div w:id="1099645759">
          <w:marLeft w:val="547"/>
          <w:marRight w:val="0"/>
          <w:marTop w:val="86"/>
          <w:marBottom w:val="0"/>
          <w:divBdr>
            <w:top w:val="none" w:sz="0" w:space="0" w:color="auto"/>
            <w:left w:val="none" w:sz="0" w:space="0" w:color="auto"/>
            <w:bottom w:val="none" w:sz="0" w:space="0" w:color="auto"/>
            <w:right w:val="none" w:sz="0" w:space="0" w:color="auto"/>
          </w:divBdr>
        </w:div>
        <w:div w:id="1218977096">
          <w:marLeft w:val="547"/>
          <w:marRight w:val="0"/>
          <w:marTop w:val="86"/>
          <w:marBottom w:val="0"/>
          <w:divBdr>
            <w:top w:val="none" w:sz="0" w:space="0" w:color="auto"/>
            <w:left w:val="none" w:sz="0" w:space="0" w:color="auto"/>
            <w:bottom w:val="none" w:sz="0" w:space="0" w:color="auto"/>
            <w:right w:val="none" w:sz="0" w:space="0" w:color="auto"/>
          </w:divBdr>
        </w:div>
        <w:div w:id="1938174484">
          <w:marLeft w:val="547"/>
          <w:marRight w:val="0"/>
          <w:marTop w:val="86"/>
          <w:marBottom w:val="0"/>
          <w:divBdr>
            <w:top w:val="none" w:sz="0" w:space="0" w:color="auto"/>
            <w:left w:val="none" w:sz="0" w:space="0" w:color="auto"/>
            <w:bottom w:val="none" w:sz="0" w:space="0" w:color="auto"/>
            <w:right w:val="none" w:sz="0" w:space="0" w:color="auto"/>
          </w:divBdr>
        </w:div>
        <w:div w:id="1179386404">
          <w:marLeft w:val="547"/>
          <w:marRight w:val="0"/>
          <w:marTop w:val="86"/>
          <w:marBottom w:val="0"/>
          <w:divBdr>
            <w:top w:val="none" w:sz="0" w:space="0" w:color="auto"/>
            <w:left w:val="none" w:sz="0" w:space="0" w:color="auto"/>
            <w:bottom w:val="none" w:sz="0" w:space="0" w:color="auto"/>
            <w:right w:val="none" w:sz="0" w:space="0" w:color="auto"/>
          </w:divBdr>
        </w:div>
        <w:div w:id="1532500117">
          <w:marLeft w:val="547"/>
          <w:marRight w:val="0"/>
          <w:marTop w:val="86"/>
          <w:marBottom w:val="0"/>
          <w:divBdr>
            <w:top w:val="none" w:sz="0" w:space="0" w:color="auto"/>
            <w:left w:val="none" w:sz="0" w:space="0" w:color="auto"/>
            <w:bottom w:val="none" w:sz="0" w:space="0" w:color="auto"/>
            <w:right w:val="none" w:sz="0" w:space="0" w:color="auto"/>
          </w:divBdr>
        </w:div>
        <w:div w:id="272596856">
          <w:marLeft w:val="547"/>
          <w:marRight w:val="0"/>
          <w:marTop w:val="86"/>
          <w:marBottom w:val="0"/>
          <w:divBdr>
            <w:top w:val="none" w:sz="0" w:space="0" w:color="auto"/>
            <w:left w:val="none" w:sz="0" w:space="0" w:color="auto"/>
            <w:bottom w:val="none" w:sz="0" w:space="0" w:color="auto"/>
            <w:right w:val="none" w:sz="0" w:space="0" w:color="auto"/>
          </w:divBdr>
        </w:div>
        <w:div w:id="100986551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1.ppt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 A Zaleeva</cp:lastModifiedBy>
  <cp:revision>3</cp:revision>
  <dcterms:created xsi:type="dcterms:W3CDTF">2015-11-17T10:33:00Z</dcterms:created>
  <dcterms:modified xsi:type="dcterms:W3CDTF">2015-11-17T10:34:00Z</dcterms:modified>
</cp:coreProperties>
</file>