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E1" w:rsidRDefault="0041552F" w:rsidP="00CB4EE1">
      <w:pPr>
        <w:pStyle w:val="Heading1"/>
        <w:ind w:firstLine="0"/>
        <w:jc w:val="center"/>
      </w:pPr>
      <w:r>
        <w:t xml:space="preserve">Radna grupa </w:t>
      </w:r>
      <w:r w:rsidR="00CB4EE1">
        <w:t xml:space="preserve">RFIX: </w:t>
      </w:r>
      <w:r w:rsidR="00CB4EE1">
        <w:br/>
      </w:r>
      <w:r w:rsidR="0058426F">
        <w:t>Konceptna beleška o ulogama i odnosima interne revizije, vrhovn</w:t>
      </w:r>
      <w:r w:rsidR="00FF6B94">
        <w:t>e</w:t>
      </w:r>
      <w:r w:rsidR="0058426F">
        <w:t xml:space="preserve"> revizorsk</w:t>
      </w:r>
      <w:r w:rsidR="00FF6B94">
        <w:t>e institucije</w:t>
      </w:r>
      <w:r w:rsidR="0058426F">
        <w:t xml:space="preserve"> i finansijske inspekcije </w:t>
      </w:r>
    </w:p>
    <w:p w:rsidR="00F93B1D" w:rsidRDefault="0058426F" w:rsidP="00CB4EE1">
      <w:pPr>
        <w:pStyle w:val="Heading2"/>
      </w:pPr>
      <w:r>
        <w:t xml:space="preserve">Uvodne informacije </w:t>
      </w:r>
    </w:p>
    <w:p w:rsidR="00631D26" w:rsidRDefault="0058426F" w:rsidP="00D02296">
      <w:pPr>
        <w:pStyle w:val="numberedparas"/>
      </w:pPr>
      <w:r>
        <w:t xml:space="preserve">Koncepti koji </w:t>
      </w:r>
      <w:r w:rsidR="00D02296">
        <w:t xml:space="preserve">se nalaze u osnovi </w:t>
      </w:r>
      <w:r>
        <w:t>ulog</w:t>
      </w:r>
      <w:r w:rsidR="00D02296">
        <w:t>a</w:t>
      </w:r>
      <w:r>
        <w:t xml:space="preserve"> državnih institucija koje su uključene u poslove revizije i</w:t>
      </w:r>
      <w:r w:rsidR="00D02296">
        <w:t xml:space="preserve"> finansijske inspek</w:t>
      </w:r>
      <w:r>
        <w:t xml:space="preserve">cije odražavaju: </w:t>
      </w:r>
    </w:p>
    <w:p w:rsidR="00631D26" w:rsidRDefault="00631D26" w:rsidP="00D02296">
      <w:pPr>
        <w:pStyle w:val="numberedparas"/>
        <w:numPr>
          <w:ilvl w:val="0"/>
          <w:numId w:val="0"/>
        </w:numPr>
        <w:ind w:left="657"/>
      </w:pPr>
      <w:r>
        <w:t>(a)</w:t>
      </w:r>
      <w:r w:rsidR="001C7199">
        <w:t xml:space="preserve"> </w:t>
      </w:r>
      <w:r w:rsidR="00D02296">
        <w:t xml:space="preserve">Istorijski razvoj upravljanja javnim finansijama i uprave u zemlji o kojoj je reč; </w:t>
      </w:r>
      <w:r>
        <w:t xml:space="preserve"> </w:t>
      </w:r>
    </w:p>
    <w:p w:rsidR="001C7199" w:rsidRDefault="00631D26" w:rsidP="00D02296">
      <w:pPr>
        <w:pStyle w:val="numberedparas"/>
        <w:numPr>
          <w:ilvl w:val="0"/>
          <w:numId w:val="0"/>
        </w:numPr>
        <w:ind w:left="657"/>
      </w:pPr>
      <w:r>
        <w:t xml:space="preserve">(b) </w:t>
      </w:r>
      <w:r w:rsidR="00D02296">
        <w:t>Oblike razvoja u oblasti međunarodnih standarda i primera najboljih praksi</w:t>
      </w:r>
      <w:r w:rsidR="00F249F2">
        <w:t xml:space="preserve"> u polju </w:t>
      </w:r>
      <w:r w:rsidR="00D02296">
        <w:t xml:space="preserve">revizije i interne kontrole; </w:t>
      </w:r>
    </w:p>
    <w:p w:rsidR="001C7199" w:rsidRDefault="00D02296" w:rsidP="009F2BD8">
      <w:pPr>
        <w:pStyle w:val="numberedparas"/>
      </w:pPr>
      <w:r>
        <w:t>Iz ovog razloga</w:t>
      </w:r>
      <w:r w:rsidR="0088192A">
        <w:t>,</w:t>
      </w:r>
      <w:r>
        <w:t xml:space="preserve"> vrsta revizorskih i kontrolnih institucija koje postoje u svakoj zemlji, kao i pravila i propisi pr</w:t>
      </w:r>
      <w:r w:rsidR="0074095B">
        <w:t>ema kojima se upravlja njihovim poslovanjima se razlikuj</w:t>
      </w:r>
      <w:r w:rsidR="00AF1D25">
        <w:t>u</w:t>
      </w:r>
      <w:r w:rsidR="0074095B">
        <w:t xml:space="preserve"> od zemlje do zemlje. </w:t>
      </w:r>
      <w:r>
        <w:t xml:space="preserve"> </w:t>
      </w:r>
    </w:p>
    <w:p w:rsidR="0066497A" w:rsidRDefault="0066497A" w:rsidP="009F2BD8">
      <w:pPr>
        <w:pStyle w:val="numberedparas"/>
      </w:pPr>
      <w:r>
        <w:t>Interna</w:t>
      </w:r>
      <w:r w:rsidR="009F2BD8">
        <w:t xml:space="preserve"> revizija je dugo vremena postojala u mnogim zemljama i predstavlja ključnu odliku anglo-saksonskog modela upravljanja finansijama. Međutim, interna revizija nije </w:t>
      </w:r>
      <w:r w:rsidR="0088192A">
        <w:t xml:space="preserve">bila </w:t>
      </w:r>
      <w:r w:rsidR="009F2BD8">
        <w:t xml:space="preserve">deo frankofonskog modela upravljanja finansijama, a koji predstavlja osnovu upravljanja finansijama u zemaljama koje su nekada bile deo Sovjetskog Saveza. </w:t>
      </w:r>
    </w:p>
    <w:p w:rsidR="0066497A" w:rsidRDefault="00B85250" w:rsidP="006A2C13">
      <w:pPr>
        <w:pStyle w:val="numberedparas"/>
      </w:pPr>
      <w:r>
        <w:t>U proteklih 15-20 godina m</w:t>
      </w:r>
      <w:r w:rsidR="009F2BD8">
        <w:t xml:space="preserve">noge zemlje koje su </w:t>
      </w:r>
      <w:r w:rsidR="0088192A">
        <w:t>funkcionisale</w:t>
      </w:r>
      <w:r w:rsidR="009F2BD8">
        <w:t xml:space="preserve"> prema frankofonskom modelu su u svojim zemjama uvele internu reviziju kao nov</w:t>
      </w:r>
      <w:r>
        <w:t xml:space="preserve">i </w:t>
      </w:r>
      <w:r w:rsidR="00D129D1">
        <w:t>oblik</w:t>
      </w:r>
      <w:r w:rsidR="009F2BD8">
        <w:t xml:space="preserve"> revizorsk</w:t>
      </w:r>
      <w:r w:rsidR="00D129D1">
        <w:t>ih</w:t>
      </w:r>
      <w:r w:rsidR="009F2BD8">
        <w:t xml:space="preserve"> institucij</w:t>
      </w:r>
      <w:r w:rsidR="00D129D1">
        <w:t>a</w:t>
      </w:r>
      <w:r w:rsidR="009F2BD8">
        <w:t xml:space="preserve">. </w:t>
      </w:r>
      <w:r w:rsidR="00AD69AC">
        <w:t xml:space="preserve">Većina zemalja je takođe </w:t>
      </w:r>
      <w:r w:rsidR="00EE3821">
        <w:t>težila</w:t>
      </w:r>
      <w:r w:rsidR="00AD69AC">
        <w:t xml:space="preserve"> da promeni svoje vrhovne revizorske institucije od institucij</w:t>
      </w:r>
      <w:r w:rsidR="006A2C13">
        <w:t>a</w:t>
      </w:r>
      <w:r w:rsidR="00AD69AC">
        <w:t xml:space="preserve"> eksterne kontrole koje posluju prema modelu revizor</w:t>
      </w:r>
      <w:r w:rsidR="00EE3821">
        <w:t>s</w:t>
      </w:r>
      <w:r w:rsidR="00AD69AC">
        <w:t>kog suda</w:t>
      </w:r>
      <w:r>
        <w:t>,</w:t>
      </w:r>
      <w:r w:rsidR="00AD69AC">
        <w:t xml:space="preserve"> ka institucij</w:t>
      </w:r>
      <w:r w:rsidR="00EE3821">
        <w:t>ama</w:t>
      </w:r>
      <w:r w:rsidR="00AD69AC">
        <w:t xml:space="preserve"> ek</w:t>
      </w:r>
      <w:r w:rsidR="006A2C13">
        <w:t>s</w:t>
      </w:r>
      <w:r w:rsidR="00AD69AC">
        <w:t>terne revizije koj</w:t>
      </w:r>
      <w:r w:rsidR="00EE3821">
        <w:t>e posluju</w:t>
      </w:r>
      <w:r w:rsidR="00AD69AC">
        <w:t xml:space="preserve"> prema modelu revizorsko</w:t>
      </w:r>
      <w:r w:rsidR="00EE3821">
        <w:t>g</w:t>
      </w:r>
      <w:r w:rsidR="00AD69AC">
        <w:t xml:space="preserve"> </w:t>
      </w:r>
      <w:r w:rsidR="006A2C13">
        <w:t>ureda/službe</w:t>
      </w:r>
      <w:r w:rsidR="0066497A">
        <w:rPr>
          <w:rStyle w:val="FootnoteReference"/>
        </w:rPr>
        <w:footnoteReference w:id="2"/>
      </w:r>
      <w:r w:rsidR="0066497A">
        <w:t xml:space="preserve">. </w:t>
      </w:r>
    </w:p>
    <w:p w:rsidR="00093B54" w:rsidRDefault="006A2C13" w:rsidP="00F80DA7">
      <w:pPr>
        <w:pStyle w:val="numberedparas"/>
      </w:pPr>
      <w:r>
        <w:t>Uvođenje ovih novih revizorskih funkcija paralelno sa tradicionalnim i moćnim institucijama</w:t>
      </w:r>
      <w:r w:rsidRPr="006A2C13">
        <w:t xml:space="preserve"> </w:t>
      </w:r>
      <w:r>
        <w:t xml:space="preserve">sa ulogom finansijske inspekcije/eksterne kontrole je vodilo ka potrebi da se razjasne uloge i funkcije </w:t>
      </w:r>
      <w:r w:rsidR="00B01400">
        <w:t xml:space="preserve">ovih </w:t>
      </w:r>
      <w:r>
        <w:t xml:space="preserve">institucija. </w:t>
      </w:r>
      <w:r w:rsidR="00B01400">
        <w:t xml:space="preserve">Takođe je vodilo ka potrebi da se promovišu načini delotvorne saradnje i koordinacije između </w:t>
      </w:r>
      <w:r w:rsidR="00F80DA7">
        <w:t>tri institucije koje sada mogu da istovremeno postoje u jednoj zemlji.</w:t>
      </w:r>
      <w:r w:rsidR="00093B54">
        <w:t xml:space="preserve"> </w:t>
      </w:r>
    </w:p>
    <w:p w:rsidR="00C22857" w:rsidRDefault="006449C3" w:rsidP="00FC7E07">
      <w:pPr>
        <w:pStyle w:val="numberedparas"/>
      </w:pPr>
      <w:r>
        <w:lastRenderedPageBreak/>
        <w:t>Postoje međunarodni standardi koji se odnose na rad interne i eksterne revizije (poznate kao vrhovne revizorske institucije za vladin</w:t>
      </w:r>
      <w:r w:rsidR="00FC7E07">
        <w:t>/državni</w:t>
      </w:r>
      <w:r>
        <w:t xml:space="preserve"> sektor). A ti standardi uključuju smernice koje se odnose na odnos između interne i eksterne revizije. </w:t>
      </w:r>
      <w:r w:rsidR="001C7199">
        <w:t xml:space="preserve"> </w:t>
      </w:r>
    </w:p>
    <w:p w:rsidR="001C7199" w:rsidRDefault="00FC7E07" w:rsidP="00326E99">
      <w:pPr>
        <w:pStyle w:val="numberedparas"/>
      </w:pPr>
      <w:r>
        <w:t>Ne postoje slični međunarodni standardi koji se odnose na rad organa koj</w:t>
      </w:r>
      <w:r w:rsidR="00326E99">
        <w:t>i</w:t>
      </w:r>
      <w:r>
        <w:t xml:space="preserve"> obavljaju </w:t>
      </w:r>
      <w:r w:rsidR="00326E99">
        <w:t xml:space="preserve">poslove </w:t>
      </w:r>
      <w:r>
        <w:t>finansijske inspekcije i njihovog odnosa sa internom i</w:t>
      </w:r>
      <w:r w:rsidR="00326E99">
        <w:t xml:space="preserve"> eksternom revizijom. </w:t>
      </w:r>
      <w:r>
        <w:t>Ovo je iz razloga što ov</w:t>
      </w:r>
      <w:r w:rsidR="00326E99">
        <w:t>i</w:t>
      </w:r>
      <w:r>
        <w:t xml:space="preserve"> organi uglavnom postoje u zemljama koje su nekada bile deo Sovjetskog Saveza.  </w:t>
      </w:r>
      <w:r w:rsidR="001C7199">
        <w:t xml:space="preserve"> </w:t>
      </w:r>
    </w:p>
    <w:p w:rsidR="00A00484" w:rsidRDefault="00326E99" w:rsidP="00F439A6">
      <w:pPr>
        <w:pStyle w:val="numberedparas"/>
      </w:pPr>
      <w:r>
        <w:t>Međutim</w:t>
      </w:r>
      <w:r w:rsidR="00FE7397">
        <w:t>, nezavisan status i kontrolne aktivnosti organa koji obavljaju poslove finansijske inspekcije imaju mnoge zajedničke odlike sa revizorskim organima. Institucije finansijske inspekcije: su obi</w:t>
      </w:r>
      <w:r w:rsidR="00FE3F26">
        <w:t>č</w:t>
      </w:r>
      <w:r w:rsidR="00FE7397">
        <w:t>no nezavisne od onih or</w:t>
      </w:r>
      <w:r w:rsidR="00FE3F26">
        <w:t>gana nad kojima obavljaju inspe</w:t>
      </w:r>
      <w:r w:rsidR="00FE7397">
        <w:t>kciju; fokusiraju se na analizu finansijskih transakcija; ispituju opseg do kojeg su organi nad kojiima se sprovodi inspekcija usaglašeni prema finansijskim pravilima i propisima; i, ob</w:t>
      </w:r>
      <w:r w:rsidR="00F439A6">
        <w:t>jav</w:t>
      </w:r>
      <w:r w:rsidR="00FE7397">
        <w:t xml:space="preserve">ljuju izveštaje o svojim nalazima sa fokusom na oblasti neusaglašenosti.  </w:t>
      </w:r>
      <w:r w:rsidR="00C22857">
        <w:t xml:space="preserve"> </w:t>
      </w:r>
    </w:p>
    <w:p w:rsidR="00592E61" w:rsidRDefault="00770031" w:rsidP="00A23F9F">
      <w:pPr>
        <w:pStyle w:val="numberedparas"/>
      </w:pPr>
      <w:r>
        <w:t xml:space="preserve">Najvažnije razlike su (a) da organi finansijske inspekcije obično imaju ovlašćenja da izriču kazne pojedincima koji ne poštuju finansijska pravila i propise; (b) da su </w:t>
      </w:r>
      <w:r w:rsidR="00712DA8">
        <w:t>linije</w:t>
      </w:r>
      <w:r>
        <w:t xml:space="preserve"> izveštavanja finansijske inspekcije i revizorskih organa različit</w:t>
      </w:r>
      <w:r w:rsidR="00592E61">
        <w:t>e</w:t>
      </w:r>
      <w:r>
        <w:t xml:space="preserve"> – (finansijska inspekcija obično izveštava ministru finansija, interna revizija izveštava</w:t>
      </w:r>
      <w:r w:rsidR="00A23F9F">
        <w:t xml:space="preserve"> rukovodiocu</w:t>
      </w:r>
      <w:r>
        <w:t xml:space="preserve"> institucije nad kojom sprovode reviziju, dok vrhovna revizorska institucija izveštava parlament</w:t>
      </w:r>
      <w:r w:rsidR="00A23F9F">
        <w:t>u</w:t>
      </w:r>
      <w:r>
        <w:t xml:space="preserve">); i, (c) </w:t>
      </w:r>
      <w:r w:rsidR="00765DF2">
        <w:t xml:space="preserve">da revizorski organi obično imaju širi mandat za ispitivanje ekonomičnosti, efikasnosti i delotvornosti javnih rashoda.  </w:t>
      </w:r>
      <w:r>
        <w:t xml:space="preserve">  </w:t>
      </w:r>
    </w:p>
    <w:p w:rsidR="00A90F2D" w:rsidRDefault="009E6009" w:rsidP="00592E61">
      <w:pPr>
        <w:pStyle w:val="numberedparas"/>
      </w:pPr>
      <w:r>
        <w:t xml:space="preserve">Ne postoji međunarodni forum gde bi predstavnici iz svake vrste </w:t>
      </w:r>
      <w:r w:rsidR="00637245">
        <w:t xml:space="preserve">pomenutih </w:t>
      </w:r>
      <w:r>
        <w:t>institucij</w:t>
      </w:r>
      <w:r w:rsidR="00637245">
        <w:t>a</w:t>
      </w:r>
      <w:r>
        <w:t xml:space="preserve"> mogli da se okupe kako bi diskutovali o ovim pitanjima. Radna grupa RIFIX (engl. skr.</w:t>
      </w:r>
      <w:r w:rsidR="00637245">
        <w:t>,</w:t>
      </w:r>
      <w:r>
        <w:t xml:space="preserve"> </w:t>
      </w:r>
      <w:r w:rsidRPr="00592E61">
        <w:rPr>
          <w:i/>
        </w:rPr>
        <w:t>Odnos interne revizije sa finansijskom inspekcijom i eksternom revizijom</w:t>
      </w:r>
      <w:r>
        <w:t>, prim.prev.) je stoga osnovana u okviru Zajednice prakse za internu reviziju PEMPAL-a</w:t>
      </w:r>
      <w:r w:rsidR="00637245">
        <w:rPr>
          <w:rStyle w:val="FootnoteReference"/>
        </w:rPr>
        <w:footnoteReference w:id="3"/>
      </w:r>
      <w:r w:rsidR="00AB702A">
        <w:t xml:space="preserve"> </w:t>
      </w:r>
      <w:r w:rsidR="00637245">
        <w:t xml:space="preserve">kako bi pružila mogućnost ostvarivanja profesionalnih kontakata i </w:t>
      </w:r>
      <w:r w:rsidR="00656A44">
        <w:t>vršenja</w:t>
      </w:r>
      <w:r w:rsidR="00637245">
        <w:t xml:space="preserve"> diskusija između </w:t>
      </w:r>
      <w:r w:rsidR="009A082E">
        <w:t>tih</w:t>
      </w:r>
      <w:r w:rsidR="00637245">
        <w:t xml:space="preserve"> institucija, kao i da se </w:t>
      </w:r>
      <w:r w:rsidR="00637245">
        <w:lastRenderedPageBreak/>
        <w:t xml:space="preserve">promovišu primeri najboljih praksi </w:t>
      </w:r>
      <w:r w:rsidR="009A082E">
        <w:t>u svrhu ostvarivanja s</w:t>
      </w:r>
      <w:r w:rsidR="00637245">
        <w:t xml:space="preserve">aradnje širom zemalja kod kojih postoje sve tri institucije. </w:t>
      </w:r>
      <w:r w:rsidR="00AB702A">
        <w:t xml:space="preserve"> </w:t>
      </w:r>
    </w:p>
    <w:p w:rsidR="008E4E66" w:rsidRPr="00CB4EE1" w:rsidRDefault="00045627" w:rsidP="00045627">
      <w:pPr>
        <w:pStyle w:val="numberedparas"/>
      </w:pPr>
      <w:r>
        <w:t xml:space="preserve">Posebno, </w:t>
      </w:r>
      <w:r w:rsidR="00656A44">
        <w:t>R</w:t>
      </w:r>
      <w:r>
        <w:t xml:space="preserve">adna grupa RIFIX ima sledeće ciljeve: </w:t>
      </w:r>
    </w:p>
    <w:p w:rsidR="00045627" w:rsidRPr="00045627" w:rsidRDefault="00045627" w:rsidP="008E4E66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color w:val="1F497D" w:themeColor="text2"/>
          <w:sz w:val="32"/>
          <w:szCs w:val="32"/>
        </w:rPr>
      </w:pPr>
      <w:r>
        <w:rPr>
          <w:rFonts w:cstheme="minorHAnsi"/>
          <w:bCs/>
          <w:sz w:val="24"/>
          <w:szCs w:val="24"/>
        </w:rPr>
        <w:t xml:space="preserve">Da proučava međunarodne standarde i prakse koji se odnose na ulogu i funkcije interne revizije, finansijske inspekcije i vrhovne revizorske institucije; </w:t>
      </w:r>
    </w:p>
    <w:p w:rsidR="00045627" w:rsidRPr="00045627" w:rsidRDefault="00045627" w:rsidP="008E4E66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color w:val="1F497D" w:themeColor="text2"/>
          <w:sz w:val="32"/>
          <w:szCs w:val="32"/>
        </w:rPr>
      </w:pPr>
      <w:r>
        <w:rPr>
          <w:rFonts w:cstheme="minorHAnsi"/>
          <w:bCs/>
          <w:sz w:val="24"/>
          <w:szCs w:val="24"/>
        </w:rPr>
        <w:t>Da istražuje i promoviše primere dobrih praksi iz zemalja koje su uspostavile delotvorni odnos između interne revizije, finansijske inspekcije i vrhovne revizorske institucije;</w:t>
      </w:r>
    </w:p>
    <w:p w:rsidR="008E4E66" w:rsidRPr="001A1928" w:rsidRDefault="00045627" w:rsidP="008E4E66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color w:val="1F497D" w:themeColor="text2"/>
          <w:sz w:val="32"/>
          <w:szCs w:val="32"/>
        </w:rPr>
      </w:pPr>
      <w:r>
        <w:rPr>
          <w:rFonts w:cstheme="minorHAnsi"/>
          <w:bCs/>
          <w:sz w:val="24"/>
          <w:szCs w:val="24"/>
        </w:rPr>
        <w:t xml:space="preserve">Da identifikuje glavne razlike između interne revizije, finansijske inspekcije i vrhovne revizorske institucije, kao i da definiše režime saradnje; </w:t>
      </w:r>
    </w:p>
    <w:p w:rsidR="008E4E66" w:rsidRPr="005F5A56" w:rsidRDefault="00045627" w:rsidP="005F5A56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color w:val="1F497D" w:themeColor="text2"/>
          <w:sz w:val="32"/>
          <w:szCs w:val="32"/>
        </w:rPr>
      </w:pPr>
      <w:r>
        <w:rPr>
          <w:rFonts w:cstheme="minorHAnsi"/>
          <w:bCs/>
          <w:sz w:val="24"/>
          <w:szCs w:val="24"/>
        </w:rPr>
        <w:t xml:space="preserve">Da otkrije glavne prepreke i izazove u interakciji </w:t>
      </w:r>
      <w:r w:rsidR="005F5A56">
        <w:rPr>
          <w:rFonts w:cstheme="minorHAnsi"/>
          <w:bCs/>
          <w:sz w:val="24"/>
          <w:szCs w:val="24"/>
        </w:rPr>
        <w:t xml:space="preserve">između </w:t>
      </w:r>
      <w:r>
        <w:rPr>
          <w:rFonts w:cstheme="minorHAnsi"/>
          <w:bCs/>
          <w:sz w:val="24"/>
          <w:szCs w:val="24"/>
        </w:rPr>
        <w:t>interne revizije, finansijske inspekcije i vrhovne revizorske institucije, kao i da predlaže praktična rešenja.</w:t>
      </w:r>
    </w:p>
    <w:p w:rsidR="00A92571" w:rsidRPr="001A1928" w:rsidRDefault="00391F60" w:rsidP="00391F60">
      <w:pPr>
        <w:pStyle w:val="numberedparas"/>
      </w:pPr>
      <w:r>
        <w:t xml:space="preserve">Radna grupa </w:t>
      </w:r>
      <w:r w:rsidR="00A92571">
        <w:t>R</w:t>
      </w:r>
      <w:r w:rsidR="009A79DF">
        <w:t>I</w:t>
      </w:r>
      <w:r w:rsidR="00A92571">
        <w:t xml:space="preserve">FIX </w:t>
      </w:r>
      <w:r>
        <w:t xml:space="preserve">nije standardni organ za uspostavljanje standarda. Njen cilj je da promoviše smernice i ostvari razmenu iskustava koji bi rezultovali u boljem upravljanju finansijama putem ostvarivanja delotvornije saradnje i koordinacije. </w:t>
      </w:r>
      <w:r w:rsidR="00A92571">
        <w:t xml:space="preserve"> </w:t>
      </w:r>
    </w:p>
    <w:p w:rsidR="00CB4EE1" w:rsidRPr="00CB4EE1" w:rsidRDefault="00B16A99" w:rsidP="00CB4EE1">
      <w:pPr>
        <w:pStyle w:val="Heading2"/>
      </w:pPr>
      <w:r>
        <w:t xml:space="preserve">Cilj konceptnog dokumenta </w:t>
      </w:r>
    </w:p>
    <w:p w:rsidR="002E3F19" w:rsidRDefault="00B16A99" w:rsidP="00C67270">
      <w:pPr>
        <w:pStyle w:val="numberedparas"/>
      </w:pPr>
      <w:r>
        <w:t>Cilj ovog konceptnog dokumenta je da se elaboriraju glavne razlike i sličnosti između tri grupe pravila kojima se reguliše interna revizija (IR), eksterna revizija (vrhovna revizorska institucija, VRI) i finansijska inspekcija (FI). Ovaj dokument takođe uzima u obzir buduće radne planove za RIFIX.</w:t>
      </w:r>
      <w:r w:rsidR="00CB4EE1" w:rsidRPr="00CB4EE1">
        <w:t xml:space="preserve"> </w:t>
      </w:r>
    </w:p>
    <w:p w:rsidR="002E3F19" w:rsidRDefault="00C67270" w:rsidP="001A56D1">
      <w:pPr>
        <w:pStyle w:val="numberedparas"/>
      </w:pPr>
      <w:r>
        <w:t xml:space="preserve">Odeljci </w:t>
      </w:r>
      <w:r w:rsidR="009A79DF">
        <w:t>3-9</w:t>
      </w:r>
      <w:r w:rsidR="002E3F19">
        <w:t xml:space="preserve"> </w:t>
      </w:r>
      <w:r>
        <w:t xml:space="preserve">uzimaju u obzir uloge </w:t>
      </w:r>
      <w:r>
        <w:rPr>
          <w:rFonts w:cstheme="minorHAnsi"/>
          <w:bCs/>
        </w:rPr>
        <w:t xml:space="preserve">interne revizije, </w:t>
      </w:r>
      <w:r w:rsidR="001A56D1">
        <w:rPr>
          <w:rFonts w:cstheme="minorHAnsi"/>
          <w:bCs/>
        </w:rPr>
        <w:t xml:space="preserve">vrhovne revizorske institucije i </w:t>
      </w:r>
      <w:r>
        <w:rPr>
          <w:rFonts w:cstheme="minorHAnsi"/>
          <w:bCs/>
        </w:rPr>
        <w:t xml:space="preserve">finansijske inspekcije; identifikuju sličnosti i razlike, kao i elaboriraju načine za izbegavanje preklapanja u funkcijama, te unapređivanja odnosa. </w:t>
      </w:r>
      <w:r w:rsidR="00CB4EE1" w:rsidRPr="00CB4EE1">
        <w:t xml:space="preserve"> </w:t>
      </w:r>
    </w:p>
    <w:p w:rsidR="00CB4EE1" w:rsidRPr="00CB4EE1" w:rsidRDefault="001A56D1" w:rsidP="001A56D1">
      <w:pPr>
        <w:pStyle w:val="numberedparas"/>
      </w:pPr>
      <w:r>
        <w:t xml:space="preserve">Odeljak </w:t>
      </w:r>
      <w:r w:rsidR="009A79DF">
        <w:t>10</w:t>
      </w:r>
      <w:r w:rsidR="002E3F19">
        <w:t xml:space="preserve"> </w:t>
      </w:r>
      <w:r>
        <w:t xml:space="preserve">uzima u razmatranje specifične buduće ciljeve radne grupe, kao i koja dokumneta trebaju da budu pripremljena (u fazi nacrta) pod nadzornim okriljem grupe.  </w:t>
      </w:r>
      <w:r w:rsidR="00CB4EE1" w:rsidRPr="00CB4EE1">
        <w:t xml:space="preserve"> </w:t>
      </w:r>
    </w:p>
    <w:p w:rsidR="00CB4EE1" w:rsidRDefault="002E3F19" w:rsidP="00CB4EE1">
      <w:pPr>
        <w:pStyle w:val="Heading2"/>
      </w:pPr>
      <w:r>
        <w:lastRenderedPageBreak/>
        <w:t>Defini</w:t>
      </w:r>
      <w:r w:rsidR="00BB514F">
        <w:t xml:space="preserve">cije interne revizije, vrhovne revizorske institucije i finansijske inspekcije </w:t>
      </w:r>
    </w:p>
    <w:p w:rsidR="002E3F19" w:rsidRDefault="001C7B29" w:rsidP="001C7B29">
      <w:pPr>
        <w:pStyle w:val="numberedparas"/>
      </w:pPr>
      <w:r>
        <w:t xml:space="preserve">Radna grupa koristi sledeće definicije u vezi sa pomenutim funkcijama. </w:t>
      </w:r>
      <w:r w:rsidR="002E3F19">
        <w:t xml:space="preserve"> </w:t>
      </w:r>
    </w:p>
    <w:p w:rsidR="00C21C3F" w:rsidRPr="00C21C3F" w:rsidRDefault="001C7B29" w:rsidP="00C21C3F">
      <w:pPr>
        <w:pStyle w:val="numberedparas"/>
        <w:numPr>
          <w:ilvl w:val="0"/>
          <w:numId w:val="0"/>
        </w:numPr>
        <w:ind w:left="657"/>
      </w:pPr>
      <w:r>
        <w:rPr>
          <w:b/>
        </w:rPr>
        <w:t xml:space="preserve">Okruženje u kojem se sprovodi revizija i inspekcija </w:t>
      </w:r>
      <w:r w:rsidR="001F1328">
        <w:rPr>
          <w:b/>
        </w:rPr>
        <w:t xml:space="preserve">javnog sektora </w:t>
      </w:r>
      <w:r w:rsidR="00C21C3F">
        <w:rPr>
          <w:b/>
        </w:rPr>
        <w:t xml:space="preserve"> </w:t>
      </w:r>
    </w:p>
    <w:p w:rsidR="00C21C3F" w:rsidRPr="002E3F19" w:rsidRDefault="008B0DAF" w:rsidP="000D3BB7">
      <w:pPr>
        <w:pStyle w:val="numberedparas"/>
      </w:pPr>
      <w:r>
        <w:t xml:space="preserve">Okruženje u kojem se sprovodi revizija i inspekcija javnog sektora može </w:t>
      </w:r>
      <w:r w:rsidR="001F1328">
        <w:t xml:space="preserve">da bude </w:t>
      </w:r>
      <w:r>
        <w:t>definisano</w:t>
      </w:r>
      <w:r w:rsidR="001F1328">
        <w:rPr>
          <w:rStyle w:val="FootnoteReference"/>
        </w:rPr>
        <w:footnoteReference w:id="4"/>
      </w:r>
      <w:r>
        <w:t xml:space="preserve"> kao ono u kojem vlade i ostali subjekti javnog sektora </w:t>
      </w:r>
      <w:r w:rsidR="00317609">
        <w:t>snose odgovornost</w:t>
      </w:r>
      <w:r>
        <w:t xml:space="preserve"> za upotrebu sredstava prikupljenih na osnovu </w:t>
      </w:r>
      <w:r w:rsidR="00317609">
        <w:t xml:space="preserve">oporezivanja </w:t>
      </w:r>
      <w:r>
        <w:t>i drugih izvora</w:t>
      </w:r>
      <w:r w:rsidR="00B6572D">
        <w:t>, a</w:t>
      </w:r>
      <w:r>
        <w:t xml:space="preserve"> radi pružanja usluga građanima i ostalim korisnicima. Ti subjekti su odgovorni za upravljanje i učinke</w:t>
      </w:r>
      <w:r w:rsidR="00317609">
        <w:t xml:space="preserve"> na osnovu istih</w:t>
      </w:r>
      <w:r>
        <w:t>, kao i z</w:t>
      </w:r>
      <w:r w:rsidR="00317609">
        <w:t xml:space="preserve">a upotrebu sredstava, kako onima koji obezbeđuju data sredstva, tako i onima, uključujući građane, koji zavise od pružanih usluga koje se obezbeđuju pomenutim sredstvima. </w:t>
      </w:r>
      <w:r w:rsidR="00335AE8">
        <w:t xml:space="preserve">Obavljanje </w:t>
      </w:r>
      <w:r w:rsidR="000F4C78">
        <w:t>revizij</w:t>
      </w:r>
      <w:r w:rsidR="00912943">
        <w:t>e</w:t>
      </w:r>
      <w:r w:rsidR="000F4C78">
        <w:t xml:space="preserve">, odnosno inspekcije </w:t>
      </w:r>
      <w:r w:rsidR="00284D5B">
        <w:t>j</w:t>
      </w:r>
      <w:r w:rsidR="000F4C78">
        <w:t>avno</w:t>
      </w:r>
      <w:r w:rsidR="00284D5B">
        <w:t>g</w:t>
      </w:r>
      <w:r w:rsidR="000F4C78">
        <w:t xml:space="preserve"> sektor</w:t>
      </w:r>
      <w:r w:rsidR="00284D5B">
        <w:t>a</w:t>
      </w:r>
      <w:r w:rsidR="000F4C78">
        <w:t xml:space="preserve"> pomaže da se stvore </w:t>
      </w:r>
      <w:r w:rsidR="00912943">
        <w:t xml:space="preserve">prikladni </w:t>
      </w:r>
      <w:r w:rsidR="000F4C78">
        <w:t xml:space="preserve">uslovi i da se ohrabre očekivanja </w:t>
      </w:r>
      <w:r w:rsidR="00912943">
        <w:t>da će</w:t>
      </w:r>
      <w:r w:rsidR="000F4C78">
        <w:t xml:space="preserve"> subjekti javnog sektora i državni službenici</w:t>
      </w:r>
      <w:r w:rsidR="00912943">
        <w:t xml:space="preserve"> svoje funk</w:t>
      </w:r>
      <w:r w:rsidR="000F4C78">
        <w:t xml:space="preserve">cije </w:t>
      </w:r>
      <w:r w:rsidR="00912943">
        <w:t xml:space="preserve">izvršavati </w:t>
      </w:r>
      <w:r w:rsidR="000F4C78">
        <w:t>na ef</w:t>
      </w:r>
      <w:r w:rsidR="00A3565E">
        <w:t>ikasan</w:t>
      </w:r>
      <w:r w:rsidR="000F4C78">
        <w:t>, delotvor</w:t>
      </w:r>
      <w:r w:rsidR="00912943">
        <w:t>a</w:t>
      </w:r>
      <w:r w:rsidR="000F4C78">
        <w:t>n</w:t>
      </w:r>
      <w:r w:rsidR="00912943">
        <w:t xml:space="preserve"> i</w:t>
      </w:r>
      <w:r w:rsidR="000F4C78">
        <w:t xml:space="preserve"> etički</w:t>
      </w:r>
      <w:r w:rsidR="00912943">
        <w:t xml:space="preserve"> način</w:t>
      </w:r>
      <w:r w:rsidR="000F4C78">
        <w:t xml:space="preserve">, kao i u skladu sa </w:t>
      </w:r>
      <w:r w:rsidR="00CE58B2">
        <w:t>važećim</w:t>
      </w:r>
      <w:r w:rsidR="000F4C78">
        <w:t xml:space="preserve"> zakonima i propisima.  </w:t>
      </w:r>
      <w:r w:rsidR="00C21C3F">
        <w:t xml:space="preserve"> </w:t>
      </w:r>
    </w:p>
    <w:p w:rsidR="00C21C3F" w:rsidRDefault="00335AE8" w:rsidP="002E3F19">
      <w:pPr>
        <w:pStyle w:val="numberedparas"/>
        <w:numPr>
          <w:ilvl w:val="0"/>
          <w:numId w:val="0"/>
        </w:numPr>
        <w:ind w:left="657"/>
        <w:rPr>
          <w:b/>
          <w:bCs/>
        </w:rPr>
      </w:pPr>
      <w:r>
        <w:rPr>
          <w:b/>
          <w:bCs/>
        </w:rPr>
        <w:t xml:space="preserve">Obavljanje </w:t>
      </w:r>
      <w:r w:rsidR="00284D5B">
        <w:rPr>
          <w:b/>
          <w:bCs/>
        </w:rPr>
        <w:t>revizije</w:t>
      </w:r>
      <w:r w:rsidR="000D3BB7">
        <w:rPr>
          <w:b/>
          <w:bCs/>
        </w:rPr>
        <w:t xml:space="preserve"> javno</w:t>
      </w:r>
      <w:r w:rsidR="00284D5B">
        <w:rPr>
          <w:b/>
          <w:bCs/>
        </w:rPr>
        <w:t>g</w:t>
      </w:r>
      <w:r w:rsidR="000D3BB7">
        <w:rPr>
          <w:b/>
          <w:bCs/>
        </w:rPr>
        <w:t xml:space="preserve"> sektor</w:t>
      </w:r>
      <w:r w:rsidR="00284D5B">
        <w:rPr>
          <w:b/>
          <w:bCs/>
        </w:rPr>
        <w:t>a</w:t>
      </w:r>
      <w:r w:rsidR="000D3BB7">
        <w:rPr>
          <w:b/>
          <w:bCs/>
        </w:rPr>
        <w:t xml:space="preserve"> </w:t>
      </w:r>
    </w:p>
    <w:p w:rsidR="008F5592" w:rsidRPr="008F5592" w:rsidRDefault="00335AE8" w:rsidP="003B370F">
      <w:pPr>
        <w:pStyle w:val="numberedparas"/>
      </w:pPr>
      <w:r>
        <w:t xml:space="preserve">Obavljanje </w:t>
      </w:r>
      <w:r w:rsidR="000D3BB7">
        <w:t>revizije javno</w:t>
      </w:r>
      <w:r w:rsidR="00284D5B">
        <w:t>g</w:t>
      </w:r>
      <w:r w:rsidR="000D3BB7">
        <w:t xml:space="preserve"> sektor</w:t>
      </w:r>
      <w:r w:rsidR="00284D5B">
        <w:t>a</w:t>
      </w:r>
      <w:r w:rsidR="000D3BB7">
        <w:t xml:space="preserve"> može biti definisano</w:t>
      </w:r>
      <w:r w:rsidR="00F05965">
        <w:rPr>
          <w:rStyle w:val="FootnoteReference"/>
        </w:rPr>
        <w:footnoteReference w:id="5"/>
      </w:r>
      <w:r w:rsidR="000D3BB7">
        <w:t xml:space="preserve"> kao sistematski </w:t>
      </w:r>
      <w:r w:rsidR="00F05965">
        <w:t>proce</w:t>
      </w:r>
      <w:r w:rsidR="000D3BB7">
        <w:t xml:space="preserve">s objektivnog </w:t>
      </w:r>
      <w:r w:rsidR="00E42468">
        <w:t>dolaženja do, te</w:t>
      </w:r>
      <w:r w:rsidR="000D3BB7">
        <w:t xml:space="preserve"> </w:t>
      </w:r>
      <w:r w:rsidR="00F05965">
        <w:t>vršenja</w:t>
      </w:r>
      <w:r w:rsidR="000D3BB7">
        <w:t xml:space="preserve"> evaluacije dokaza kako bi se utvrdilo da li su informacije ili stvarn</w:t>
      </w:r>
      <w:r w:rsidR="00F05965">
        <w:t xml:space="preserve">o stanje </w:t>
      </w:r>
      <w:r w:rsidR="00E42468">
        <w:t xml:space="preserve">stvari </w:t>
      </w:r>
      <w:r w:rsidR="000D3BB7">
        <w:t>u skladu sa utvrđenim kriterijumima.</w:t>
      </w:r>
      <w:r w:rsidR="00E42468">
        <w:t xml:space="preserve"> Obavljanje revizije javno</w:t>
      </w:r>
      <w:r w:rsidR="00284D5B">
        <w:t>g</w:t>
      </w:r>
      <w:r w:rsidR="00E42468">
        <w:t xml:space="preserve"> sektor</w:t>
      </w:r>
      <w:r w:rsidR="00284D5B">
        <w:t>a</w:t>
      </w:r>
      <w:r w:rsidR="00E42468">
        <w:t xml:space="preserve"> je esencijalno </w:t>
      </w:r>
      <w:r w:rsidR="003B370F">
        <w:t xml:space="preserve">zbog toga što </w:t>
      </w:r>
      <w:r w:rsidR="00E42468">
        <w:t xml:space="preserve">zakonodavnim i nadzornim organima, </w:t>
      </w:r>
      <w:r w:rsidR="003B370F">
        <w:t xml:space="preserve">zatim </w:t>
      </w:r>
      <w:r w:rsidR="00E42468">
        <w:t xml:space="preserve">onima koji su zaduženi za upravljanje, kao i </w:t>
      </w:r>
      <w:r w:rsidR="003B370F">
        <w:t xml:space="preserve">celoj </w:t>
      </w:r>
      <w:r w:rsidR="00E42468">
        <w:t>javnosti pruža informacije, te nezavisne i objektivne procene koje se odnose na upravljanje i vladin</w:t>
      </w:r>
      <w:r w:rsidR="0077029F">
        <w:t>e</w:t>
      </w:r>
      <w:r w:rsidR="00E42468">
        <w:t xml:space="preserve"> politik</w:t>
      </w:r>
      <w:r w:rsidR="0077029F">
        <w:t>e</w:t>
      </w:r>
      <w:r w:rsidR="00E42468">
        <w:t>, program</w:t>
      </w:r>
      <w:r w:rsidR="0077029F">
        <w:t>e</w:t>
      </w:r>
      <w:r w:rsidR="00E42468">
        <w:t xml:space="preserve"> ili poslovanja, kao i </w:t>
      </w:r>
      <w:r w:rsidR="0077029F">
        <w:t xml:space="preserve">podatke o </w:t>
      </w:r>
      <w:r w:rsidR="00E42468">
        <w:t xml:space="preserve">učincima istih.    </w:t>
      </w:r>
      <w:r w:rsidR="000D3BB7">
        <w:t xml:space="preserve"> </w:t>
      </w:r>
      <w:r w:rsidR="008F5592" w:rsidRPr="003B370F">
        <w:rPr>
          <w:i/>
        </w:rPr>
        <w:t xml:space="preserve"> </w:t>
      </w:r>
    </w:p>
    <w:p w:rsidR="00284D5B" w:rsidRDefault="00284D5B" w:rsidP="008F5592">
      <w:pPr>
        <w:pStyle w:val="numberedparas"/>
      </w:pPr>
      <w:r>
        <w:t>Postoje tri glavne vrste revizija javnog sektora</w:t>
      </w:r>
      <w:r>
        <w:rPr>
          <w:rStyle w:val="FootnoteReference"/>
        </w:rPr>
        <w:footnoteReference w:id="6"/>
      </w:r>
      <w:r>
        <w:t xml:space="preserve">: </w:t>
      </w:r>
    </w:p>
    <w:p w:rsidR="008F5592" w:rsidRPr="008F5592" w:rsidRDefault="008F5592" w:rsidP="00726268">
      <w:pPr>
        <w:pStyle w:val="ListBullet"/>
      </w:pPr>
      <w:r w:rsidRPr="008F5592">
        <w:rPr>
          <w:u w:val="single"/>
        </w:rPr>
        <w:t>Finan</w:t>
      </w:r>
      <w:r w:rsidR="00284D5B">
        <w:rPr>
          <w:u w:val="single"/>
        </w:rPr>
        <w:t>sijska revizija</w:t>
      </w:r>
      <w:r>
        <w:rPr>
          <w:u w:val="single"/>
        </w:rPr>
        <w:t>,</w:t>
      </w:r>
      <w:r w:rsidRPr="008F5592">
        <w:t xml:space="preserve"> </w:t>
      </w:r>
      <w:r w:rsidR="00284D5B">
        <w:t>koja se fokusira</w:t>
      </w:r>
      <w:r w:rsidR="00CE58B2">
        <w:t xml:space="preserve"> na utvrđ</w:t>
      </w:r>
      <w:r w:rsidR="00284D5B">
        <w:t xml:space="preserve">ivanje da li su finansijske informacije određenog subjekta predstavljene u skladu sa </w:t>
      </w:r>
      <w:r w:rsidR="00CE58B2">
        <w:t>važećim</w:t>
      </w:r>
      <w:r w:rsidR="00284D5B">
        <w:t xml:space="preserve"> </w:t>
      </w:r>
      <w:r w:rsidR="00D207D1">
        <w:t xml:space="preserve">okvirom </w:t>
      </w:r>
      <w:r w:rsidR="00284D5B">
        <w:t>finansijsk</w:t>
      </w:r>
      <w:r w:rsidR="00D207D1">
        <w:t>og</w:t>
      </w:r>
      <w:r w:rsidR="00284D5B">
        <w:t xml:space="preserve"> izveštavanj</w:t>
      </w:r>
      <w:r w:rsidR="00D207D1">
        <w:t>a</w:t>
      </w:r>
      <w:r w:rsidR="00284D5B">
        <w:t xml:space="preserve"> i </w:t>
      </w:r>
      <w:r w:rsidR="00D207D1">
        <w:t>propisa</w:t>
      </w:r>
      <w:r w:rsidR="00284D5B">
        <w:t>. Ovo se postiže preko dolaženja do dovoljnih i odgovarajućih revizorskih dokaza</w:t>
      </w:r>
      <w:r w:rsidR="00353D8F">
        <w:t xml:space="preserve"> koji revizoru omogućavaju da iskaže mišljenje u vezi toga da li u posmatranoj finansijskoj informaciji nema materijalno netačnih tv</w:t>
      </w:r>
      <w:r w:rsidR="00726268">
        <w:t>rdnji nastalih na osnovu prevare</w:t>
      </w:r>
      <w:r w:rsidR="00353D8F">
        <w:t xml:space="preserve"> ili grešk</w:t>
      </w:r>
      <w:r w:rsidR="00726268">
        <w:t>e</w:t>
      </w:r>
      <w:r w:rsidR="00353D8F">
        <w:t xml:space="preserve">. </w:t>
      </w:r>
      <w:r w:rsidR="00284D5B">
        <w:t xml:space="preserve"> </w:t>
      </w:r>
    </w:p>
    <w:p w:rsidR="008F5592" w:rsidRPr="008F5592" w:rsidRDefault="00284D5B" w:rsidP="00F04346">
      <w:pPr>
        <w:pStyle w:val="ListBullet"/>
      </w:pPr>
      <w:r>
        <w:rPr>
          <w:u w:val="single"/>
        </w:rPr>
        <w:lastRenderedPageBreak/>
        <w:t>Revizija učinaka</w:t>
      </w:r>
      <w:r w:rsidR="008F5592">
        <w:rPr>
          <w:u w:val="single"/>
        </w:rPr>
        <w:t>,</w:t>
      </w:r>
      <w:r w:rsidR="008F5592" w:rsidRPr="00284D5B">
        <w:t xml:space="preserve"> </w:t>
      </w:r>
      <w:r w:rsidR="002A198A">
        <w:t>koja se fokusira na to da li se intervencije</w:t>
      </w:r>
      <w:r w:rsidR="00A3565E">
        <w:t xml:space="preserve"> i</w:t>
      </w:r>
      <w:r w:rsidR="002A198A">
        <w:t xml:space="preserve"> </w:t>
      </w:r>
      <w:r w:rsidR="00A3565E">
        <w:t>programi sprovode, kao i da li</w:t>
      </w:r>
      <w:r w:rsidR="002A198A">
        <w:t xml:space="preserve"> </w:t>
      </w:r>
      <w:r w:rsidR="00A3565E">
        <w:t xml:space="preserve">se </w:t>
      </w:r>
      <w:r w:rsidR="002A198A">
        <w:t xml:space="preserve">institucije </w:t>
      </w:r>
      <w:r w:rsidR="00A3565E">
        <w:t xml:space="preserve">ponašaju </w:t>
      </w:r>
      <w:r w:rsidR="002A198A">
        <w:t xml:space="preserve">u skladu sa principima ekonomičnosti, efikasnosti i delotvornosti, te da li ima </w:t>
      </w:r>
      <w:r w:rsidR="00F04346">
        <w:t xml:space="preserve">prostora </w:t>
      </w:r>
      <w:r w:rsidR="002A198A">
        <w:t>za unapređenj</w:t>
      </w:r>
      <w:r w:rsidR="00F04346">
        <w:t>e</w:t>
      </w:r>
      <w:r w:rsidR="002A198A">
        <w:t xml:space="preserve">.  </w:t>
      </w:r>
      <w:r w:rsidR="008F5592" w:rsidRPr="008F5592">
        <w:t xml:space="preserve"> </w:t>
      </w:r>
    </w:p>
    <w:p w:rsidR="00F04346" w:rsidRDefault="00284D5B" w:rsidP="008F5592">
      <w:pPr>
        <w:pStyle w:val="ListBullet"/>
      </w:pPr>
      <w:r>
        <w:rPr>
          <w:u w:val="single"/>
        </w:rPr>
        <w:t>Revizija usaglašenosti</w:t>
      </w:r>
      <w:r w:rsidR="008F5592">
        <w:rPr>
          <w:u w:val="single"/>
        </w:rPr>
        <w:t>,</w:t>
      </w:r>
      <w:r w:rsidR="008F5592" w:rsidRPr="00284D5B">
        <w:t xml:space="preserve"> </w:t>
      </w:r>
      <w:r w:rsidR="00F04346">
        <w:t xml:space="preserve">koja se fokusira na to da li je određeni predmet u pitanju usaglašen sa ovlašćenjima </w:t>
      </w:r>
      <w:r w:rsidR="00875A24">
        <w:t xml:space="preserve">koji su </w:t>
      </w:r>
      <w:r w:rsidR="00F04346">
        <w:t>identifikovani kao kriterijum</w:t>
      </w:r>
      <w:r w:rsidR="00875A24">
        <w:t>i</w:t>
      </w:r>
      <w:r w:rsidR="00F04346">
        <w:t xml:space="preserve">. Revizija usaglašenosti se sprovodi </w:t>
      </w:r>
      <w:r w:rsidR="001F6BAE">
        <w:t xml:space="preserve">na način što </w:t>
      </w:r>
      <w:r w:rsidR="00F04346">
        <w:t>se vrši procena toga da li su određene aktivnosti, finansijske transakcije i informacije, a u svakom materijalnom smislu, u</w:t>
      </w:r>
      <w:r w:rsidR="008E5E1F">
        <w:t xml:space="preserve">saglašene </w:t>
      </w:r>
      <w:r w:rsidR="00F04346">
        <w:t>sa ovlašćenjima koj</w:t>
      </w:r>
      <w:r w:rsidR="008E5E1F">
        <w:t xml:space="preserve">a </w:t>
      </w:r>
      <w:r w:rsidR="00CA1EE7">
        <w:t xml:space="preserve">se odnose na </w:t>
      </w:r>
      <w:r w:rsidR="008E5E1F">
        <w:t>upravlja</w:t>
      </w:r>
      <w:r w:rsidR="00CA1EE7">
        <w:t xml:space="preserve">nje </w:t>
      </w:r>
      <w:r w:rsidR="008E5E1F">
        <w:t>revidiran</w:t>
      </w:r>
      <w:r w:rsidR="00CA1EE7">
        <w:t>og</w:t>
      </w:r>
      <w:r w:rsidR="008E5E1F">
        <w:t xml:space="preserve"> subjekt</w:t>
      </w:r>
      <w:r w:rsidR="00CA1EE7">
        <w:t>a</w:t>
      </w:r>
      <w:r w:rsidR="008E5E1F">
        <w:t xml:space="preserve">. </w:t>
      </w:r>
      <w:r w:rsidR="00F04346">
        <w:t xml:space="preserve">   </w:t>
      </w:r>
    </w:p>
    <w:p w:rsidR="002E3F19" w:rsidRPr="00C21C3F" w:rsidRDefault="002E3F19" w:rsidP="002E3F19">
      <w:pPr>
        <w:pStyle w:val="numberedparas"/>
        <w:numPr>
          <w:ilvl w:val="0"/>
          <w:numId w:val="0"/>
        </w:numPr>
        <w:ind w:left="657"/>
        <w:rPr>
          <w:b/>
          <w:bCs/>
        </w:rPr>
      </w:pPr>
      <w:r w:rsidRPr="00C21C3F">
        <w:rPr>
          <w:b/>
          <w:bCs/>
        </w:rPr>
        <w:t>Interna</w:t>
      </w:r>
      <w:r w:rsidR="001F6BAE">
        <w:rPr>
          <w:b/>
          <w:bCs/>
        </w:rPr>
        <w:t xml:space="preserve"> revizija </w:t>
      </w:r>
    </w:p>
    <w:p w:rsidR="00CB4EE1" w:rsidRPr="00B5558A" w:rsidRDefault="00CB4EE1" w:rsidP="00B5558A">
      <w:pPr>
        <w:pStyle w:val="numberedparas"/>
        <w:rPr>
          <w:b/>
          <w:bCs/>
          <w:color w:val="1F497D" w:themeColor="text2"/>
        </w:rPr>
      </w:pPr>
      <w:r w:rsidRPr="001A1928">
        <w:rPr>
          <w:b/>
        </w:rPr>
        <w:t>I</w:t>
      </w:r>
      <w:r w:rsidR="00395F49">
        <w:rPr>
          <w:b/>
        </w:rPr>
        <w:t>nterna revizija</w:t>
      </w:r>
      <w:r w:rsidRPr="001A1928">
        <w:rPr>
          <w:b/>
        </w:rPr>
        <w:t xml:space="preserve"> </w:t>
      </w:r>
      <w:r w:rsidR="00B5558A">
        <w:t>predstavlja n</w:t>
      </w:r>
      <w:r w:rsidR="00395F49">
        <w:t>ezavisno, objektivno pružanje uveravanja i konsultantsk</w:t>
      </w:r>
      <w:r w:rsidR="00B5558A">
        <w:t>ih</w:t>
      </w:r>
      <w:r w:rsidR="00395F49">
        <w:t xml:space="preserve"> aktivnost</w:t>
      </w:r>
      <w:r w:rsidR="00B5558A">
        <w:t>i koje su</w:t>
      </w:r>
      <w:r w:rsidR="00395F49">
        <w:t xml:space="preserve"> dizajniran</w:t>
      </w:r>
      <w:r w:rsidR="00B5558A">
        <w:t>e</w:t>
      </w:r>
      <w:r w:rsidR="00395F49">
        <w:t xml:space="preserve"> </w:t>
      </w:r>
      <w:r w:rsidR="00B5558A">
        <w:t>radi dodavanj</w:t>
      </w:r>
      <w:r w:rsidR="00524F58">
        <w:t>a</w:t>
      </w:r>
      <w:r w:rsidR="00395F49">
        <w:t xml:space="preserve"> na</w:t>
      </w:r>
      <w:r w:rsidR="00B5558A">
        <w:t xml:space="preserve"> </w:t>
      </w:r>
      <w:r w:rsidR="00395F49">
        <w:t>vrednosti i unapređivanj</w:t>
      </w:r>
      <w:r w:rsidR="00B5558A">
        <w:t>a</w:t>
      </w:r>
      <w:r w:rsidR="00395F49">
        <w:t xml:space="preserve"> poslovanja određene organizacije. </w:t>
      </w:r>
      <w:r w:rsidR="00B5558A">
        <w:t>Ona po</w:t>
      </w:r>
      <w:r w:rsidR="00395F49">
        <w:t xml:space="preserve">maže organizaciji da postigne svoje ciljeve preko ostvarivanja sistematskog, disciplinovanog pristupa u evaluaciji i </w:t>
      </w:r>
      <w:r w:rsidR="00B5558A">
        <w:t xml:space="preserve">preko </w:t>
      </w:r>
      <w:r w:rsidR="00395F49">
        <w:t>unapređivanj</w:t>
      </w:r>
      <w:r w:rsidR="00B5558A">
        <w:t>a</w:t>
      </w:r>
      <w:r w:rsidR="00395F49">
        <w:t xml:space="preserve"> </w:t>
      </w:r>
      <w:r w:rsidR="007015C8">
        <w:t xml:space="preserve">delotvornosti </w:t>
      </w:r>
      <w:r w:rsidR="00E06806">
        <w:t xml:space="preserve">kod </w:t>
      </w:r>
      <w:r w:rsidR="00395F49">
        <w:t xml:space="preserve">upravljanja rizkom, </w:t>
      </w:r>
      <w:r w:rsidR="00C57101">
        <w:t xml:space="preserve">obavljanjem </w:t>
      </w:r>
      <w:r w:rsidR="00395F49">
        <w:t>kont</w:t>
      </w:r>
      <w:r w:rsidR="00E06806">
        <w:t>r</w:t>
      </w:r>
      <w:r w:rsidR="00395F49">
        <w:t>ol</w:t>
      </w:r>
      <w:r w:rsidR="00C57101">
        <w:t>a</w:t>
      </w:r>
      <w:r w:rsidR="00A54841">
        <w:t>, te</w:t>
      </w:r>
      <w:r w:rsidR="00395F49">
        <w:t xml:space="preserve"> procesa upravljanja.</w:t>
      </w:r>
      <w:r w:rsidR="00395F49">
        <w:rPr>
          <w:rStyle w:val="FootnoteReference"/>
        </w:rPr>
        <w:footnoteReference w:id="7"/>
      </w:r>
      <w:r w:rsidR="00395F49">
        <w:t xml:space="preserve"> </w:t>
      </w:r>
      <w:r w:rsidR="002E3F19">
        <w:t xml:space="preserve"> </w:t>
      </w:r>
    </w:p>
    <w:p w:rsidR="0066497A" w:rsidRDefault="0066497A" w:rsidP="0066497A">
      <w:pPr>
        <w:pStyle w:val="numberedparas"/>
      </w:pPr>
      <w:r>
        <w:rPr>
          <w:b/>
        </w:rPr>
        <w:t>I</w:t>
      </w:r>
      <w:r w:rsidR="008C59B9">
        <w:rPr>
          <w:b/>
        </w:rPr>
        <w:t xml:space="preserve">nstitut internih revizora </w:t>
      </w:r>
      <w:r>
        <w:t>defi</w:t>
      </w:r>
      <w:r w:rsidR="00757F9B">
        <w:t>ni</w:t>
      </w:r>
      <w:r w:rsidR="008C59B9">
        <w:t>še 2 osnovne vrste revizija</w:t>
      </w:r>
      <w:r>
        <w:rPr>
          <w:rStyle w:val="FootnoteReference"/>
        </w:rPr>
        <w:footnoteReference w:id="8"/>
      </w:r>
      <w:r w:rsidRPr="008F5592">
        <w:t>:</w:t>
      </w:r>
    </w:p>
    <w:p w:rsidR="00676587" w:rsidRDefault="00676587" w:rsidP="00676587">
      <w:pPr>
        <w:pStyle w:val="ListBullet"/>
      </w:pPr>
      <w:r>
        <w:rPr>
          <w:b/>
          <w:bCs/>
        </w:rPr>
        <w:t xml:space="preserve">Usluge osiguranja. </w:t>
      </w:r>
      <w:r>
        <w:rPr>
          <w:i/>
        </w:rPr>
        <w:t>Objektnivno ispitivanje dokaza za potrebe date organizacije u svrhu pružanja nezavisne procene rukovođenja, upravljanja rizicima i procesima kontrole. Primeri mogu uključivati aktivnosti koje se odnose na finansijsko, ispitivanje učinkovitosti, usaglašenosti, bezbednosti sistema, kao i obavljanja sveobuhvatne dubinske analize (</w:t>
      </w:r>
      <w:r w:rsidRPr="003406FE">
        <w:rPr>
          <w:i/>
        </w:rPr>
        <w:t>due diligence</w:t>
      </w:r>
      <w:r>
        <w:rPr>
          <w:i/>
        </w:rPr>
        <w:t xml:space="preserve">).  </w:t>
      </w:r>
    </w:p>
    <w:p w:rsidR="00676587" w:rsidRPr="008812D0" w:rsidRDefault="00676587" w:rsidP="00676587">
      <w:pPr>
        <w:pStyle w:val="ListBullet"/>
      </w:pPr>
      <w:r w:rsidRPr="00ED3E28">
        <w:rPr>
          <w:b/>
          <w:bCs/>
        </w:rPr>
        <w:t xml:space="preserve">Konsultantske usluge. </w:t>
      </w:r>
      <w:r w:rsidRPr="00ED3E28">
        <w:t xml:space="preserve">Savetodavne i sa njima povezane aktivnosti koje se odnose na pružanje usluga klijentu, čije su priroda i opseg dogovorene sa klijentom, usmerene </w:t>
      </w:r>
      <w:r>
        <w:t xml:space="preserve">su </w:t>
      </w:r>
      <w:r w:rsidRPr="00ED3E28">
        <w:t>ka dodavanju na vrednosti i unapređivanju rukovođenja, upravljanja rizicima, kao i kontrolnim procesima date organizacije bez pretpostavljanja odgovornosti rukovod</w:t>
      </w:r>
      <w:r>
        <w:t xml:space="preserve">stva </w:t>
      </w:r>
      <w:r w:rsidRPr="00ED3E28">
        <w:t xml:space="preserve">od strane internog revizora. Primeri uključuju konsultovanje, </w:t>
      </w:r>
      <w:r>
        <w:t xml:space="preserve">pružanje </w:t>
      </w:r>
      <w:r w:rsidRPr="00ED3E28">
        <w:t xml:space="preserve">saveta, </w:t>
      </w:r>
      <w:r>
        <w:t xml:space="preserve">obavljanje </w:t>
      </w:r>
      <w:r w:rsidRPr="00ED3E28">
        <w:t>fasilitacij</w:t>
      </w:r>
      <w:r>
        <w:t>e</w:t>
      </w:r>
      <w:r w:rsidRPr="00ED3E28">
        <w:t xml:space="preserve"> i obuk</w:t>
      </w:r>
      <w:r>
        <w:t>e</w:t>
      </w:r>
      <w:r w:rsidRPr="00ED3E28">
        <w:t xml:space="preserve">.   </w:t>
      </w:r>
    </w:p>
    <w:p w:rsidR="00676587" w:rsidRPr="001A1928" w:rsidRDefault="00676587" w:rsidP="00676587">
      <w:pPr>
        <w:pStyle w:val="numberedparas"/>
        <w:numPr>
          <w:ilvl w:val="0"/>
          <w:numId w:val="0"/>
        </w:numPr>
        <w:ind w:left="657"/>
        <w:rPr>
          <w:b/>
          <w:bCs/>
          <w:color w:val="1F497D" w:themeColor="text2"/>
        </w:rPr>
      </w:pPr>
      <w:r>
        <w:rPr>
          <w:b/>
        </w:rPr>
        <w:t xml:space="preserve">Vrhovne revizorske institucije </w:t>
      </w:r>
    </w:p>
    <w:p w:rsidR="00CB4EE1" w:rsidRPr="00676587" w:rsidRDefault="00676587" w:rsidP="00676587">
      <w:pPr>
        <w:pStyle w:val="numberedparas"/>
        <w:rPr>
          <w:b/>
          <w:color w:val="1F497D" w:themeColor="text2"/>
        </w:rPr>
      </w:pPr>
      <w:r>
        <w:rPr>
          <w:b/>
        </w:rPr>
        <w:t xml:space="preserve">Vrhovna revizorksa </w:t>
      </w:r>
      <w:r w:rsidRPr="00B83643">
        <w:rPr>
          <w:b/>
        </w:rPr>
        <w:t>institucija</w:t>
      </w:r>
      <w:r>
        <w:t xml:space="preserve"> je nezavisna državna agencija odgovorna za sprovođenje revizije javnog sektora po pitanju vladinih prihoda i potrošnje u skladu sa INTOSAI standardima.     </w:t>
      </w:r>
      <w:r w:rsidR="008A3624">
        <w:t xml:space="preserve">   </w:t>
      </w:r>
      <w:r w:rsidR="00A92571">
        <w:t xml:space="preserve">  </w:t>
      </w:r>
    </w:p>
    <w:p w:rsidR="00A92571" w:rsidRPr="00010EC0" w:rsidRDefault="00A92571" w:rsidP="00010EC0">
      <w:pPr>
        <w:pStyle w:val="numberedparas"/>
        <w:numPr>
          <w:ilvl w:val="0"/>
          <w:numId w:val="0"/>
        </w:numPr>
        <w:ind w:left="657"/>
        <w:rPr>
          <w:b/>
          <w:bCs/>
        </w:rPr>
      </w:pPr>
      <w:r w:rsidRPr="00010EC0">
        <w:rPr>
          <w:b/>
          <w:bCs/>
        </w:rPr>
        <w:lastRenderedPageBreak/>
        <w:t>Finan</w:t>
      </w:r>
      <w:r w:rsidR="00B83643">
        <w:rPr>
          <w:b/>
          <w:bCs/>
        </w:rPr>
        <w:t xml:space="preserve">sijska inspekcija </w:t>
      </w:r>
    </w:p>
    <w:p w:rsidR="00B83643" w:rsidRPr="00B83643" w:rsidRDefault="00CB4EE1" w:rsidP="00CB4EE1">
      <w:pPr>
        <w:pStyle w:val="numberedparas"/>
        <w:rPr>
          <w:b/>
          <w:bCs/>
          <w:color w:val="1F497D" w:themeColor="text2"/>
        </w:rPr>
      </w:pPr>
      <w:r w:rsidRPr="001A1928">
        <w:rPr>
          <w:b/>
          <w:bCs/>
        </w:rPr>
        <w:t>F</w:t>
      </w:r>
      <w:r w:rsidR="00B83643">
        <w:rPr>
          <w:b/>
          <w:bCs/>
        </w:rPr>
        <w:t xml:space="preserve">inansijska inspekcija </w:t>
      </w:r>
      <w:r w:rsidR="00B83643">
        <w:t xml:space="preserve">je aktivnost usmerena ka zaštiti javnih finansijskih interesa putem sprovođenja ex-post finansijskih inspekcija </w:t>
      </w:r>
      <w:r w:rsidR="00155A68">
        <w:t>radi utvrđivanja oblika povreda statutarnih akata koji se odnose na budžetske, ekonomske ili računovodstvene aktivnosti, kao i svih ostalih indikatora izvršenih prevara; utvrđivanje prevara, obika nepravilnosti, itd.</w:t>
      </w:r>
      <w:r w:rsidR="00155A68" w:rsidRPr="00155A68">
        <w:rPr>
          <w:rStyle w:val="FootnoteReference"/>
        </w:rPr>
        <w:t xml:space="preserve"> </w:t>
      </w:r>
      <w:r w:rsidR="00155A68">
        <w:rPr>
          <w:rStyle w:val="FootnoteReference"/>
        </w:rPr>
        <w:footnoteReference w:id="9"/>
      </w:r>
      <w:r w:rsidR="00155A68">
        <w:t xml:space="preserve"> </w:t>
      </w:r>
    </w:p>
    <w:p w:rsidR="00251E6C" w:rsidRPr="00251E6C" w:rsidRDefault="00251E6C" w:rsidP="00251E6C">
      <w:pPr>
        <w:pStyle w:val="numberedparas"/>
        <w:numPr>
          <w:ilvl w:val="0"/>
          <w:numId w:val="0"/>
        </w:numPr>
        <w:ind w:left="657"/>
        <w:rPr>
          <w:bCs/>
          <w:color w:val="1F497D" w:themeColor="text2"/>
          <w:u w:val="single"/>
        </w:rPr>
      </w:pPr>
      <w:r w:rsidRPr="00251E6C">
        <w:rPr>
          <w:bCs/>
          <w:u w:val="single"/>
        </w:rPr>
        <w:t>[</w:t>
      </w:r>
      <w:r w:rsidR="00CD2DE5">
        <w:rPr>
          <w:bCs/>
          <w:u w:val="single"/>
        </w:rPr>
        <w:t>Za dobijanje potvrde ove definicije od strane Radne grupe RIFIX tokom održavanja sastanka u Astani</w:t>
      </w:r>
      <w:r w:rsidRPr="00251E6C">
        <w:rPr>
          <w:bCs/>
          <w:u w:val="single"/>
        </w:rPr>
        <w:t>.]</w:t>
      </w:r>
    </w:p>
    <w:p w:rsidR="00CB4EE1" w:rsidRPr="001A1928" w:rsidRDefault="006D5B49" w:rsidP="00CB4EE1">
      <w:pPr>
        <w:pStyle w:val="Heading2"/>
      </w:pPr>
      <w:r>
        <w:t xml:space="preserve">Uloge </w:t>
      </w:r>
    </w:p>
    <w:p w:rsidR="00A92571" w:rsidRPr="00A92571" w:rsidRDefault="00A92571" w:rsidP="00A92571">
      <w:pPr>
        <w:pStyle w:val="numberedparas"/>
        <w:numPr>
          <w:ilvl w:val="0"/>
          <w:numId w:val="0"/>
        </w:numPr>
        <w:ind w:left="657"/>
        <w:rPr>
          <w:b/>
        </w:rPr>
      </w:pPr>
      <w:r w:rsidRPr="00A92571">
        <w:rPr>
          <w:b/>
        </w:rPr>
        <w:t>Interna</w:t>
      </w:r>
      <w:r w:rsidR="006D5B49">
        <w:rPr>
          <w:b/>
        </w:rPr>
        <w:t xml:space="preserve"> revizija </w:t>
      </w:r>
    </w:p>
    <w:p w:rsidR="001371A8" w:rsidRPr="006A6297" w:rsidRDefault="00804476" w:rsidP="006A6297">
      <w:pPr>
        <w:pStyle w:val="numberedparas"/>
        <w:rPr>
          <w:b/>
          <w:color w:val="1F497D" w:themeColor="text2"/>
        </w:rPr>
      </w:pPr>
      <w:r>
        <w:t>Interna</w:t>
      </w:r>
      <w:r w:rsidR="005340EB">
        <w:t xml:space="preserve"> revizija je funkcija koja je tokom prošlog veka razvijena kao integralni deo sistema interne kontrole. Kako su organizacije u javnom, tako i u privatnom sekt</w:t>
      </w:r>
      <w:r w:rsidR="00904F79">
        <w:t>o</w:t>
      </w:r>
      <w:r w:rsidR="005340EB">
        <w:t xml:space="preserve">ru postajale </w:t>
      </w:r>
      <w:r w:rsidR="00904F79">
        <w:t xml:space="preserve">sve </w:t>
      </w:r>
      <w:r w:rsidR="005340EB">
        <w:t>veće, više rukovodstvo više nije moglo da sprovodi lični nadzor nad sistemom interne kontrole. Stoga su stvori</w:t>
      </w:r>
      <w:r w:rsidR="003A1BBE">
        <w:t>li male jedinice nezavi</w:t>
      </w:r>
      <w:r w:rsidR="005340EB">
        <w:t>s</w:t>
      </w:r>
      <w:r w:rsidR="003A1BBE">
        <w:t>n</w:t>
      </w:r>
      <w:r w:rsidR="005340EB">
        <w:t xml:space="preserve">e od resornih rukovodioca i koje </w:t>
      </w:r>
      <w:r w:rsidR="00C717C3">
        <w:t xml:space="preserve">su </w:t>
      </w:r>
      <w:r w:rsidR="005340EB">
        <w:t>samo njima odgovara</w:t>
      </w:r>
      <w:r w:rsidR="00C717C3">
        <w:t>le</w:t>
      </w:r>
      <w:r w:rsidR="005340EB">
        <w:t xml:space="preserve"> kako bi pružal</w:t>
      </w:r>
      <w:r w:rsidR="00C717C3">
        <w:t>e</w:t>
      </w:r>
      <w:r w:rsidR="005340EB">
        <w:t xml:space="preserve"> savete o tome da li kontrole funkcionišu ka</w:t>
      </w:r>
      <w:r w:rsidR="00904F79">
        <w:t xml:space="preserve">o što </w:t>
      </w:r>
      <w:r w:rsidR="005340EB">
        <w:t xml:space="preserve">je planirano. </w:t>
      </w:r>
      <w:r w:rsidR="00904F79">
        <w:t xml:space="preserve">Fokus interne revizije je tradicionalno </w:t>
      </w:r>
      <w:r w:rsidR="006A6297">
        <w:t xml:space="preserve">bio </w:t>
      </w:r>
      <w:r w:rsidR="00904F79">
        <w:t xml:space="preserve">usmeren na usaglašenost sa procedurama (kontrole koje trebaju biti uspostavljene) i na finansijska pitanja. </w:t>
      </w:r>
      <w:r w:rsidR="001371A8">
        <w:t xml:space="preserve"> </w:t>
      </w:r>
    </w:p>
    <w:p w:rsidR="001371A8" w:rsidRPr="00C61721" w:rsidRDefault="006A6297" w:rsidP="00C61721">
      <w:pPr>
        <w:pStyle w:val="numberedparas"/>
        <w:rPr>
          <w:b/>
          <w:color w:val="1F497D" w:themeColor="text2"/>
        </w:rPr>
      </w:pPr>
      <w:r>
        <w:t xml:space="preserve">Kako je interna revizija evolvirala, uloga interne revizije je </w:t>
      </w:r>
      <w:r w:rsidR="001933C4">
        <w:t xml:space="preserve">postala </w:t>
      </w:r>
      <w:r>
        <w:t>kodifikovana standardima koji su inicijalno bili objavljeni u Sjedinjenim Američkim Državama od strane Instituta internih rev</w:t>
      </w:r>
      <w:r w:rsidR="001933C4">
        <w:t>i</w:t>
      </w:r>
      <w:r>
        <w:t xml:space="preserve">zora, ali su u sve većem obimu korišćeni na globalnom nivou. </w:t>
      </w:r>
      <w:r w:rsidR="001933C4">
        <w:t xml:space="preserve">Funkcije interne revizije su se takođe proširile izvan polja usaglašenosti sa propisima i </w:t>
      </w:r>
      <w:r w:rsidR="00C61721">
        <w:t xml:space="preserve">vršenja </w:t>
      </w:r>
      <w:r w:rsidR="001933C4">
        <w:t xml:space="preserve">analiza finansijskih sistema, a u pravcu </w:t>
      </w:r>
      <w:r w:rsidR="00C61721">
        <w:t>obuhvatanja</w:t>
      </w:r>
      <w:r w:rsidR="001933C4">
        <w:t xml:space="preserve"> savetodavnog rada sa fokusom na šira upravljačka pitanja, uključijući reviziju ekonomičnosti, efikasnosti i deotvornosti prihoda i rashoda. </w:t>
      </w:r>
      <w:r>
        <w:t xml:space="preserve"> </w:t>
      </w:r>
      <w:r w:rsidR="001371A8">
        <w:t xml:space="preserve">  </w:t>
      </w:r>
    </w:p>
    <w:p w:rsidR="001371A8" w:rsidRPr="00E234B0" w:rsidRDefault="00847C8C" w:rsidP="00E234B0">
      <w:pPr>
        <w:pStyle w:val="numberedparas"/>
        <w:rPr>
          <w:b/>
          <w:color w:val="1F497D" w:themeColor="text2"/>
        </w:rPr>
      </w:pPr>
      <w:r>
        <w:t>Sledeći</w:t>
      </w:r>
      <w:r w:rsidR="002E53A2">
        <w:t xml:space="preserve">, kao i </w:t>
      </w:r>
      <w:r>
        <w:t>skorašnji o</w:t>
      </w:r>
      <w:r w:rsidR="002E53A2">
        <w:t xml:space="preserve">blik razvoja se ogleda u stvaranju revizorskih odbora radi osiguravanja delotvornosti interne revizije i osnažavanja njene nezavisnosti od resornog rukovodstva preko pružanja stručnog saveta glavnom izvršnom rukovodiocu o delotvornosti revizorske funkcije. </w:t>
      </w:r>
      <w:r w:rsidR="00E476D1">
        <w:t>Revizorski odbori u javnom se</w:t>
      </w:r>
      <w:r w:rsidR="00E234B0">
        <w:t xml:space="preserve">ktoru </w:t>
      </w:r>
      <w:r w:rsidR="00E476D1">
        <w:t xml:space="preserve">obično imaju </w:t>
      </w:r>
      <w:r w:rsidR="00E234B0">
        <w:t xml:space="preserve">i </w:t>
      </w:r>
      <w:r w:rsidR="00E476D1">
        <w:t>ulogu promovisanja ef</w:t>
      </w:r>
      <w:r w:rsidR="006C4A75">
        <w:t>ikasne</w:t>
      </w:r>
      <w:r w:rsidR="00E476D1">
        <w:t xml:space="preserve"> saradnje između internog i eksternog revizora. </w:t>
      </w:r>
      <w:r w:rsidR="00BF0732">
        <w:t xml:space="preserve"> </w:t>
      </w:r>
    </w:p>
    <w:p w:rsidR="00CB4EE1" w:rsidRPr="008063B8" w:rsidRDefault="00E234B0" w:rsidP="008063B8">
      <w:pPr>
        <w:pStyle w:val="numberedparas"/>
        <w:rPr>
          <w:b/>
          <w:color w:val="1F497D" w:themeColor="text2"/>
        </w:rPr>
      </w:pPr>
      <w:r>
        <w:lastRenderedPageBreak/>
        <w:t xml:space="preserve">Danas je opšte prihvaćeno da rad interne revizije treba da se sprovodi u skladu sa uspostavljenim standardima koji se odnose na planirano izvršavanje i izveštavanje o radu interne revizije. </w:t>
      </w:r>
      <w:r w:rsidR="00C04397">
        <w:t xml:space="preserve"> </w:t>
      </w:r>
    </w:p>
    <w:p w:rsidR="00CB4EE1" w:rsidRPr="00A04049" w:rsidRDefault="002C1016" w:rsidP="00A04049">
      <w:pPr>
        <w:pStyle w:val="numberedparas"/>
        <w:rPr>
          <w:b/>
          <w:color w:val="1F497D" w:themeColor="text2"/>
        </w:rPr>
      </w:pPr>
      <w:r>
        <w:t>Za zemlje koje su se u poslednjih nekoliko godina odlučile za uvođenje interne revizije postoji korpus primera najboljih praksi koji može biti korišćen kako bi pomogao u definisan</w:t>
      </w:r>
      <w:r w:rsidR="00A04049">
        <w:t>j</w:t>
      </w:r>
      <w:r>
        <w:t xml:space="preserve">u </w:t>
      </w:r>
      <w:r w:rsidR="00A04049">
        <w:t xml:space="preserve">toga </w:t>
      </w:r>
      <w:r>
        <w:t>kako interna revizija na najbolji način mo</w:t>
      </w:r>
      <w:r w:rsidR="00A04049">
        <w:t>že</w:t>
      </w:r>
      <w:r>
        <w:t xml:space="preserve"> da se </w:t>
      </w:r>
      <w:r w:rsidR="00A04049">
        <w:t>sprovodi</w:t>
      </w:r>
      <w:r>
        <w:t xml:space="preserve">. A ovo uključuje smernice o odnosu sa eksternim revizorima.   </w:t>
      </w:r>
      <w:r w:rsidR="00B8554D">
        <w:t xml:space="preserve"> </w:t>
      </w:r>
    </w:p>
    <w:p w:rsidR="00A92571" w:rsidRPr="00A92571" w:rsidRDefault="00A04049" w:rsidP="00A92571">
      <w:pPr>
        <w:pStyle w:val="numberedparas"/>
        <w:numPr>
          <w:ilvl w:val="0"/>
          <w:numId w:val="0"/>
        </w:numPr>
        <w:ind w:left="657"/>
        <w:rPr>
          <w:b/>
        </w:rPr>
      </w:pPr>
      <w:r>
        <w:rPr>
          <w:b/>
        </w:rPr>
        <w:t>Vrhovn</w:t>
      </w:r>
      <w:r w:rsidR="00402A4F">
        <w:rPr>
          <w:b/>
        </w:rPr>
        <w:t>a</w:t>
      </w:r>
      <w:r>
        <w:rPr>
          <w:b/>
        </w:rPr>
        <w:t xml:space="preserve"> revizorsk</w:t>
      </w:r>
      <w:r w:rsidR="00402A4F">
        <w:rPr>
          <w:b/>
        </w:rPr>
        <w:t>a</w:t>
      </w:r>
      <w:r>
        <w:rPr>
          <w:b/>
        </w:rPr>
        <w:t xml:space="preserve"> institucij</w:t>
      </w:r>
      <w:r w:rsidR="00402A4F">
        <w:rPr>
          <w:b/>
        </w:rPr>
        <w:t>a</w:t>
      </w:r>
      <w:r>
        <w:rPr>
          <w:b/>
        </w:rPr>
        <w:t xml:space="preserve"> </w:t>
      </w:r>
    </w:p>
    <w:p w:rsidR="00B8554D" w:rsidRPr="000B6180" w:rsidRDefault="00054721" w:rsidP="000B6180">
      <w:pPr>
        <w:pStyle w:val="numberedparas"/>
        <w:rPr>
          <w:b/>
          <w:color w:val="1F497D" w:themeColor="text2"/>
        </w:rPr>
      </w:pPr>
      <w:r>
        <w:t xml:space="preserve">Izraz vrhovna revizorska institucija se koristi kako bi se opisala institucija u zemlji koja predstavlja najviši nivo nezavisnog nadzora nad centralnim državnim finansijama. </w:t>
      </w:r>
    </w:p>
    <w:p w:rsidR="009E7D25" w:rsidRPr="00CC57DC" w:rsidRDefault="000B6180" w:rsidP="00CC57DC">
      <w:pPr>
        <w:pStyle w:val="numberedparas"/>
        <w:rPr>
          <w:b/>
          <w:color w:val="1F497D" w:themeColor="text2"/>
        </w:rPr>
      </w:pPr>
      <w:r>
        <w:t xml:space="preserve">Suštinski postoje dva modela pod kojima </w:t>
      </w:r>
      <w:r w:rsidR="00F20333">
        <w:t xml:space="preserve">funkcioniše </w:t>
      </w:r>
      <w:r>
        <w:t>vrhovna revizorska institucija</w:t>
      </w:r>
      <w:r w:rsidR="00F20333">
        <w:t>: sudski model,</w:t>
      </w:r>
      <w:r>
        <w:t xml:space="preserve"> uveden u okviru frankofonskog sistema upravljanja finansijama, a koj</w:t>
      </w:r>
      <w:r w:rsidR="00F20333">
        <w:t xml:space="preserve">i svoja ovašćenja </w:t>
      </w:r>
      <w:r w:rsidR="00CC57DC">
        <w:t xml:space="preserve">dobija na osnovu </w:t>
      </w:r>
      <w:r w:rsidR="00F20333">
        <w:t>sud</w:t>
      </w:r>
      <w:r>
        <w:t>s</w:t>
      </w:r>
      <w:r w:rsidR="00F20333">
        <w:t>k</w:t>
      </w:r>
      <w:r>
        <w:t>ih funkcija države, te model revizorskog ureda/službe</w:t>
      </w:r>
      <w:r w:rsidR="00F20333">
        <w:t>,</w:t>
      </w:r>
      <w:r>
        <w:t xml:space="preserve"> uveden u okviru anglo-saksonskog sistema upravljanja finansijama, a koji svoja ovlašćenja </w:t>
      </w:r>
      <w:r w:rsidR="00CC57DC">
        <w:t>dobija na osnovu zakonodavnih funkcija države.</w:t>
      </w:r>
    </w:p>
    <w:p w:rsidR="00D17BC3" w:rsidRPr="00406F93" w:rsidRDefault="009E7D25" w:rsidP="00406F93">
      <w:pPr>
        <w:pStyle w:val="numberedparas"/>
        <w:rPr>
          <w:b/>
          <w:color w:val="1F497D" w:themeColor="text2"/>
        </w:rPr>
      </w:pPr>
      <w:r>
        <w:t>T</w:t>
      </w:r>
      <w:r w:rsidR="00CC57DC">
        <w:t xml:space="preserve">radicionalne funkcije ove dve </w:t>
      </w:r>
      <w:r w:rsidR="00227B6F">
        <w:t xml:space="preserve">glavne </w:t>
      </w:r>
      <w:r w:rsidR="00CC57DC">
        <w:t xml:space="preserve">vrste vrhovnih revizorskih institucija su takođe različite. </w:t>
      </w:r>
      <w:r w:rsidR="000F2339">
        <w:t xml:space="preserve"> </w:t>
      </w:r>
      <w:r w:rsidR="00227B6F">
        <w:t xml:space="preserve">To </w:t>
      </w:r>
      <w:r w:rsidR="000F2339">
        <w:t xml:space="preserve">odražava način na koji se budžeti odobravaju </w:t>
      </w:r>
      <w:r w:rsidR="00227B6F">
        <w:t xml:space="preserve">od strane </w:t>
      </w:r>
      <w:r w:rsidR="000F2339">
        <w:t>parlament</w:t>
      </w:r>
      <w:r w:rsidR="00227B6F">
        <w:t>a</w:t>
      </w:r>
      <w:r w:rsidR="000F2339">
        <w:t>. U frankofonskom modelu, budžet je vrlo detaljan dokument u kome je zasebno budžetsko ovlašćenje dato velikom broju budžetskih kor</w:t>
      </w:r>
      <w:r w:rsidR="00227B6F">
        <w:t>isnika u svakom vladinom ministarstvu</w:t>
      </w:r>
      <w:r w:rsidR="000F2339">
        <w:t xml:space="preserve"> i agenciji.</w:t>
      </w:r>
      <w:r w:rsidR="00227B6F">
        <w:t xml:space="preserve"> U anglo-saksonskom modelu se budžetsko ovlašćenje daje rukovodiocu svakog vladinog ministarstva ili agencije, a nakon toga se delegira od strane rukovodioca ministarstva ili agencije njihovim podređenim organima.  </w:t>
      </w:r>
      <w:r w:rsidR="000F2339">
        <w:t xml:space="preserve"> </w:t>
      </w:r>
      <w:r>
        <w:t xml:space="preserve"> </w:t>
      </w:r>
      <w:r w:rsidR="00B8554D">
        <w:t xml:space="preserve"> </w:t>
      </w:r>
    </w:p>
    <w:p w:rsidR="00655C35" w:rsidRPr="00655C35" w:rsidRDefault="00655C35" w:rsidP="00CB4EE1">
      <w:pPr>
        <w:pStyle w:val="numberedparas"/>
        <w:rPr>
          <w:b/>
          <w:color w:val="1F497D" w:themeColor="text2"/>
        </w:rPr>
      </w:pPr>
      <w:r>
        <w:t xml:space="preserve">Revizorski sud (ili Komore kontrole) </w:t>
      </w:r>
      <w:r w:rsidR="005D70CF">
        <w:t xml:space="preserve">u osnovi donosi sud o legalnosti rashoda koji su izvršeni od strane pojedinačnih budžetskih korisnika u okviru vladinih ministarstava. Suprotno tome, revizorski uredi/službe vrše reviziju implementacije ukupnog budžeta koji je opredeljen određenom ministarstvu sprovođenjem finansijske revizije. Revizorski ured/služba obično daje revizorsko mišljenje o finansijskim izveštajima za svako vladino ministarstvo.  </w:t>
      </w:r>
    </w:p>
    <w:p w:rsidR="00A8767C" w:rsidRPr="00CF0A1A" w:rsidRDefault="00156824" w:rsidP="00CF0A1A">
      <w:pPr>
        <w:pStyle w:val="numberedparas"/>
        <w:rPr>
          <w:b/>
          <w:color w:val="1F497D" w:themeColor="text2"/>
        </w:rPr>
      </w:pPr>
      <w:r>
        <w:t>Svetski trend, promovisan od strane institucija kao što su Svetska banka, Međunarodni monetarni fond i Evropska unija</w:t>
      </w:r>
      <w:r w:rsidR="00C42966">
        <w:t xml:space="preserve"> bio </w:t>
      </w:r>
      <w:r>
        <w:t xml:space="preserve">je da se podspešuje prelaz u funkcijama vrhovne revizorske institucije od sudskog modela u pravcu modela revizorskog ureda/službe. Revizorski sudovi se sve više podspešuju da daju </w:t>
      </w:r>
      <w:r w:rsidR="00C42966">
        <w:t>sveobuhvatna</w:t>
      </w:r>
      <w:r>
        <w:t xml:space="preserve"> mišljenja o vladinim računima. Revizorski sudovi i dalje postoje</w:t>
      </w:r>
      <w:r w:rsidR="00C42966">
        <w:t>,</w:t>
      </w:r>
      <w:r>
        <w:t xml:space="preserve"> ali u mnogim zemljama više nemaju sudska ovlašćenja, već </w:t>
      </w:r>
      <w:r>
        <w:lastRenderedPageBreak/>
        <w:t xml:space="preserve">parlamentu daju mišljenja o nacionalnim računima, te objavljuju izveštaje za potrebe parlementa o sprovedenim revizijama. </w:t>
      </w:r>
      <w:r w:rsidR="00C42966">
        <w:t>U ovoj situaciji, model revizorskog suda odražava način na koji se donose odluke, a ne način na koji institucija</w:t>
      </w:r>
      <w:r w:rsidR="00CF0A1A">
        <w:t xml:space="preserve"> postupa</w:t>
      </w:r>
      <w:r w:rsidR="00C42966">
        <w:t xml:space="preserve">.   </w:t>
      </w:r>
      <w:r>
        <w:t xml:space="preserve">   </w:t>
      </w:r>
      <w:r w:rsidR="00A8767C">
        <w:t xml:space="preserve"> </w:t>
      </w:r>
    </w:p>
    <w:p w:rsidR="00FC6169" w:rsidRPr="00ED7468" w:rsidRDefault="00ED7468" w:rsidP="00ED7468">
      <w:pPr>
        <w:pStyle w:val="numberedparas"/>
        <w:rPr>
          <w:b/>
          <w:color w:val="1F497D" w:themeColor="text2"/>
        </w:rPr>
      </w:pPr>
      <w:r>
        <w:t>Kod v</w:t>
      </w:r>
      <w:r w:rsidR="00CF0A1A">
        <w:t>rhovn</w:t>
      </w:r>
      <w:r>
        <w:t>ih</w:t>
      </w:r>
      <w:r w:rsidR="00CF0A1A">
        <w:t xml:space="preserve"> revizorsk</w:t>
      </w:r>
      <w:r>
        <w:t>ih</w:t>
      </w:r>
      <w:r w:rsidR="00CF0A1A">
        <w:t xml:space="preserve"> instutucij</w:t>
      </w:r>
      <w:r>
        <w:t>a</w:t>
      </w:r>
      <w:r w:rsidR="00CF0A1A">
        <w:t xml:space="preserve"> koje su izvršile prelaz, ili koje su u fazi obavljanja istog, </w:t>
      </w:r>
      <w:r>
        <w:t xml:space="preserve">u </w:t>
      </w:r>
      <w:r w:rsidR="00CF0A1A">
        <w:t>prela</w:t>
      </w:r>
      <w:r>
        <w:t xml:space="preserve">sku </w:t>
      </w:r>
      <w:r w:rsidR="00CF0A1A">
        <w:t>od sudskog ka modelu revizorskog ureda/službe</w:t>
      </w:r>
      <w:r>
        <w:t xml:space="preserve"> se </w:t>
      </w:r>
      <w:r w:rsidR="00CF0A1A">
        <w:t>mogu javiti značaj</w:t>
      </w:r>
      <w:r>
        <w:t>n</w:t>
      </w:r>
      <w:r w:rsidR="00CF0A1A">
        <w:t xml:space="preserve">i izazovi </w:t>
      </w:r>
      <w:r>
        <w:t xml:space="preserve">po pitanju </w:t>
      </w:r>
      <w:r w:rsidR="00CF0A1A">
        <w:t>ponovn</w:t>
      </w:r>
      <w:r>
        <w:t>e</w:t>
      </w:r>
      <w:r w:rsidR="00CF0A1A">
        <w:t xml:space="preserve"> obu</w:t>
      </w:r>
      <w:r>
        <w:t>ke</w:t>
      </w:r>
      <w:r w:rsidR="00CF0A1A">
        <w:t xml:space="preserve"> zaposlenih kako bi radili kao revizori, te </w:t>
      </w:r>
      <w:r>
        <w:t xml:space="preserve">u </w:t>
      </w:r>
      <w:r w:rsidR="00CF0A1A">
        <w:t>prelaz</w:t>
      </w:r>
      <w:r>
        <w:t>u</w:t>
      </w:r>
      <w:r w:rsidR="00CF0A1A">
        <w:t xml:space="preserve"> od obavljanja funkcije eksterne kontrole/usaglašenosti ka funkciji revizije.  </w:t>
      </w:r>
      <w:r w:rsidR="00A74644">
        <w:t xml:space="preserve"> </w:t>
      </w:r>
    </w:p>
    <w:p w:rsidR="00AE66C9" w:rsidRPr="00AE66C9" w:rsidRDefault="00AE66C9" w:rsidP="00AE66C9">
      <w:pPr>
        <w:pStyle w:val="numberedparas"/>
        <w:numPr>
          <w:ilvl w:val="0"/>
          <w:numId w:val="0"/>
        </w:numPr>
        <w:ind w:left="657"/>
        <w:rPr>
          <w:b/>
          <w:color w:val="1F497D" w:themeColor="text2"/>
        </w:rPr>
      </w:pPr>
      <w:r w:rsidRPr="00AE66C9">
        <w:rPr>
          <w:b/>
        </w:rPr>
        <w:t>Finan</w:t>
      </w:r>
      <w:r w:rsidR="00ED7468">
        <w:rPr>
          <w:b/>
        </w:rPr>
        <w:t xml:space="preserve">sijska inspekcija </w:t>
      </w:r>
    </w:p>
    <w:p w:rsidR="00CB4EE1" w:rsidRDefault="00ED7468" w:rsidP="006A5BF3">
      <w:pPr>
        <w:pStyle w:val="numberedparas"/>
      </w:pPr>
      <w:r>
        <w:t>Funkcija finansijske inspekcije svoje korene ima u visoko centralizovanim državnim s</w:t>
      </w:r>
      <w:r w:rsidR="00154331">
        <w:t>istemima sa detaljnim budžetima</w:t>
      </w:r>
      <w:r>
        <w:t xml:space="preserve"> u kojem Ministarstvo finansija zadržava centralnu inspekcijsku ulogu kao deo sistema sveukupne finansijske kontrole.</w:t>
      </w:r>
      <w:r w:rsidR="00154331">
        <w:t xml:space="preserve"> Glavna uloga finansijske inspekcije je usaglašenost koja je fokusirana: </w:t>
      </w:r>
      <w:r w:rsidR="004E476E">
        <w:t xml:space="preserve">da izvršava </w:t>
      </w:r>
      <w:r w:rsidR="00154331">
        <w:t>kontrolu budžetskih rashoda budžetskih korisnika vladinih organa</w:t>
      </w:r>
      <w:r w:rsidR="007A06E7">
        <w:t>,</w:t>
      </w:r>
      <w:r w:rsidR="00154331">
        <w:t xml:space="preserve"> kao i drugih organizacija koji dobijaju sredstva iz budžeta, </w:t>
      </w:r>
      <w:r w:rsidR="007A06E7">
        <w:t xml:space="preserve">a </w:t>
      </w:r>
      <w:r w:rsidR="00154331">
        <w:t>kako bi verifikovali da su budžetska sredstva potrošena u skladu sa zakonom.</w:t>
      </w:r>
      <w:r w:rsidR="004E476E">
        <w:t xml:space="preserve"> Fokus je da se osigura da su budžetska sredstva potrošena bez kršenja pravnog i regulatornog okvira, ili na lažan i neregularan način.   </w:t>
      </w:r>
      <w:r w:rsidR="00154331">
        <w:t xml:space="preserve"> </w:t>
      </w:r>
      <w:r>
        <w:t xml:space="preserve"> </w:t>
      </w:r>
      <w:r w:rsidR="00CB4EE1" w:rsidRPr="001A1928">
        <w:t xml:space="preserve"> </w:t>
      </w:r>
    </w:p>
    <w:p w:rsidR="002615F4" w:rsidRPr="001A1928" w:rsidRDefault="006A5BF3" w:rsidP="008D77C2">
      <w:pPr>
        <w:pStyle w:val="numberedparas"/>
      </w:pPr>
      <w:r>
        <w:t>Kod zemalja koje vrše prelaz od frankofonskog ka anglofonskom modelu finansijske kontrole, u mnogim slučajevima će dugoročna uloga finansijske inspekcije tražiti analizu. Ovo je potrebno kako bi se osiguralo da postoji ravnoteža između uloga interne revizije i finans</w:t>
      </w:r>
      <w:r w:rsidR="008D77C2">
        <w:t>ijske inspekcije kojom se promoviše a ne odvlači pažnja</w:t>
      </w:r>
      <w:r>
        <w:t xml:space="preserve"> od odgovornosti svakog pojedinačnog ministra prema parlementu. </w:t>
      </w:r>
      <w:r w:rsidR="00505DA5">
        <w:t xml:space="preserve"> </w:t>
      </w:r>
      <w:r w:rsidR="00E10CAF">
        <w:t xml:space="preserve"> </w:t>
      </w:r>
      <w:r w:rsidR="003C0764">
        <w:t xml:space="preserve"> </w:t>
      </w:r>
    </w:p>
    <w:p w:rsidR="003406FE" w:rsidRDefault="005B5A5F" w:rsidP="00FF6B94">
      <w:pPr>
        <w:pStyle w:val="Heading2"/>
        <w:numPr>
          <w:ilvl w:val="0"/>
          <w:numId w:val="0"/>
        </w:numPr>
        <w:ind w:left="360"/>
      </w:pPr>
      <w:r>
        <w:t>4.1</w:t>
      </w:r>
      <w:r w:rsidR="008D77C2">
        <w:t xml:space="preserve">Uticaj uloga vrhovne revizorske institucije na odnose sa internom revizijom i finansijskom inspekcijom. </w:t>
      </w:r>
      <w:r w:rsidR="003C0764">
        <w:t xml:space="preserve"> </w:t>
      </w:r>
    </w:p>
    <w:p w:rsidR="009F7E3D" w:rsidRPr="00AB6A42" w:rsidRDefault="00FF6B94" w:rsidP="00AB6A42">
      <w:pPr>
        <w:pStyle w:val="numberedparas"/>
        <w:rPr>
          <w:b/>
          <w:color w:val="1F497D" w:themeColor="text2"/>
        </w:rPr>
      </w:pPr>
      <w:r>
        <w:t xml:space="preserve">Kao što je gore napomenuto, postoje dva glavna modela vrhovnih revizorskih institucija. U svrhu ove konceptne beleške, od pomoći je da se izvrši pod-klasifikacija vrhovnih revizorskih institucija </w:t>
      </w:r>
      <w:r w:rsidR="00AB6A42">
        <w:t>na</w:t>
      </w:r>
      <w:r>
        <w:t xml:space="preserve"> </w:t>
      </w:r>
      <w:r w:rsidR="00AB6A42">
        <w:t xml:space="preserve">ili </w:t>
      </w:r>
      <w:r w:rsidR="007A06E7">
        <w:t>v</w:t>
      </w:r>
      <w:r>
        <w:t>rhovn</w:t>
      </w:r>
      <w:r w:rsidR="00AB6A42">
        <w:t>u</w:t>
      </w:r>
      <w:r>
        <w:t xml:space="preserve"> revizorsk</w:t>
      </w:r>
      <w:r w:rsidR="00AB6A42">
        <w:t>u</w:t>
      </w:r>
      <w:r>
        <w:t xml:space="preserve"> institucij</w:t>
      </w:r>
      <w:r w:rsidR="00AB6A42">
        <w:t>u (eksterna</w:t>
      </w:r>
      <w:r>
        <w:t xml:space="preserve"> kontrola), ili </w:t>
      </w:r>
      <w:r w:rsidR="00AB6A42">
        <w:t xml:space="preserve">pak </w:t>
      </w:r>
      <w:r w:rsidR="007A06E7">
        <w:t>v</w:t>
      </w:r>
      <w:r>
        <w:t>rhovn</w:t>
      </w:r>
      <w:r w:rsidR="00AB6A42">
        <w:t>u</w:t>
      </w:r>
      <w:r>
        <w:t xml:space="preserve"> revizorsk</w:t>
      </w:r>
      <w:r w:rsidR="00AB6A42">
        <w:t>u</w:t>
      </w:r>
      <w:r>
        <w:t xml:space="preserve"> institucij</w:t>
      </w:r>
      <w:r w:rsidR="00AB6A42">
        <w:t>u</w:t>
      </w:r>
      <w:r>
        <w:t xml:space="preserve"> (eksterna revizija), definisan</w:t>
      </w:r>
      <w:r w:rsidR="00AB6A42">
        <w:t>jem</w:t>
      </w:r>
      <w:r>
        <w:t xml:space="preserve"> na sledeći način: </w:t>
      </w:r>
      <w:r w:rsidR="00505DA5">
        <w:t xml:space="preserve"> </w:t>
      </w:r>
    </w:p>
    <w:p w:rsidR="00AB6A42" w:rsidRPr="00AB6A42" w:rsidRDefault="00AB6A42" w:rsidP="009F7E3D">
      <w:pPr>
        <w:pStyle w:val="ListBullet"/>
        <w:rPr>
          <w:b/>
          <w:color w:val="1F497D" w:themeColor="text2"/>
        </w:rPr>
      </w:pPr>
      <w:r>
        <w:t xml:space="preserve">Vrhovna revizorska institucija (eksterna kontrola) je vrhovna revizorska institucija koja nastavlja da radi prema frankofonskom modelu. Fokusira se na usaglašenost prema propisima, ima sudska ovlašćenja izricanja kazni i ne podnosi izveštaj parlamentu.  </w:t>
      </w:r>
    </w:p>
    <w:p w:rsidR="009F7E3D" w:rsidRPr="0041535E" w:rsidRDefault="00AB6A42" w:rsidP="0041535E">
      <w:pPr>
        <w:pStyle w:val="ListBullet"/>
        <w:rPr>
          <w:b/>
          <w:color w:val="1F497D" w:themeColor="text2"/>
        </w:rPr>
      </w:pPr>
      <w:r>
        <w:lastRenderedPageBreak/>
        <w:t>Vrhovna revizorska institucija</w:t>
      </w:r>
      <w:r w:rsidR="00190BC6">
        <w:t xml:space="preserve"> </w:t>
      </w:r>
      <w:r>
        <w:t>(eksterna revizija)</w:t>
      </w:r>
      <w:r w:rsidR="00190BC6" w:rsidRPr="00190BC6">
        <w:t xml:space="preserve"> </w:t>
      </w:r>
      <w:r w:rsidR="00190BC6">
        <w:t xml:space="preserve">je vrhovna revizorska institucija koja radi prema (ili prelazi ka) anglo-saksonskom modelu. Njen fokus je na davanje revizorskih mišljenja o finansijskim izveštajima vlade, nema ovlašćenja izricanja kazni i </w:t>
      </w:r>
      <w:r w:rsidR="007A06E7">
        <w:t xml:space="preserve">parlamentu </w:t>
      </w:r>
      <w:r w:rsidR="00190BC6">
        <w:t xml:space="preserve">izveštava o rezultatima svojih aktivnosti.  </w:t>
      </w:r>
    </w:p>
    <w:p w:rsidR="003C0764" w:rsidRDefault="0041535E" w:rsidP="00C66399">
      <w:pPr>
        <w:pStyle w:val="numberedparas"/>
      </w:pPr>
      <w:r>
        <w:t xml:space="preserve">Koristeći ove klasifikacije jasno je da </w:t>
      </w:r>
      <w:r w:rsidR="00E128E2">
        <w:t xml:space="preserve">će </w:t>
      </w:r>
      <w:r>
        <w:t>interna revizija i vrhovna revizorska ins</w:t>
      </w:r>
      <w:r w:rsidR="00E128E2">
        <w:t xml:space="preserve">titucija (eksterna revizija) </w:t>
      </w:r>
      <w:r>
        <w:t xml:space="preserve">imati više toga zajedničkog nego interna revizija i vrhovna revizorska institucija (eksterna kontrola). </w:t>
      </w:r>
      <w:r w:rsidR="004E74B8">
        <w:t xml:space="preserve">Interna revizija i vrhovna revizorska institucija (eksterna revizija) su obe </w:t>
      </w:r>
      <w:r w:rsidR="000258E6">
        <w:t>revizors</w:t>
      </w:r>
      <w:r w:rsidR="00E128E2">
        <w:t>k</w:t>
      </w:r>
      <w:r w:rsidR="000258E6">
        <w:t>e institucije koje fun</w:t>
      </w:r>
      <w:r w:rsidR="004E74B8">
        <w:t xml:space="preserve">kcionišu prema revizorskim standardima koji su zasnovani na istim (revizorskim) konceptima. </w:t>
      </w:r>
      <w:r w:rsidR="000258E6">
        <w:t xml:space="preserve">Na sličan način, finansijska inspekcija i vrhovna revizorska institucija (eksterna kontrola) će imati više toga zajedničkog nego finansijska inspekcija i vrhovna revizorska institucija (eksterna revizija). To je iz razloga što su obe kontrolne institucije, a ne revizorski organi. </w:t>
      </w:r>
    </w:p>
    <w:p w:rsidR="00C50C8D" w:rsidRDefault="007200FB" w:rsidP="009D2901">
      <w:pPr>
        <w:pStyle w:val="numberedparas"/>
      </w:pPr>
      <w:r>
        <w:t>Tamo gde</w:t>
      </w:r>
      <w:r w:rsidRPr="007200FB">
        <w:t xml:space="preserve"> </w:t>
      </w:r>
      <w:r>
        <w:t xml:space="preserve">vrhovna revizorska institucija vrši prelaz od vrhovne revizorske institucije (eksterna kontrola) ka vrhovnoj revizorskoj instituciji (eksterna revizija), odnosi sa internom revizijom, kao i sa finansijskom inspekcijom </w:t>
      </w:r>
      <w:r w:rsidR="009D2901">
        <w:t>će se menjati protokom vremena</w:t>
      </w:r>
      <w:r w:rsidR="009F7E3D">
        <w:t xml:space="preserve">. </w:t>
      </w:r>
    </w:p>
    <w:p w:rsidR="00C50C8D" w:rsidRDefault="000C356A" w:rsidP="007C6255">
      <w:pPr>
        <w:pStyle w:val="ListBullet"/>
      </w:pPr>
      <w:r>
        <w:t>Na početku će vrhovna revizorska institucija imati dosta toga zajedničkog sa finansijskom inspekcijom. Verovatno će deliti planove za budućnost u smislu organiz</w:t>
      </w:r>
      <w:r w:rsidR="007C6255">
        <w:t xml:space="preserve">acija koje </w:t>
      </w:r>
      <w:r>
        <w:t>obe institucije</w:t>
      </w:r>
      <w:r w:rsidR="007C6255">
        <w:t xml:space="preserve"> kontrolišu</w:t>
      </w:r>
      <w:r>
        <w:t xml:space="preserve">. Takođe će i način na koji obe institucije sprovode </w:t>
      </w:r>
      <w:r w:rsidR="007C6255">
        <w:t xml:space="preserve">poslove </w:t>
      </w:r>
      <w:r>
        <w:t xml:space="preserve">kontrole biti vrlo slični. </w:t>
      </w:r>
      <w:r w:rsidR="00C50C8D">
        <w:t xml:space="preserve"> </w:t>
      </w:r>
    </w:p>
    <w:p w:rsidR="008A1E61" w:rsidRDefault="007C6255" w:rsidP="009B4A57">
      <w:pPr>
        <w:pStyle w:val="ListBullet"/>
      </w:pPr>
      <w:r>
        <w:t xml:space="preserve">Kako vrhovna revizorska institucija </w:t>
      </w:r>
      <w:r w:rsidR="00F7594E">
        <w:t xml:space="preserve">bude </w:t>
      </w:r>
      <w:r>
        <w:t>obavlja</w:t>
      </w:r>
      <w:r w:rsidR="00F7594E">
        <w:t>la</w:t>
      </w:r>
      <w:r>
        <w:t xml:space="preserve"> prelaz u pravcu revizorskog rada, imaće sve manje zajedničkog sa finansijskom inspekcijom. Neće postojati istovetna potreba da se del</w:t>
      </w:r>
      <w:r w:rsidR="00F7594E">
        <w:t>e</w:t>
      </w:r>
      <w:r>
        <w:t xml:space="preserve"> </w:t>
      </w:r>
      <w:r w:rsidR="00F7594E">
        <w:t xml:space="preserve">radni </w:t>
      </w:r>
      <w:r>
        <w:t>planovi za budućnost jer će obe institucije raditi drugačije vrste ispitivanja. Međutim, vrhovna revizorska institucija će morati da ostvaruje više kontakta sa internom revizijom</w:t>
      </w:r>
      <w:r w:rsidR="00F7594E">
        <w:t>,</w:t>
      </w:r>
      <w:r>
        <w:t xml:space="preserve"> jer revizorski standardi zahtevaju od eksternih revizora da analiziraju interne kontrole (kojih je interna revizija deo), a takođe i zato što ek</w:t>
      </w:r>
      <w:r w:rsidR="00A27E90">
        <w:t>s</w:t>
      </w:r>
      <w:r>
        <w:t>te</w:t>
      </w:r>
      <w:r w:rsidR="00F7594E">
        <w:t xml:space="preserve">rni revizor može želeti da se osloni </w:t>
      </w:r>
      <w:r>
        <w:t xml:space="preserve">na rad internog revizora pri formiranju sopstvenog mišljenja u vezi finansijskih izveštaja. </w:t>
      </w:r>
      <w:r w:rsidR="00720655">
        <w:t xml:space="preserve"> </w:t>
      </w:r>
      <w:r w:rsidR="00C50C8D">
        <w:t xml:space="preserve"> </w:t>
      </w:r>
    </w:p>
    <w:p w:rsidR="008A1E61" w:rsidRDefault="0041799E" w:rsidP="000B6357">
      <w:pPr>
        <w:pStyle w:val="Heading2"/>
      </w:pPr>
      <w:r>
        <w:t>K</w:t>
      </w:r>
      <w:r w:rsidR="000B6357">
        <w:t>ljučne odlike uloge i rada interne revizije, vrhovne revizorske institucije i finansijske inspekcije</w:t>
      </w:r>
      <w:r w:rsidR="006D55C2">
        <w:t xml:space="preserve"> </w:t>
      </w:r>
    </w:p>
    <w:p w:rsidR="0076213A" w:rsidRDefault="000B6357" w:rsidP="0076213A">
      <w:pPr>
        <w:pStyle w:val="numberedparas"/>
      </w:pPr>
      <w:r>
        <w:t xml:space="preserve">Tabela 1 predstavlja ključne odlike uloge, metoda i pristupa interne revizije, finansijske inspekcije i vrhovne revizorske institucije, praveći razliku između </w:t>
      </w:r>
      <w:r>
        <w:lastRenderedPageBreak/>
        <w:t>vrhovnih revizorskih institucija koje sprovode ek</w:t>
      </w:r>
      <w:r w:rsidR="0076213A">
        <w:t>s</w:t>
      </w:r>
      <w:r>
        <w:t>ternu reviziju i vrhovnih revizorskih institucija koje sprovode ek</w:t>
      </w:r>
      <w:r w:rsidR="0076213A">
        <w:t>s</w:t>
      </w:r>
      <w:r>
        <w:t xml:space="preserve">ternu kontrolu. </w:t>
      </w:r>
    </w:p>
    <w:p w:rsidR="009F7E3D" w:rsidRDefault="006D55C2" w:rsidP="0076213A">
      <w:pPr>
        <w:pStyle w:val="numberedparas"/>
        <w:numPr>
          <w:ilvl w:val="0"/>
          <w:numId w:val="0"/>
        </w:numPr>
        <w:ind w:left="657"/>
      </w:pPr>
      <w:r>
        <w:t xml:space="preserve"> </w:t>
      </w:r>
    </w:p>
    <w:tbl>
      <w:tblPr>
        <w:tblStyle w:val="TableGrid"/>
        <w:tblW w:w="9810" w:type="dxa"/>
        <w:tblInd w:w="-702" w:type="dxa"/>
        <w:tblLook w:val="04A0"/>
      </w:tblPr>
      <w:tblGrid>
        <w:gridCol w:w="2473"/>
        <w:gridCol w:w="1771"/>
        <w:gridCol w:w="1771"/>
        <w:gridCol w:w="1905"/>
        <w:gridCol w:w="1890"/>
      </w:tblGrid>
      <w:tr w:rsidR="0041799E" w:rsidRPr="007059D1" w:rsidTr="0041799E">
        <w:tc>
          <w:tcPr>
            <w:tcW w:w="9810" w:type="dxa"/>
            <w:gridSpan w:val="5"/>
          </w:tcPr>
          <w:p w:rsidR="0041799E" w:rsidRDefault="006D55C2" w:rsidP="00A27E90">
            <w:pPr>
              <w:pStyle w:val="Table"/>
              <w:rPr>
                <w:b/>
              </w:rPr>
            </w:pPr>
            <w:r>
              <w:rPr>
                <w:b/>
              </w:rPr>
              <w:t>Tab</w:t>
            </w:r>
            <w:r w:rsidR="0076213A">
              <w:rPr>
                <w:b/>
              </w:rPr>
              <w:t>e</w:t>
            </w:r>
            <w:r>
              <w:rPr>
                <w:b/>
              </w:rPr>
              <w:t>l</w:t>
            </w:r>
            <w:r w:rsidR="0076213A">
              <w:rPr>
                <w:b/>
              </w:rPr>
              <w:t>a</w:t>
            </w:r>
            <w:r>
              <w:rPr>
                <w:b/>
              </w:rPr>
              <w:t xml:space="preserve"> 1</w:t>
            </w:r>
            <w:r w:rsidR="00A27E90">
              <w:rPr>
                <w:b/>
              </w:rPr>
              <w:t>:</w:t>
            </w:r>
            <w:r>
              <w:rPr>
                <w:b/>
              </w:rPr>
              <w:t xml:space="preserve"> K</w:t>
            </w:r>
            <w:r w:rsidR="0076213A">
              <w:rPr>
                <w:b/>
              </w:rPr>
              <w:t xml:space="preserve">ljučne odlike interne revizije, vrhovne revizorske institucije i finansijske inspekcije </w:t>
            </w:r>
          </w:p>
        </w:tc>
      </w:tr>
      <w:tr w:rsidR="001941D2" w:rsidRPr="007059D1" w:rsidTr="00555A20">
        <w:tc>
          <w:tcPr>
            <w:tcW w:w="2473" w:type="dxa"/>
          </w:tcPr>
          <w:p w:rsidR="007059D1" w:rsidRPr="007059D1" w:rsidRDefault="007059D1" w:rsidP="008A1E61">
            <w:pPr>
              <w:pStyle w:val="Table"/>
              <w:rPr>
                <w:b/>
              </w:rPr>
            </w:pPr>
          </w:p>
        </w:tc>
        <w:tc>
          <w:tcPr>
            <w:tcW w:w="1771" w:type="dxa"/>
          </w:tcPr>
          <w:p w:rsidR="007059D1" w:rsidRPr="007059D1" w:rsidRDefault="007059D1" w:rsidP="0076213A">
            <w:pPr>
              <w:pStyle w:val="Table"/>
              <w:rPr>
                <w:b/>
              </w:rPr>
            </w:pPr>
            <w:r w:rsidRPr="007059D1">
              <w:rPr>
                <w:b/>
              </w:rPr>
              <w:t>I</w:t>
            </w:r>
            <w:r w:rsidR="0076213A">
              <w:rPr>
                <w:b/>
              </w:rPr>
              <w:t xml:space="preserve">nterna revizija </w:t>
            </w:r>
          </w:p>
        </w:tc>
        <w:tc>
          <w:tcPr>
            <w:tcW w:w="1771" w:type="dxa"/>
          </w:tcPr>
          <w:p w:rsidR="007059D1" w:rsidRPr="007059D1" w:rsidRDefault="0076213A" w:rsidP="0076213A">
            <w:pPr>
              <w:pStyle w:val="Table"/>
              <w:rPr>
                <w:b/>
              </w:rPr>
            </w:pPr>
            <w:r>
              <w:rPr>
                <w:b/>
              </w:rPr>
              <w:t>V</w:t>
            </w:r>
            <w:r w:rsidRPr="0076213A">
              <w:rPr>
                <w:b/>
              </w:rPr>
              <w:t>rhovn</w:t>
            </w:r>
            <w:r>
              <w:rPr>
                <w:b/>
              </w:rPr>
              <w:t>a revizorska</w:t>
            </w:r>
            <w:r w:rsidRPr="0076213A">
              <w:rPr>
                <w:b/>
              </w:rPr>
              <w:t xml:space="preserve"> institucij</w:t>
            </w:r>
            <w:r>
              <w:rPr>
                <w:b/>
              </w:rPr>
              <w:t xml:space="preserve">a (eksterna revizija) </w:t>
            </w:r>
          </w:p>
        </w:tc>
        <w:tc>
          <w:tcPr>
            <w:tcW w:w="1905" w:type="dxa"/>
          </w:tcPr>
          <w:p w:rsidR="007059D1" w:rsidRPr="007059D1" w:rsidRDefault="0076213A" w:rsidP="0076213A">
            <w:pPr>
              <w:pStyle w:val="Table"/>
              <w:rPr>
                <w:b/>
              </w:rPr>
            </w:pPr>
            <w:r>
              <w:rPr>
                <w:b/>
              </w:rPr>
              <w:t>V</w:t>
            </w:r>
            <w:r w:rsidRPr="0076213A">
              <w:rPr>
                <w:b/>
              </w:rPr>
              <w:t>rhovn</w:t>
            </w:r>
            <w:r>
              <w:rPr>
                <w:b/>
              </w:rPr>
              <w:t>a revizorska</w:t>
            </w:r>
            <w:r w:rsidRPr="0076213A">
              <w:rPr>
                <w:b/>
              </w:rPr>
              <w:t xml:space="preserve"> institucij</w:t>
            </w:r>
            <w:r>
              <w:rPr>
                <w:b/>
              </w:rPr>
              <w:t>a (eksterna kontrola)</w:t>
            </w:r>
          </w:p>
        </w:tc>
        <w:tc>
          <w:tcPr>
            <w:tcW w:w="1890" w:type="dxa"/>
          </w:tcPr>
          <w:p w:rsidR="007059D1" w:rsidRPr="007059D1" w:rsidRDefault="007059D1" w:rsidP="0076213A">
            <w:pPr>
              <w:pStyle w:val="Table"/>
              <w:rPr>
                <w:b/>
              </w:rPr>
            </w:pPr>
            <w:r>
              <w:rPr>
                <w:b/>
              </w:rPr>
              <w:t>F</w:t>
            </w:r>
            <w:r w:rsidR="0076213A">
              <w:rPr>
                <w:b/>
              </w:rPr>
              <w:t xml:space="preserve">inansijska inspekcija </w:t>
            </w:r>
          </w:p>
        </w:tc>
      </w:tr>
      <w:tr w:rsidR="001941D2" w:rsidTr="00555A20">
        <w:tc>
          <w:tcPr>
            <w:tcW w:w="2473" w:type="dxa"/>
          </w:tcPr>
          <w:p w:rsidR="007059D1" w:rsidRPr="007059D1" w:rsidRDefault="0076213A" w:rsidP="0076213A">
            <w:pPr>
              <w:pStyle w:val="Table"/>
              <w:rPr>
                <w:b/>
              </w:rPr>
            </w:pPr>
            <w:r>
              <w:rPr>
                <w:b/>
              </w:rPr>
              <w:t xml:space="preserve">Ovlašćenja potiču od: </w:t>
            </w:r>
          </w:p>
        </w:tc>
        <w:tc>
          <w:tcPr>
            <w:tcW w:w="1771" w:type="dxa"/>
          </w:tcPr>
          <w:p w:rsidR="007059D1" w:rsidRDefault="0076213A" w:rsidP="0076213A">
            <w:pPr>
              <w:pStyle w:val="Table"/>
            </w:pPr>
            <w:r>
              <w:t xml:space="preserve">Ministar </w:t>
            </w:r>
          </w:p>
        </w:tc>
        <w:tc>
          <w:tcPr>
            <w:tcW w:w="1771" w:type="dxa"/>
          </w:tcPr>
          <w:p w:rsidR="007059D1" w:rsidRDefault="00555A20" w:rsidP="0076213A">
            <w:pPr>
              <w:pStyle w:val="Table"/>
            </w:pPr>
            <w:r>
              <w:t>Parl</w:t>
            </w:r>
            <w:r w:rsidR="0076213A">
              <w:t xml:space="preserve">ament </w:t>
            </w:r>
          </w:p>
        </w:tc>
        <w:tc>
          <w:tcPr>
            <w:tcW w:w="1905" w:type="dxa"/>
          </w:tcPr>
          <w:p w:rsidR="007059D1" w:rsidRDefault="0076213A" w:rsidP="0076213A">
            <w:pPr>
              <w:pStyle w:val="Table"/>
            </w:pPr>
            <w:r>
              <w:t xml:space="preserve">Pravosudni zakoni </w:t>
            </w:r>
          </w:p>
        </w:tc>
        <w:tc>
          <w:tcPr>
            <w:tcW w:w="1890" w:type="dxa"/>
          </w:tcPr>
          <w:p w:rsidR="007059D1" w:rsidRDefault="00555A20" w:rsidP="0076213A">
            <w:pPr>
              <w:pStyle w:val="Table"/>
            </w:pPr>
            <w:r>
              <w:t>Minist</w:t>
            </w:r>
            <w:r w:rsidR="0076213A">
              <w:t>a</w:t>
            </w:r>
            <w:r>
              <w:t>r</w:t>
            </w:r>
            <w:r w:rsidR="0076213A">
              <w:t xml:space="preserve">stvo finansija </w:t>
            </w:r>
          </w:p>
        </w:tc>
      </w:tr>
      <w:tr w:rsidR="001941D2" w:rsidTr="0041799E">
        <w:tc>
          <w:tcPr>
            <w:tcW w:w="2473" w:type="dxa"/>
          </w:tcPr>
          <w:p w:rsidR="0041799E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Izveštava: </w:t>
            </w:r>
          </w:p>
        </w:tc>
        <w:tc>
          <w:tcPr>
            <w:tcW w:w="1771" w:type="dxa"/>
          </w:tcPr>
          <w:p w:rsidR="0041799E" w:rsidRDefault="00826F3F" w:rsidP="00826F3F">
            <w:pPr>
              <w:pStyle w:val="Table"/>
            </w:pPr>
            <w:r>
              <w:t xml:space="preserve">Ministar </w:t>
            </w:r>
          </w:p>
        </w:tc>
        <w:tc>
          <w:tcPr>
            <w:tcW w:w="1771" w:type="dxa"/>
          </w:tcPr>
          <w:p w:rsidR="0041799E" w:rsidRDefault="00826F3F" w:rsidP="00826F3F">
            <w:pPr>
              <w:pStyle w:val="Table"/>
            </w:pPr>
            <w:r>
              <w:t xml:space="preserve">Parlament </w:t>
            </w:r>
          </w:p>
        </w:tc>
        <w:tc>
          <w:tcPr>
            <w:tcW w:w="1905" w:type="dxa"/>
          </w:tcPr>
          <w:p w:rsidR="0041799E" w:rsidRDefault="00826F3F" w:rsidP="00826F3F">
            <w:pPr>
              <w:pStyle w:val="Table"/>
            </w:pPr>
            <w:r>
              <w:t xml:space="preserve">Javnost, preko objavljivanja odluka </w:t>
            </w:r>
          </w:p>
        </w:tc>
        <w:tc>
          <w:tcPr>
            <w:tcW w:w="1890" w:type="dxa"/>
          </w:tcPr>
          <w:p w:rsidR="0041799E" w:rsidRDefault="0041799E" w:rsidP="00826F3F">
            <w:pPr>
              <w:pStyle w:val="Table"/>
            </w:pPr>
            <w:r>
              <w:t>Minist</w:t>
            </w:r>
            <w:r w:rsidR="00826F3F">
              <w:t>a</w:t>
            </w:r>
            <w:r>
              <w:t>r</w:t>
            </w:r>
            <w:r w:rsidR="00826F3F">
              <w:t xml:space="preserve">stvo finansija </w:t>
            </w:r>
          </w:p>
        </w:tc>
      </w:tr>
      <w:tr w:rsidR="001941D2" w:rsidTr="00555A20">
        <w:tc>
          <w:tcPr>
            <w:tcW w:w="2473" w:type="dxa"/>
          </w:tcPr>
          <w:p w:rsidR="007059D1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>Mora biti nezavisan od</w:t>
            </w:r>
            <w:r w:rsidR="00555A20" w:rsidRPr="00555A20">
              <w:rPr>
                <w:b/>
              </w:rPr>
              <w:t xml:space="preserve"> </w:t>
            </w:r>
          </w:p>
        </w:tc>
        <w:tc>
          <w:tcPr>
            <w:tcW w:w="1771" w:type="dxa"/>
          </w:tcPr>
          <w:p w:rsidR="007059D1" w:rsidRDefault="00826F3F" w:rsidP="006F3CC4">
            <w:pPr>
              <w:pStyle w:val="Table"/>
            </w:pPr>
            <w:r>
              <w:t>Resorno rukovodstv</w:t>
            </w:r>
            <w:r w:rsidR="006F3CC4">
              <w:t>o</w:t>
            </w:r>
            <w:r>
              <w:t xml:space="preserve"> u ministarstvima </w:t>
            </w:r>
          </w:p>
        </w:tc>
        <w:tc>
          <w:tcPr>
            <w:tcW w:w="1771" w:type="dxa"/>
          </w:tcPr>
          <w:p w:rsidR="007059D1" w:rsidRDefault="00826F3F" w:rsidP="00826F3F">
            <w:pPr>
              <w:pStyle w:val="Table"/>
            </w:pPr>
            <w:r>
              <w:t xml:space="preserve">Vlada </w:t>
            </w:r>
          </w:p>
        </w:tc>
        <w:tc>
          <w:tcPr>
            <w:tcW w:w="1905" w:type="dxa"/>
          </w:tcPr>
          <w:p w:rsidR="007059D1" w:rsidRDefault="00826F3F" w:rsidP="00826F3F">
            <w:pPr>
              <w:pStyle w:val="Table"/>
            </w:pPr>
            <w:r>
              <w:t xml:space="preserve">Vlada </w:t>
            </w:r>
          </w:p>
        </w:tc>
        <w:tc>
          <w:tcPr>
            <w:tcW w:w="1890" w:type="dxa"/>
          </w:tcPr>
          <w:p w:rsidR="007059D1" w:rsidRDefault="00826F3F" w:rsidP="00826F3F">
            <w:pPr>
              <w:pStyle w:val="Table"/>
            </w:pPr>
            <w:r>
              <w:t xml:space="preserve">Ministarstva koja se kontrolišu </w:t>
            </w:r>
          </w:p>
        </w:tc>
      </w:tr>
      <w:tr w:rsidR="001941D2" w:rsidTr="00555A20">
        <w:tc>
          <w:tcPr>
            <w:tcW w:w="2473" w:type="dxa"/>
          </w:tcPr>
          <w:p w:rsidR="007059D1" w:rsidRDefault="00826F3F" w:rsidP="00826F3F">
            <w:pPr>
              <w:pStyle w:val="Table"/>
            </w:pPr>
            <w:r>
              <w:rPr>
                <w:b/>
              </w:rPr>
              <w:t>Da li se može osloniti na rad drugih</w:t>
            </w:r>
            <w:r w:rsidR="00555A20">
              <w:t>?</w:t>
            </w:r>
          </w:p>
        </w:tc>
        <w:tc>
          <w:tcPr>
            <w:tcW w:w="1771" w:type="dxa"/>
          </w:tcPr>
          <w:p w:rsidR="007059D1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771" w:type="dxa"/>
          </w:tcPr>
          <w:p w:rsidR="007059D1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905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890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</w:tr>
      <w:tr w:rsidR="001941D2" w:rsidTr="00555A20">
        <w:tc>
          <w:tcPr>
            <w:tcW w:w="2473" w:type="dxa"/>
          </w:tcPr>
          <w:p w:rsidR="007059D1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Da li može izricati kazne/novčane penale </w:t>
            </w:r>
          </w:p>
        </w:tc>
        <w:tc>
          <w:tcPr>
            <w:tcW w:w="1771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771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905" w:type="dxa"/>
          </w:tcPr>
          <w:p w:rsidR="007059D1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890" w:type="dxa"/>
          </w:tcPr>
          <w:p w:rsidR="007059D1" w:rsidRDefault="00826F3F" w:rsidP="00826F3F">
            <w:pPr>
              <w:pStyle w:val="Table"/>
            </w:pPr>
            <w:r>
              <w:t>Da</w:t>
            </w:r>
          </w:p>
        </w:tc>
      </w:tr>
      <w:tr w:rsidR="001941D2" w:rsidTr="0041799E">
        <w:tc>
          <w:tcPr>
            <w:tcW w:w="2473" w:type="dxa"/>
          </w:tcPr>
          <w:p w:rsidR="0041799E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Postoje međunarodni standardi </w:t>
            </w:r>
          </w:p>
        </w:tc>
        <w:tc>
          <w:tcPr>
            <w:tcW w:w="1771" w:type="dxa"/>
          </w:tcPr>
          <w:p w:rsidR="0041799E" w:rsidRDefault="00826F3F" w:rsidP="00826F3F">
            <w:pPr>
              <w:pStyle w:val="Table"/>
            </w:pPr>
            <w:r>
              <w:t>Da</w:t>
            </w:r>
            <w:r w:rsidR="0041799E">
              <w:br/>
              <w:t>(IIA)</w:t>
            </w:r>
          </w:p>
        </w:tc>
        <w:tc>
          <w:tcPr>
            <w:tcW w:w="1771" w:type="dxa"/>
          </w:tcPr>
          <w:p w:rsidR="0041799E" w:rsidRDefault="00826F3F" w:rsidP="00826F3F">
            <w:pPr>
              <w:pStyle w:val="Table"/>
            </w:pPr>
            <w:r>
              <w:t>Da</w:t>
            </w:r>
            <w:r w:rsidR="0041799E">
              <w:t xml:space="preserve"> </w:t>
            </w:r>
            <w:r w:rsidR="0041799E">
              <w:br/>
              <w:t xml:space="preserve">INTOSAI </w:t>
            </w:r>
          </w:p>
        </w:tc>
        <w:tc>
          <w:tcPr>
            <w:tcW w:w="1905" w:type="dxa"/>
          </w:tcPr>
          <w:p w:rsidR="0041799E" w:rsidRDefault="00826F3F" w:rsidP="00826F3F">
            <w:pPr>
              <w:pStyle w:val="Table"/>
            </w:pPr>
            <w:r>
              <w:t>Da</w:t>
            </w:r>
            <w:r w:rsidR="0041799E">
              <w:t xml:space="preserve"> </w:t>
            </w:r>
            <w:r w:rsidR="0041799E">
              <w:br/>
              <w:t>INTOSAI</w:t>
            </w:r>
          </w:p>
        </w:tc>
        <w:tc>
          <w:tcPr>
            <w:tcW w:w="1890" w:type="dxa"/>
          </w:tcPr>
          <w:p w:rsidR="0041799E" w:rsidRDefault="00826F3F" w:rsidP="0041799E">
            <w:pPr>
              <w:pStyle w:val="Table"/>
            </w:pPr>
            <w:r>
              <w:t>Ne</w:t>
            </w:r>
          </w:p>
        </w:tc>
      </w:tr>
      <w:tr w:rsidR="001941D2" w:rsidTr="00555A20">
        <w:tc>
          <w:tcPr>
            <w:tcW w:w="2473" w:type="dxa"/>
          </w:tcPr>
          <w:p w:rsidR="007059D1" w:rsidRPr="00555A20" w:rsidRDefault="00555A20" w:rsidP="00826F3F">
            <w:pPr>
              <w:pStyle w:val="Table"/>
              <w:rPr>
                <w:b/>
              </w:rPr>
            </w:pPr>
            <w:r w:rsidRPr="00555A20">
              <w:rPr>
                <w:b/>
              </w:rPr>
              <w:t>Standard</w:t>
            </w:r>
            <w:r w:rsidR="00826F3F">
              <w:rPr>
                <w:b/>
              </w:rPr>
              <w:t xml:space="preserve">i kojima se rukovodi pri radu </w:t>
            </w:r>
          </w:p>
        </w:tc>
        <w:tc>
          <w:tcPr>
            <w:tcW w:w="1771" w:type="dxa"/>
          </w:tcPr>
          <w:p w:rsidR="007059D1" w:rsidRDefault="00826F3F" w:rsidP="00826F3F">
            <w:pPr>
              <w:pStyle w:val="Table"/>
            </w:pPr>
            <w:r>
              <w:t>Da, ukoliko interna revizija ima mandat da prati standard</w:t>
            </w:r>
            <w:r w:rsidR="00D57575">
              <w:t>e</w:t>
            </w:r>
            <w:r>
              <w:t xml:space="preserve"> </w:t>
            </w:r>
            <w:r w:rsidR="00555A20">
              <w:t xml:space="preserve"> </w:t>
            </w:r>
          </w:p>
        </w:tc>
        <w:tc>
          <w:tcPr>
            <w:tcW w:w="1771" w:type="dxa"/>
          </w:tcPr>
          <w:p w:rsidR="007059D1" w:rsidRDefault="00826F3F" w:rsidP="0041799E">
            <w:pPr>
              <w:pStyle w:val="Table"/>
            </w:pPr>
            <w:r>
              <w:t>Da, ukoliko zakon o vrhovnoj revizorskoj instituciji zahteva od vrhovne revizorske institucije da prati standarde</w:t>
            </w:r>
          </w:p>
        </w:tc>
        <w:tc>
          <w:tcPr>
            <w:tcW w:w="1905" w:type="dxa"/>
          </w:tcPr>
          <w:p w:rsidR="007059D1" w:rsidRDefault="00826F3F" w:rsidP="0041799E">
            <w:pPr>
              <w:pStyle w:val="Table"/>
            </w:pPr>
            <w:r>
              <w:t>Da, ukoliko zakon o vrhovnoj revizorskoj instituciji zahteva od vrhovne revizorske institucije da prati standarde</w:t>
            </w:r>
          </w:p>
        </w:tc>
        <w:tc>
          <w:tcPr>
            <w:tcW w:w="1890" w:type="dxa"/>
          </w:tcPr>
          <w:p w:rsidR="007059D1" w:rsidRDefault="00555A20" w:rsidP="008A1E61">
            <w:pPr>
              <w:pStyle w:val="Table"/>
            </w:pPr>
            <w:r>
              <w:t>N</w:t>
            </w:r>
            <w:r w:rsidR="00826F3F">
              <w:t>e</w:t>
            </w:r>
          </w:p>
        </w:tc>
      </w:tr>
      <w:tr w:rsidR="001941D2" w:rsidTr="00555A20">
        <w:tc>
          <w:tcPr>
            <w:tcW w:w="2473" w:type="dxa"/>
          </w:tcPr>
          <w:p w:rsidR="007059D1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Daje mišljenje o finansijskim izveštajima </w:t>
            </w:r>
          </w:p>
        </w:tc>
        <w:tc>
          <w:tcPr>
            <w:tcW w:w="1771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771" w:type="dxa"/>
          </w:tcPr>
          <w:p w:rsidR="007059D1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905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890" w:type="dxa"/>
          </w:tcPr>
          <w:p w:rsidR="007059D1" w:rsidRDefault="00555A20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</w:tr>
      <w:tr w:rsidR="001941D2" w:rsidTr="00555A20">
        <w:tc>
          <w:tcPr>
            <w:tcW w:w="2473" w:type="dxa"/>
          </w:tcPr>
          <w:p w:rsidR="00C27835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Ispituje finansijske transakcije </w:t>
            </w:r>
          </w:p>
        </w:tc>
        <w:tc>
          <w:tcPr>
            <w:tcW w:w="1771" w:type="dxa"/>
          </w:tcPr>
          <w:p w:rsidR="00C27835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771" w:type="dxa"/>
          </w:tcPr>
          <w:p w:rsidR="00C27835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905" w:type="dxa"/>
          </w:tcPr>
          <w:p w:rsidR="00C27835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890" w:type="dxa"/>
          </w:tcPr>
          <w:p w:rsidR="00C27835" w:rsidRDefault="00826F3F" w:rsidP="00826F3F">
            <w:pPr>
              <w:pStyle w:val="Table"/>
            </w:pPr>
            <w:r>
              <w:t>Da</w:t>
            </w:r>
          </w:p>
        </w:tc>
      </w:tr>
      <w:tr w:rsidR="001941D2" w:rsidTr="005352F2">
        <w:tc>
          <w:tcPr>
            <w:tcW w:w="2473" w:type="dxa"/>
          </w:tcPr>
          <w:p w:rsidR="00C27835" w:rsidRPr="00555A20" w:rsidRDefault="00826F3F" w:rsidP="00826F3F">
            <w:pPr>
              <w:pStyle w:val="Table"/>
              <w:rPr>
                <w:b/>
              </w:rPr>
            </w:pPr>
            <w:r>
              <w:rPr>
                <w:b/>
              </w:rPr>
              <w:t xml:space="preserve">Obezbeđuje godišnji izveštaj parlamentu </w:t>
            </w:r>
          </w:p>
        </w:tc>
        <w:tc>
          <w:tcPr>
            <w:tcW w:w="1771" w:type="dxa"/>
          </w:tcPr>
          <w:p w:rsidR="00C27835" w:rsidRDefault="00C27835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  <w:tc>
          <w:tcPr>
            <w:tcW w:w="1771" w:type="dxa"/>
          </w:tcPr>
          <w:p w:rsidR="00C27835" w:rsidRDefault="00826F3F" w:rsidP="00826F3F">
            <w:pPr>
              <w:pStyle w:val="Table"/>
            </w:pPr>
            <w:r>
              <w:t>Da</w:t>
            </w:r>
          </w:p>
        </w:tc>
        <w:tc>
          <w:tcPr>
            <w:tcW w:w="1905" w:type="dxa"/>
          </w:tcPr>
          <w:p w:rsidR="00826F3F" w:rsidRDefault="00826F3F" w:rsidP="005352F2">
            <w:pPr>
              <w:pStyle w:val="Table"/>
            </w:pPr>
            <w:r>
              <w:t xml:space="preserve">Može obezbeđivati izveštaj o krajnjim rezultatima u vezi kontronih aktivnosti </w:t>
            </w:r>
          </w:p>
          <w:p w:rsidR="00C27835" w:rsidRDefault="00C27835" w:rsidP="005352F2">
            <w:pPr>
              <w:pStyle w:val="Table"/>
            </w:pPr>
          </w:p>
        </w:tc>
        <w:tc>
          <w:tcPr>
            <w:tcW w:w="1890" w:type="dxa"/>
          </w:tcPr>
          <w:p w:rsidR="00C27835" w:rsidRDefault="00C27835" w:rsidP="00826F3F">
            <w:pPr>
              <w:pStyle w:val="Table"/>
            </w:pPr>
            <w:r>
              <w:t>N</w:t>
            </w:r>
            <w:r w:rsidR="00826F3F">
              <w:t>e</w:t>
            </w:r>
          </w:p>
        </w:tc>
      </w:tr>
      <w:tr w:rsidR="001941D2" w:rsidTr="00555A20">
        <w:tc>
          <w:tcPr>
            <w:tcW w:w="2473" w:type="dxa"/>
          </w:tcPr>
          <w:p w:rsidR="0041799E" w:rsidRPr="00555A20" w:rsidRDefault="00123B4A" w:rsidP="008A1E61">
            <w:pPr>
              <w:pStyle w:val="Table"/>
              <w:rPr>
                <w:b/>
              </w:rPr>
            </w:pPr>
            <w:r>
              <w:rPr>
                <w:b/>
              </w:rPr>
              <w:t xml:space="preserve">Sprovodi ex-ante analize </w:t>
            </w:r>
            <w:r>
              <w:rPr>
                <w:b/>
              </w:rPr>
              <w:lastRenderedPageBreak/>
              <w:t>sistema i procesa</w:t>
            </w:r>
          </w:p>
        </w:tc>
        <w:tc>
          <w:tcPr>
            <w:tcW w:w="1771" w:type="dxa"/>
          </w:tcPr>
          <w:p w:rsidR="0041799E" w:rsidRDefault="00123B4A" w:rsidP="00123B4A">
            <w:pPr>
              <w:pStyle w:val="Table"/>
            </w:pPr>
            <w:r>
              <w:lastRenderedPageBreak/>
              <w:t>Da</w:t>
            </w:r>
          </w:p>
        </w:tc>
        <w:tc>
          <w:tcPr>
            <w:tcW w:w="1771" w:type="dxa"/>
          </w:tcPr>
          <w:p w:rsidR="0041799E" w:rsidRDefault="0041799E" w:rsidP="00123B4A">
            <w:pPr>
              <w:pStyle w:val="Table"/>
            </w:pPr>
            <w:r>
              <w:t>N</w:t>
            </w:r>
            <w:r w:rsidR="00123B4A">
              <w:t>e</w:t>
            </w:r>
          </w:p>
        </w:tc>
        <w:tc>
          <w:tcPr>
            <w:tcW w:w="1905" w:type="dxa"/>
          </w:tcPr>
          <w:p w:rsidR="0041799E" w:rsidRDefault="0041799E" w:rsidP="00123B4A">
            <w:pPr>
              <w:pStyle w:val="Table"/>
            </w:pPr>
            <w:r>
              <w:t>N</w:t>
            </w:r>
            <w:r w:rsidR="00123B4A">
              <w:t>e</w:t>
            </w:r>
          </w:p>
        </w:tc>
        <w:tc>
          <w:tcPr>
            <w:tcW w:w="1890" w:type="dxa"/>
          </w:tcPr>
          <w:p w:rsidR="0041799E" w:rsidRDefault="0041799E" w:rsidP="00123B4A">
            <w:pPr>
              <w:pStyle w:val="Table"/>
            </w:pPr>
            <w:r>
              <w:t>N</w:t>
            </w:r>
            <w:r w:rsidR="00123B4A">
              <w:t>e</w:t>
            </w:r>
          </w:p>
        </w:tc>
      </w:tr>
      <w:tr w:rsidR="001941D2" w:rsidTr="00555A20">
        <w:tc>
          <w:tcPr>
            <w:tcW w:w="2473" w:type="dxa"/>
          </w:tcPr>
          <w:p w:rsidR="00010EC0" w:rsidRDefault="00123B4A" w:rsidP="00123B4A">
            <w:pPr>
              <w:pStyle w:val="Table"/>
              <w:rPr>
                <w:b/>
              </w:rPr>
            </w:pPr>
            <w:r>
              <w:rPr>
                <w:b/>
              </w:rPr>
              <w:lastRenderedPageBreak/>
              <w:t xml:space="preserve">Planiranje zasnovano na rizicima </w:t>
            </w:r>
          </w:p>
        </w:tc>
        <w:tc>
          <w:tcPr>
            <w:tcW w:w="1771" w:type="dxa"/>
          </w:tcPr>
          <w:p w:rsidR="00010EC0" w:rsidRDefault="00123B4A" w:rsidP="00123B4A">
            <w:pPr>
              <w:pStyle w:val="Table"/>
            </w:pPr>
            <w:r>
              <w:t>Da</w:t>
            </w:r>
          </w:p>
        </w:tc>
        <w:tc>
          <w:tcPr>
            <w:tcW w:w="1771" w:type="dxa"/>
          </w:tcPr>
          <w:p w:rsidR="00010EC0" w:rsidRDefault="00123B4A" w:rsidP="00123B4A">
            <w:pPr>
              <w:pStyle w:val="Table"/>
            </w:pPr>
            <w:r>
              <w:t>Da</w:t>
            </w:r>
          </w:p>
        </w:tc>
        <w:tc>
          <w:tcPr>
            <w:tcW w:w="1905" w:type="dxa"/>
          </w:tcPr>
          <w:p w:rsidR="00010EC0" w:rsidRDefault="00123B4A" w:rsidP="00123B4A">
            <w:pPr>
              <w:pStyle w:val="Table"/>
            </w:pPr>
            <w:r>
              <w:t xml:space="preserve">Moguće </w:t>
            </w:r>
          </w:p>
        </w:tc>
        <w:tc>
          <w:tcPr>
            <w:tcW w:w="1890" w:type="dxa"/>
          </w:tcPr>
          <w:p w:rsidR="00010EC0" w:rsidRDefault="00123B4A" w:rsidP="00123B4A">
            <w:pPr>
              <w:pStyle w:val="Table"/>
            </w:pPr>
            <w:r>
              <w:t xml:space="preserve">Moguće </w:t>
            </w:r>
          </w:p>
        </w:tc>
      </w:tr>
      <w:tr w:rsidR="001941D2" w:rsidTr="00555A20">
        <w:tc>
          <w:tcPr>
            <w:tcW w:w="2473" w:type="dxa"/>
          </w:tcPr>
          <w:p w:rsidR="00C27835" w:rsidRDefault="00123B4A" w:rsidP="00123B4A">
            <w:pPr>
              <w:pStyle w:val="Table"/>
              <w:rPr>
                <w:b/>
              </w:rPr>
            </w:pPr>
            <w:r>
              <w:rPr>
                <w:b/>
              </w:rPr>
              <w:t xml:space="preserve">Opseg istraživanja </w:t>
            </w:r>
          </w:p>
        </w:tc>
        <w:tc>
          <w:tcPr>
            <w:tcW w:w="1771" w:type="dxa"/>
          </w:tcPr>
          <w:p w:rsidR="00C27835" w:rsidRDefault="00123B4A" w:rsidP="00DA0153">
            <w:pPr>
              <w:pStyle w:val="Table"/>
            </w:pPr>
            <w:r>
              <w:t xml:space="preserve">Sve oblasti rada ministarstva </w:t>
            </w:r>
          </w:p>
        </w:tc>
        <w:tc>
          <w:tcPr>
            <w:tcW w:w="1771" w:type="dxa"/>
          </w:tcPr>
          <w:p w:rsidR="00DA0153" w:rsidRDefault="00DA0153" w:rsidP="008A1E61">
            <w:pPr>
              <w:pStyle w:val="Table"/>
            </w:pPr>
            <w:r>
              <w:t xml:space="preserve">Finansijski izveštaji </w:t>
            </w:r>
          </w:p>
          <w:p w:rsidR="005352F2" w:rsidRDefault="00DA0153" w:rsidP="008A1E61">
            <w:pPr>
              <w:pStyle w:val="Table"/>
            </w:pPr>
            <w:r>
              <w:t>Implementacija politika</w:t>
            </w:r>
          </w:p>
        </w:tc>
        <w:tc>
          <w:tcPr>
            <w:tcW w:w="1905" w:type="dxa"/>
          </w:tcPr>
          <w:p w:rsidR="00C27835" w:rsidRDefault="00D42BC0" w:rsidP="00C27835">
            <w:pPr>
              <w:pStyle w:val="Table"/>
            </w:pPr>
            <w:r>
              <w:t xml:space="preserve">Sve finansijske transakcije i finansije koje se odnose na procese </w:t>
            </w:r>
          </w:p>
        </w:tc>
        <w:tc>
          <w:tcPr>
            <w:tcW w:w="1890" w:type="dxa"/>
          </w:tcPr>
          <w:p w:rsidR="00C27835" w:rsidRDefault="00D42BC0" w:rsidP="00C27835">
            <w:pPr>
              <w:pStyle w:val="Table"/>
            </w:pPr>
            <w:r>
              <w:t>Sve finansijske transakcije i finansije koje se odnose na procese</w:t>
            </w:r>
          </w:p>
        </w:tc>
      </w:tr>
      <w:tr w:rsidR="001941D2" w:rsidTr="00555A20">
        <w:tc>
          <w:tcPr>
            <w:tcW w:w="2473" w:type="dxa"/>
          </w:tcPr>
          <w:p w:rsidR="00010EC0" w:rsidRDefault="00D42BC0" w:rsidP="00D42BC0">
            <w:pPr>
              <w:pStyle w:val="Table"/>
              <w:rPr>
                <w:b/>
              </w:rPr>
            </w:pPr>
            <w:r>
              <w:rPr>
                <w:b/>
              </w:rPr>
              <w:t xml:space="preserve">Pokrivenost </w:t>
            </w:r>
          </w:p>
        </w:tc>
        <w:tc>
          <w:tcPr>
            <w:tcW w:w="1771" w:type="dxa"/>
          </w:tcPr>
          <w:p w:rsidR="00010EC0" w:rsidRDefault="003427D7" w:rsidP="003427D7">
            <w:pPr>
              <w:pStyle w:val="Table"/>
            </w:pPr>
            <w:r>
              <w:t xml:space="preserve">Ciklično, u skladu sa strategijom interne revizije </w:t>
            </w:r>
          </w:p>
        </w:tc>
        <w:tc>
          <w:tcPr>
            <w:tcW w:w="1771" w:type="dxa"/>
          </w:tcPr>
          <w:p w:rsidR="001941D2" w:rsidRDefault="001941D2" w:rsidP="008A1E61">
            <w:pPr>
              <w:pStyle w:val="Table"/>
            </w:pPr>
            <w:r>
              <w:t xml:space="preserve">Godišnje revizorsko mišljenje o finansijskim izveštajima </w:t>
            </w:r>
          </w:p>
          <w:p w:rsidR="00010EC0" w:rsidRDefault="001941D2" w:rsidP="001941D2">
            <w:pPr>
              <w:pStyle w:val="Table"/>
            </w:pPr>
            <w:r>
              <w:t xml:space="preserve">Revizija ciklične učinkovitosti </w:t>
            </w:r>
          </w:p>
        </w:tc>
        <w:tc>
          <w:tcPr>
            <w:tcW w:w="1905" w:type="dxa"/>
          </w:tcPr>
          <w:p w:rsidR="00010EC0" w:rsidRDefault="001941D2" w:rsidP="001941D2">
            <w:pPr>
              <w:pStyle w:val="Table"/>
            </w:pPr>
            <w:r>
              <w:t xml:space="preserve">Ciklično </w:t>
            </w:r>
            <w:r w:rsidR="00010EC0">
              <w:t xml:space="preserve">– </w:t>
            </w:r>
            <w:r>
              <w:t xml:space="preserve">cilj je da se kontrolišu svi budžetski korisnici tokom niza godina </w:t>
            </w:r>
          </w:p>
        </w:tc>
        <w:tc>
          <w:tcPr>
            <w:tcW w:w="1890" w:type="dxa"/>
          </w:tcPr>
          <w:p w:rsidR="00010EC0" w:rsidRDefault="001941D2" w:rsidP="00C27835">
            <w:pPr>
              <w:pStyle w:val="Table"/>
            </w:pPr>
            <w:r>
              <w:t>Ciklično – cilj je da se kontrolišu svi budžetski korisnici tokom niza godina</w:t>
            </w:r>
          </w:p>
        </w:tc>
      </w:tr>
      <w:tr w:rsidR="001941D2" w:rsidTr="00555A20">
        <w:tc>
          <w:tcPr>
            <w:tcW w:w="2473" w:type="dxa"/>
          </w:tcPr>
          <w:p w:rsidR="00010EC0" w:rsidRDefault="001941D2" w:rsidP="001941D2">
            <w:pPr>
              <w:pStyle w:val="Table"/>
              <w:rPr>
                <w:b/>
              </w:rPr>
            </w:pPr>
            <w:r>
              <w:rPr>
                <w:b/>
              </w:rPr>
              <w:t xml:space="preserve">Pristup </w:t>
            </w:r>
          </w:p>
        </w:tc>
        <w:tc>
          <w:tcPr>
            <w:tcW w:w="1771" w:type="dxa"/>
          </w:tcPr>
          <w:p w:rsidR="00010EC0" w:rsidRDefault="00F307E8" w:rsidP="00F307E8">
            <w:pPr>
              <w:pStyle w:val="Table"/>
            </w:pPr>
            <w:r>
              <w:t xml:space="preserve">Sistemske analize Usaglašenost sa propisima  Revizija učinaka </w:t>
            </w:r>
          </w:p>
        </w:tc>
        <w:tc>
          <w:tcPr>
            <w:tcW w:w="1771" w:type="dxa"/>
          </w:tcPr>
          <w:p w:rsidR="00010EC0" w:rsidRDefault="00010EC0" w:rsidP="00F307E8">
            <w:pPr>
              <w:pStyle w:val="Table"/>
            </w:pPr>
            <w:r>
              <w:t>Finan</w:t>
            </w:r>
            <w:r w:rsidR="00F307E8">
              <w:t xml:space="preserve">sijska revizija </w:t>
            </w:r>
            <w:r>
              <w:br/>
            </w:r>
            <w:r w:rsidR="00F307E8">
              <w:t xml:space="preserve">Revizija pravilnosti Revizija učinkovitosti  </w:t>
            </w:r>
          </w:p>
        </w:tc>
        <w:tc>
          <w:tcPr>
            <w:tcW w:w="1905" w:type="dxa"/>
          </w:tcPr>
          <w:p w:rsidR="00010EC0" w:rsidRDefault="00F307E8" w:rsidP="00010EC0">
            <w:pPr>
              <w:pStyle w:val="Table"/>
            </w:pPr>
            <w:r>
              <w:t xml:space="preserve">Analiza usaglašenosti sa propisima </w:t>
            </w:r>
          </w:p>
        </w:tc>
        <w:tc>
          <w:tcPr>
            <w:tcW w:w="1890" w:type="dxa"/>
          </w:tcPr>
          <w:p w:rsidR="00010EC0" w:rsidRDefault="00F307E8" w:rsidP="00F307E8">
            <w:pPr>
              <w:pStyle w:val="Table"/>
            </w:pPr>
            <w:r>
              <w:t xml:space="preserve">Analiza usaglašenosti sa propisima </w:t>
            </w:r>
          </w:p>
        </w:tc>
      </w:tr>
      <w:tr w:rsidR="001941D2" w:rsidTr="00555A20">
        <w:tc>
          <w:tcPr>
            <w:tcW w:w="2473" w:type="dxa"/>
          </w:tcPr>
          <w:p w:rsidR="001428B3" w:rsidRDefault="00397D01" w:rsidP="001428B3">
            <w:pPr>
              <w:pStyle w:val="Table"/>
              <w:rPr>
                <w:b/>
              </w:rPr>
            </w:pPr>
            <w:r>
              <w:rPr>
                <w:b/>
              </w:rPr>
              <w:t xml:space="preserve">Svrha svake analize internih kontrola </w:t>
            </w:r>
          </w:p>
        </w:tc>
        <w:tc>
          <w:tcPr>
            <w:tcW w:w="1771" w:type="dxa"/>
          </w:tcPr>
          <w:p w:rsidR="001428B3" w:rsidRDefault="00273843" w:rsidP="008A1E61">
            <w:pPr>
              <w:pStyle w:val="Table"/>
            </w:pPr>
            <w:r>
              <w:t>Pružanje osiguranja rukovodstvu u vezi delotvornosti kontrola</w:t>
            </w:r>
          </w:p>
        </w:tc>
        <w:tc>
          <w:tcPr>
            <w:tcW w:w="1771" w:type="dxa"/>
          </w:tcPr>
          <w:p w:rsidR="001428B3" w:rsidRDefault="00273843" w:rsidP="00010EC0">
            <w:pPr>
              <w:pStyle w:val="Table"/>
            </w:pPr>
            <w:r>
              <w:t xml:space="preserve">Utvrđivanje toga da li kontrole funkcionišu na delotvoran način kako bi se umanjilo direktno testiranje od strane vrhovne revizorske institucije </w:t>
            </w:r>
          </w:p>
        </w:tc>
        <w:tc>
          <w:tcPr>
            <w:tcW w:w="1905" w:type="dxa"/>
          </w:tcPr>
          <w:p w:rsidR="001428B3" w:rsidRDefault="00273843" w:rsidP="00010EC0">
            <w:pPr>
              <w:pStyle w:val="Table"/>
            </w:pPr>
            <w:r>
              <w:t xml:space="preserve">Identifikovanje oblasti neusaglašenosti i kršenja propisa </w:t>
            </w:r>
          </w:p>
        </w:tc>
        <w:tc>
          <w:tcPr>
            <w:tcW w:w="1890" w:type="dxa"/>
          </w:tcPr>
          <w:p w:rsidR="001428B3" w:rsidRDefault="00273843" w:rsidP="008A1E61">
            <w:pPr>
              <w:pStyle w:val="Table"/>
            </w:pPr>
            <w:r>
              <w:t>Identifikovanje oblasti neusaglašenosti i kršenja propisa</w:t>
            </w:r>
          </w:p>
        </w:tc>
      </w:tr>
      <w:tr w:rsidR="001941D2" w:rsidTr="00555A20">
        <w:tc>
          <w:tcPr>
            <w:tcW w:w="2473" w:type="dxa"/>
          </w:tcPr>
          <w:p w:rsidR="00DB57AE" w:rsidRDefault="00273843" w:rsidP="001428B3">
            <w:pPr>
              <w:pStyle w:val="Table"/>
              <w:rPr>
                <w:b/>
              </w:rPr>
            </w:pPr>
            <w:r>
              <w:rPr>
                <w:b/>
              </w:rPr>
              <w:t xml:space="preserve">Uloga u vezi sa prevarom i korupcijom </w:t>
            </w:r>
          </w:p>
        </w:tc>
        <w:tc>
          <w:tcPr>
            <w:tcW w:w="1771" w:type="dxa"/>
          </w:tcPr>
          <w:p w:rsidR="00D57575" w:rsidRDefault="00D57575" w:rsidP="00DB57AE">
            <w:pPr>
              <w:pStyle w:val="Table"/>
            </w:pPr>
            <w:r>
              <w:t xml:space="preserve">Može identifikovati oblasti moguće prevare i korupcije iz revizorskog rada. </w:t>
            </w:r>
          </w:p>
          <w:p w:rsidR="00DB57AE" w:rsidRDefault="00D57575" w:rsidP="00DB57AE">
            <w:pPr>
              <w:pStyle w:val="Table"/>
            </w:pPr>
            <w:r>
              <w:t xml:space="preserve">Takođe može sprovoditi revizije u oblastima visokog rizika na prevaru i korupciju </w:t>
            </w:r>
          </w:p>
        </w:tc>
        <w:tc>
          <w:tcPr>
            <w:tcW w:w="1771" w:type="dxa"/>
          </w:tcPr>
          <w:p w:rsidR="00D57575" w:rsidRDefault="00D57575" w:rsidP="00DB57AE">
            <w:pPr>
              <w:pStyle w:val="Table"/>
            </w:pPr>
            <w:r>
              <w:t xml:space="preserve">Može identifikovati oblasti moguće prevare i korupcije iz drugog revizorskog rada </w:t>
            </w:r>
          </w:p>
          <w:p w:rsidR="00DB57AE" w:rsidRDefault="00DB57AE" w:rsidP="00DB57AE">
            <w:pPr>
              <w:pStyle w:val="Table"/>
            </w:pPr>
          </w:p>
        </w:tc>
        <w:tc>
          <w:tcPr>
            <w:tcW w:w="1905" w:type="dxa"/>
          </w:tcPr>
          <w:p w:rsidR="00DB57AE" w:rsidRDefault="00D57575" w:rsidP="00D57575">
            <w:pPr>
              <w:pStyle w:val="Table"/>
            </w:pPr>
            <w:r>
              <w:t xml:space="preserve">Može identifikovati oblasti moguće prevare i korupcije iz drugih kontrolnih aktivnosti </w:t>
            </w:r>
          </w:p>
        </w:tc>
        <w:tc>
          <w:tcPr>
            <w:tcW w:w="1890" w:type="dxa"/>
          </w:tcPr>
          <w:p w:rsidR="00535458" w:rsidRDefault="00DB57AE" w:rsidP="008A1E61">
            <w:pPr>
              <w:pStyle w:val="Table"/>
            </w:pPr>
            <w:r>
              <w:t>In</w:t>
            </w:r>
            <w:r w:rsidR="00C22801">
              <w:t>s</w:t>
            </w:r>
            <w:r>
              <w:t>pe</w:t>
            </w:r>
            <w:r w:rsidR="00D57575">
              <w:t xml:space="preserve">kcija može da bude planirana kako bi istražila oblasti visokog rizika na prevaru i korupciju. </w:t>
            </w:r>
          </w:p>
          <w:p w:rsidR="00DB57AE" w:rsidRDefault="00535458" w:rsidP="008A1E61">
            <w:pPr>
              <w:pStyle w:val="Table"/>
            </w:pPr>
            <w:r>
              <w:t>M</w:t>
            </w:r>
            <w:r w:rsidR="00D57575">
              <w:t>ože identifikovati oblasti mogućih oblasti prevara i korupcije iz drugih kontrolnih aktivnosti</w:t>
            </w:r>
          </w:p>
        </w:tc>
      </w:tr>
    </w:tbl>
    <w:p w:rsidR="00686A0C" w:rsidRDefault="00686A0C" w:rsidP="00B1000A">
      <w:pPr>
        <w:pStyle w:val="numberedparas"/>
      </w:pPr>
      <w:r>
        <w:t>Tab</w:t>
      </w:r>
      <w:r w:rsidR="006752F6">
        <w:t>e</w:t>
      </w:r>
      <w:r>
        <w:t>l</w:t>
      </w:r>
      <w:r w:rsidR="006752F6">
        <w:t xml:space="preserve">a 1 prikazuje da će se opseg za saradnju između interne revizije/finansijske inspekcije i vrhovne revizorske institucije razlikovati za </w:t>
      </w:r>
      <w:r w:rsidR="006752F6">
        <w:lastRenderedPageBreak/>
        <w:t xml:space="preserve">vrhovne revizorske institucije koje funkcionišu kao institucije eksterne revizije i eksterne kontrole.  </w:t>
      </w:r>
      <w:r w:rsidR="00BF6793">
        <w:t xml:space="preserve"> </w:t>
      </w:r>
    </w:p>
    <w:p w:rsidR="00251E6C" w:rsidRPr="00B1000A" w:rsidRDefault="00B1000A" w:rsidP="00B1000A">
      <w:pPr>
        <w:pStyle w:val="numberedparas"/>
        <w:numPr>
          <w:ilvl w:val="0"/>
          <w:numId w:val="0"/>
        </w:numPr>
        <w:ind w:left="657"/>
        <w:rPr>
          <w:color w:val="1F497D" w:themeColor="text2"/>
        </w:rPr>
      </w:pPr>
      <w:r w:rsidRPr="00251E6C">
        <w:t>[</w:t>
      </w:r>
      <w:r w:rsidR="001D4D76">
        <w:t>Tabela 1 je z</w:t>
      </w:r>
      <w:r>
        <w:t>a razmatranje i dalju analizu tokom održavanja narednog sastanka u Astani</w:t>
      </w:r>
      <w:r w:rsidRPr="00251E6C">
        <w:t>.]</w:t>
      </w:r>
    </w:p>
    <w:p w:rsidR="00515EBF" w:rsidRDefault="00161A73" w:rsidP="00515EBF">
      <w:pPr>
        <w:pStyle w:val="Heading2"/>
      </w:pPr>
      <w:r>
        <w:t xml:space="preserve">Glavne oblasti potencijalnog preklapanja </w:t>
      </w:r>
    </w:p>
    <w:p w:rsidR="001428B3" w:rsidRDefault="00983D14" w:rsidP="00161A73">
      <w:pPr>
        <w:pStyle w:val="numberedparas"/>
      </w:pPr>
      <w:r>
        <w:t>Tab</w:t>
      </w:r>
      <w:r w:rsidR="00161A73">
        <w:t>e</w:t>
      </w:r>
      <w:r>
        <w:t>l</w:t>
      </w:r>
      <w:r w:rsidR="00161A73">
        <w:t xml:space="preserve">a 1 prikazuje da postoji potencijal za preklapanje u radu širom tri različite institucije. Ključne oblasti mogućeg preklapanja su: </w:t>
      </w:r>
    </w:p>
    <w:p w:rsidR="00161A73" w:rsidRPr="00161A73" w:rsidRDefault="00161A73" w:rsidP="001428B3">
      <w:pPr>
        <w:pStyle w:val="ListBullet"/>
      </w:pPr>
      <w:r>
        <w:rPr>
          <w:u w:val="single"/>
        </w:rPr>
        <w:t xml:space="preserve">Revizija ili kontrola jedne institucije od strane tri posebna subjekta zbog ciklične pokrivenosti kontrola i revizorskih aktivnosti. </w:t>
      </w:r>
      <w:r>
        <w:t>Posebni budžetski korisnik može da bude kontrolisan od strane finansijske inspekci</w:t>
      </w:r>
      <w:r w:rsidR="006E3FB8">
        <w:t>j</w:t>
      </w:r>
      <w:r>
        <w:t xml:space="preserve">e i vrhovne revizorske institucije (eksterna kontrola) i revidiran od strane interne revizije i vrhovne revizorske institucije (eksterna revizija). </w:t>
      </w:r>
    </w:p>
    <w:p w:rsidR="00DB57AE" w:rsidRPr="00DB57AE" w:rsidRDefault="006E3FB8" w:rsidP="00D12B92">
      <w:pPr>
        <w:pStyle w:val="ListBullet"/>
      </w:pPr>
      <w:r>
        <w:rPr>
          <w:u w:val="single"/>
        </w:rPr>
        <w:t xml:space="preserve">Analiza istovetnih finansijskih transakcija od strane različitih subjekata. </w:t>
      </w:r>
      <w:r>
        <w:t xml:space="preserve">Finansijske transakcije mogu biti predmet vršenja kako kontrole, tako i revizije. Takođe je moguće da različite kontrolne institucije dođu do različitih nalaza u vezi toga da li prekršaji postoje ili ne. </w:t>
      </w:r>
      <w:r w:rsidR="00A11757">
        <w:t xml:space="preserve"> </w:t>
      </w:r>
      <w:r w:rsidR="00A11757" w:rsidRPr="00D12B92">
        <w:rPr>
          <w:u w:val="single"/>
        </w:rPr>
        <w:t xml:space="preserve"> </w:t>
      </w:r>
    </w:p>
    <w:p w:rsidR="008A1E61" w:rsidRDefault="00AF14AB" w:rsidP="00B62295">
      <w:pPr>
        <w:pStyle w:val="ListBullet"/>
      </w:pPr>
      <w:r>
        <w:rPr>
          <w:u w:val="single"/>
        </w:rPr>
        <w:t>Sve institucije mogu identifikovati slučajeve potencijalne prevare i korupcije.</w:t>
      </w:r>
      <w:r w:rsidRPr="0086219F">
        <w:t xml:space="preserve"> </w:t>
      </w:r>
      <w:r w:rsidRPr="00AF14AB">
        <w:t>Glavna razlika je da interna revizija, kao i</w:t>
      </w:r>
      <w:r>
        <w:t xml:space="preserve"> finansijska inspekcija mogu fokusirati svoja istraživanja na</w:t>
      </w:r>
      <w:r w:rsidR="0086219F">
        <w:t xml:space="preserve"> </w:t>
      </w:r>
      <w:r>
        <w:t>oblasti visokog rizika na prevaru i korupciju. Interna revizija se može fokusirati na delotvornost sistema interne kontrole koje se bore protiv prevara i koripcije, dok finansijska inspekcija se može fokusirati na identifikovanje stvarnih slu</w:t>
      </w:r>
      <w:r w:rsidR="0086219F">
        <w:t>č</w:t>
      </w:r>
      <w:r>
        <w:t xml:space="preserve">ajeva prevara i korupcije. </w:t>
      </w:r>
      <w:r w:rsidR="001F70F3">
        <w:t xml:space="preserve">Vrhovna revizorska institucija i interna revizija takođe mogu da identifikuju slučajeve prevere i korupcije tokom obavljanja drugih aktivnosti (tj., revizija ili kontrola koje nisu usmerene na utvrđivanje prevare i korupcije). Ni jedna od ovih institucija nije odgovorna za stvarno gonjenje po optužbi po slučajevima prevare i korupcije, već </w:t>
      </w:r>
      <w:r w:rsidR="00B62295">
        <w:t>je isto</w:t>
      </w:r>
      <w:r w:rsidR="001F70F3">
        <w:t xml:space="preserve"> zapravo prosleđen</w:t>
      </w:r>
      <w:r w:rsidR="00B62295">
        <w:t>o</w:t>
      </w:r>
      <w:r w:rsidR="001F70F3">
        <w:t xml:space="preserve"> d</w:t>
      </w:r>
      <w:r w:rsidR="00607754">
        <w:t>r</w:t>
      </w:r>
      <w:r w:rsidR="001F70F3">
        <w:t xml:space="preserve">ugoj instituciji.    </w:t>
      </w:r>
      <w:r w:rsidR="00C22801">
        <w:t xml:space="preserve"> </w:t>
      </w:r>
    </w:p>
    <w:p w:rsidR="00535458" w:rsidRDefault="00B62295" w:rsidP="00B62295">
      <w:pPr>
        <w:pStyle w:val="ListBullet"/>
      </w:pPr>
      <w:r>
        <w:rPr>
          <w:u w:val="single"/>
        </w:rPr>
        <w:t>Ispitivanje sistema interne kontrole.</w:t>
      </w:r>
      <w:r w:rsidRPr="00B62295">
        <w:t xml:space="preserve"> </w:t>
      </w:r>
      <w:r>
        <w:t xml:space="preserve">Sve institucije mogu da isptuju aspekte interne kontrole. Ali su ciljevi svake od njih različiti. </w:t>
      </w:r>
      <w:r w:rsidR="00535458">
        <w:t xml:space="preserve"> </w:t>
      </w:r>
    </w:p>
    <w:p w:rsidR="00F34511" w:rsidRPr="003C0764" w:rsidRDefault="00797A50" w:rsidP="003E3F9F">
      <w:pPr>
        <w:pStyle w:val="numberedparas"/>
      </w:pPr>
      <w:r>
        <w:t xml:space="preserve">Određeni nivo preklapanja je neizbežan. Ali </w:t>
      </w:r>
      <w:r w:rsidR="001B673E">
        <w:t xml:space="preserve">isti </w:t>
      </w:r>
      <w:r>
        <w:t>ne mora da uzrokuje problem</w:t>
      </w:r>
      <w:r w:rsidR="001B673E">
        <w:t>e</w:t>
      </w:r>
      <w:r>
        <w:t>. Na primer, zbog toga što je interna revizija odgovorna za obezbeđivanje osiguranja u vezi delotvornosti interne kontrole, njima će biti potrebno da pokriju sve oblasti visokog rizika kao deo svojih planiranih radnih aktivnosti. Ali vrhovna revizorska institucija</w:t>
      </w:r>
      <w:r w:rsidR="001B673E">
        <w:t xml:space="preserve"> (eksterna revizija)</w:t>
      </w:r>
      <w:r>
        <w:t xml:space="preserve"> takođe može da identifikuje istovetne oblasti visokog rizika za ispitivanje. M</w:t>
      </w:r>
      <w:r w:rsidR="001B673E">
        <w:t>e</w:t>
      </w:r>
      <w:r>
        <w:t xml:space="preserve">đutim, revizorski standardi prepoznaju ovo i pružaju eksternom revizoru prostor za </w:t>
      </w:r>
      <w:r>
        <w:lastRenderedPageBreak/>
        <w:t>oslanjanje na rad drugih</w:t>
      </w:r>
      <w:r w:rsidR="001B673E">
        <w:t xml:space="preserve"> (uključujući internog revizora) pod uslovom da je ek</w:t>
      </w:r>
      <w:r w:rsidR="00773323">
        <w:t>s</w:t>
      </w:r>
      <w:r w:rsidR="001B673E">
        <w:t xml:space="preserve">terni revizor zadovoljan </w:t>
      </w:r>
      <w:r w:rsidR="003E3F9F">
        <w:t>time da je ovaj posao urađen prema odgovarajućem standardu.</w:t>
      </w:r>
      <w:r w:rsidR="005500E6">
        <w:rPr>
          <w:rStyle w:val="FootnoteReference"/>
        </w:rPr>
        <w:footnoteReference w:id="10"/>
      </w:r>
      <w:r w:rsidR="00F34511">
        <w:t xml:space="preserve">   </w:t>
      </w:r>
    </w:p>
    <w:p w:rsidR="00C372AF" w:rsidRDefault="003E3F9F" w:rsidP="00215CDB">
      <w:pPr>
        <w:pStyle w:val="Heading2"/>
      </w:pPr>
      <w:r>
        <w:t xml:space="preserve">Koristi i rizici saradnje </w:t>
      </w:r>
    </w:p>
    <w:p w:rsidR="00C372AF" w:rsidRPr="00C372AF" w:rsidRDefault="003E3F9F" w:rsidP="00C46FD3">
      <w:pPr>
        <w:pStyle w:val="numberedparas"/>
      </w:pPr>
      <w:r>
        <w:rPr>
          <w:u w:val="single"/>
        </w:rPr>
        <w:t>Koristi.</w:t>
      </w:r>
      <w:r w:rsidRPr="003E3F9F">
        <w:t xml:space="preserve"> </w:t>
      </w:r>
      <w:r w:rsidR="00841548">
        <w:t xml:space="preserve">Na osnovu saradnje se </w:t>
      </w:r>
      <w:r w:rsidR="00C46FD3">
        <w:t xml:space="preserve">može postići </w:t>
      </w:r>
      <w:r w:rsidR="00841548">
        <w:t xml:space="preserve">veliki broj oblika koristi. </w:t>
      </w:r>
      <w:r w:rsidR="00C46FD3">
        <w:t xml:space="preserve">Oni mogu da uključuju: </w:t>
      </w:r>
      <w:r w:rsidR="00C372AF" w:rsidRPr="009A79DF">
        <w:t xml:space="preserve"> </w:t>
      </w:r>
    </w:p>
    <w:p w:rsidR="00C95B12" w:rsidRPr="00C95B12" w:rsidRDefault="00C46FD3" w:rsidP="00C95B12">
      <w:pPr>
        <w:pStyle w:val="ListBullet"/>
      </w:pPr>
      <w:r>
        <w:t xml:space="preserve">Razmenu ideja i znanja; </w:t>
      </w:r>
      <w:r w:rsidR="00C95B12" w:rsidRPr="00C95B12">
        <w:t xml:space="preserve"> </w:t>
      </w:r>
    </w:p>
    <w:p w:rsidR="00C95B12" w:rsidRPr="00C95B12" w:rsidRDefault="00C46FD3" w:rsidP="005435A2">
      <w:pPr>
        <w:pStyle w:val="ListBullet"/>
      </w:pPr>
      <w:r>
        <w:t xml:space="preserve">Jačenje njihove uzajamne sposobnosti da </w:t>
      </w:r>
      <w:r w:rsidR="00541C90">
        <w:t xml:space="preserve">se </w:t>
      </w:r>
      <w:r>
        <w:t xml:space="preserve">promovišu prakse dobrog upravljanja i odgovornosti, kao i </w:t>
      </w:r>
      <w:r w:rsidR="00541C90">
        <w:t xml:space="preserve">da se </w:t>
      </w:r>
      <w:r>
        <w:t>unapređ</w:t>
      </w:r>
      <w:r w:rsidR="00541C90">
        <w:t>uje</w:t>
      </w:r>
      <w:r>
        <w:t xml:space="preserve"> razumevanj</w:t>
      </w:r>
      <w:r w:rsidR="00541C90">
        <w:t>e</w:t>
      </w:r>
      <w:r>
        <w:t xml:space="preserve"> </w:t>
      </w:r>
      <w:r w:rsidR="005435A2">
        <w:t>kod</w:t>
      </w:r>
      <w:r>
        <w:t xml:space="preserve"> rukovodstv</w:t>
      </w:r>
      <w:r w:rsidR="005435A2">
        <w:t>a</w:t>
      </w:r>
      <w:r>
        <w:t xml:space="preserve"> o važnosti interne kontrole;  </w:t>
      </w:r>
      <w:r w:rsidR="00C95B12" w:rsidRPr="00C95B12">
        <w:t xml:space="preserve"> </w:t>
      </w:r>
    </w:p>
    <w:p w:rsidR="00C372AF" w:rsidRPr="00C372AF" w:rsidRDefault="005435A2" w:rsidP="005435A2">
      <w:pPr>
        <w:pStyle w:val="ListBullet"/>
      </w:pPr>
      <w:r>
        <w:t>Efikasnij</w:t>
      </w:r>
      <w:r w:rsidR="00541C90">
        <w:t>u</w:t>
      </w:r>
      <w:r>
        <w:t xml:space="preserve"> reviziju i inspekcij</w:t>
      </w:r>
      <w:r w:rsidR="00541C90">
        <w:t>u</w:t>
      </w:r>
      <w:r>
        <w:t xml:space="preserve"> koje su zasnovane na jasnijem razumevanju odgovarajućih revizorskih uloga i zahteva;  </w:t>
      </w:r>
    </w:p>
    <w:p w:rsidR="00C95B12" w:rsidRPr="00C95B12" w:rsidRDefault="005435A2" w:rsidP="00C95B12">
      <w:pPr>
        <w:pStyle w:val="ListBullet"/>
      </w:pPr>
      <w:r>
        <w:t xml:space="preserve">Minimiziranje prekida </w:t>
      </w:r>
      <w:r w:rsidR="00541C90">
        <w:t xml:space="preserve">aktivnosti </w:t>
      </w:r>
      <w:r>
        <w:t>kod subjekta nad kojim se obavlja revizija;</w:t>
      </w:r>
      <w:r w:rsidR="00C95B12" w:rsidRPr="00C95B12">
        <w:t xml:space="preserve"> </w:t>
      </w:r>
    </w:p>
    <w:p w:rsidR="00C372AF" w:rsidRPr="00C372AF" w:rsidRDefault="005435A2" w:rsidP="00234CA3">
      <w:pPr>
        <w:pStyle w:val="ListBullet"/>
      </w:pPr>
      <w:r>
        <w:t xml:space="preserve">Informisaniji dijalog o rizicima sa kojima se </w:t>
      </w:r>
      <w:r w:rsidR="00234CA3">
        <w:t>određena organizacija susreće, a koji v</w:t>
      </w:r>
      <w:r>
        <w:t>od</w:t>
      </w:r>
      <w:r w:rsidR="00234CA3">
        <w:t>i</w:t>
      </w:r>
      <w:r>
        <w:t xml:space="preserve"> ka efikasnijem fokusiranju na revizorski i inspekcijski </w:t>
      </w:r>
      <w:r w:rsidR="00234CA3">
        <w:t xml:space="preserve">uloženi </w:t>
      </w:r>
      <w:r>
        <w:t>napor</w:t>
      </w:r>
      <w:r w:rsidR="00234CA3">
        <w:t xml:space="preserve">, kao i ka korisnijem davanju saveta rukovodstvu; </w:t>
      </w:r>
    </w:p>
    <w:p w:rsidR="00C95B12" w:rsidRPr="00C95B12" w:rsidRDefault="00234CA3" w:rsidP="00234CA3">
      <w:pPr>
        <w:pStyle w:val="ListBullet"/>
      </w:pPr>
      <w:r>
        <w:t xml:space="preserve">Bolje koordinisanu aktivnost revizije i inspekcije zasnovanu na zajedničkom planiranju i komunikaciji potreba kojima se maksimizira revizorska pokrivenost zasnovana na procenama rizika i identifikovanim značajnim rizicima;  </w:t>
      </w:r>
      <w:r w:rsidR="00C95B12" w:rsidRPr="00C95B12">
        <w:t xml:space="preserve"> </w:t>
      </w:r>
    </w:p>
    <w:p w:rsidR="00234CA3" w:rsidRDefault="00234CA3" w:rsidP="00C372AF">
      <w:pPr>
        <w:pStyle w:val="ListBullet"/>
      </w:pPr>
      <w:r>
        <w:t xml:space="preserve">Bolje razumevanje od strane svih strana u vezi rezultata koji proističu iz rada drugih, a koji mogu informisati odgovarajuće buduće radne planove i programe; </w:t>
      </w:r>
    </w:p>
    <w:p w:rsidR="00C372AF" w:rsidRDefault="00E5381E" w:rsidP="00E5381E">
      <w:pPr>
        <w:pStyle w:val="ListBullet"/>
      </w:pPr>
      <w:r>
        <w:t xml:space="preserve">Uvećan opseg korišćenja rada drugih strana. </w:t>
      </w:r>
      <w:r w:rsidR="00C372AF">
        <w:t xml:space="preserve"> </w:t>
      </w:r>
    </w:p>
    <w:p w:rsidR="00C95B12" w:rsidRPr="00C95B12" w:rsidRDefault="009A79DF" w:rsidP="00E5381E">
      <w:pPr>
        <w:pStyle w:val="numberedparas"/>
      </w:pPr>
      <w:r w:rsidRPr="009A79DF">
        <w:rPr>
          <w:u w:val="single"/>
        </w:rPr>
        <w:t>Ri</w:t>
      </w:r>
      <w:r w:rsidR="00E5381E">
        <w:rPr>
          <w:u w:val="single"/>
        </w:rPr>
        <w:t>zici.</w:t>
      </w:r>
      <w:r>
        <w:t xml:space="preserve"> </w:t>
      </w:r>
      <w:r w:rsidR="00E5381E">
        <w:t xml:space="preserve">Saradnja ne dolazi bez </w:t>
      </w:r>
      <w:r w:rsidR="006B090F">
        <w:t xml:space="preserve">rizika. </w:t>
      </w:r>
      <w:r w:rsidR="00E5381E">
        <w:t>Određeni rizici u procesima koordinacije i saradnje su inherentni (nasleđuju se), a koj</w:t>
      </w:r>
      <w:r w:rsidR="006B090F">
        <w:t>e treba kontrolisati</w:t>
      </w:r>
      <w:r w:rsidR="00E5381E">
        <w:t>. Na primer:</w:t>
      </w:r>
      <w:r w:rsidR="00C95B12" w:rsidRPr="00C95B12">
        <w:t xml:space="preserve"> </w:t>
      </w:r>
    </w:p>
    <w:p w:rsidR="00C95B12" w:rsidRPr="00C95B12" w:rsidRDefault="00E5381E" w:rsidP="00E5381E">
      <w:pPr>
        <w:pStyle w:val="ListBullet"/>
      </w:pPr>
      <w:r>
        <w:t>Moguć</w:t>
      </w:r>
      <w:r w:rsidR="000B37EA">
        <w:t xml:space="preserve">e narušavanje </w:t>
      </w:r>
      <w:r>
        <w:t>pov</w:t>
      </w:r>
      <w:r w:rsidR="007F4F19">
        <w:t>e</w:t>
      </w:r>
      <w:r>
        <w:t xml:space="preserve">rljivosti, nezavisnosti i objektivnosti; </w:t>
      </w:r>
      <w:r w:rsidR="00C95B12" w:rsidRPr="00C95B12">
        <w:t xml:space="preserve"> </w:t>
      </w:r>
    </w:p>
    <w:p w:rsidR="00E5381E" w:rsidRDefault="00E5381E" w:rsidP="00C95B12">
      <w:pPr>
        <w:pStyle w:val="ListBullet"/>
      </w:pPr>
      <w:r>
        <w:t xml:space="preserve">Mogući sukobi interesa </w:t>
      </w:r>
      <w:r w:rsidR="00E4787F">
        <w:t xml:space="preserve">između </w:t>
      </w:r>
      <w:r>
        <w:t xml:space="preserve">tri uključene strane;  </w:t>
      </w:r>
    </w:p>
    <w:p w:rsidR="00C95B12" w:rsidRPr="00C95B12" w:rsidRDefault="00E5381E" w:rsidP="00C95B12">
      <w:pPr>
        <w:pStyle w:val="ListBullet"/>
      </w:pPr>
      <w:r>
        <w:lastRenderedPageBreak/>
        <w:t>Razblaživanje</w:t>
      </w:r>
      <w:r w:rsidR="00F70C68">
        <w:t>/umanjivanje</w:t>
      </w:r>
      <w:r>
        <w:t xml:space="preserve"> odgovornosti; </w:t>
      </w:r>
      <w:r w:rsidR="00C95B12" w:rsidRPr="00C95B12">
        <w:t xml:space="preserve"> </w:t>
      </w:r>
    </w:p>
    <w:p w:rsidR="00C95B12" w:rsidRPr="00C95B12" w:rsidRDefault="00C95B12" w:rsidP="0055453E">
      <w:pPr>
        <w:pStyle w:val="ListBullet"/>
      </w:pPr>
      <w:r w:rsidRPr="00C95B12">
        <w:t>U</w:t>
      </w:r>
      <w:r w:rsidR="00E5381E">
        <w:t>potreba različitih profesionalnih standarda</w:t>
      </w:r>
      <w:r w:rsidR="0055453E">
        <w:t>,</w:t>
      </w:r>
      <w:r w:rsidR="00E5381E">
        <w:t xml:space="preserve"> ili nedostatak standarda koji se odnose na </w:t>
      </w:r>
      <w:r w:rsidR="0055453E">
        <w:t xml:space="preserve">sprovedene aktivnosti; </w:t>
      </w:r>
      <w:r w:rsidRPr="00C95B12">
        <w:t xml:space="preserve"> </w:t>
      </w:r>
    </w:p>
    <w:p w:rsidR="004022F7" w:rsidRDefault="004022F7" w:rsidP="00496332">
      <w:pPr>
        <w:pStyle w:val="ListBullet"/>
      </w:pPr>
      <w:r>
        <w:t xml:space="preserve">Pogrešno tumačenje zaključaka prilikom korišćenja rada drugih strana; </w:t>
      </w:r>
    </w:p>
    <w:p w:rsidR="00496332" w:rsidRPr="00C95B12" w:rsidRDefault="004022F7" w:rsidP="00496332">
      <w:pPr>
        <w:pStyle w:val="ListBullet"/>
      </w:pPr>
      <w:r>
        <w:t>Moguće razlike u zaključcima ili mišljenjima po predmetu u pitanju</w:t>
      </w:r>
      <w:r w:rsidR="00496332" w:rsidRPr="00C95B12">
        <w:t xml:space="preserve">; </w:t>
      </w:r>
    </w:p>
    <w:p w:rsidR="00C95B12" w:rsidRPr="00C95B12" w:rsidRDefault="004022F7" w:rsidP="004022F7">
      <w:pPr>
        <w:pStyle w:val="ListBullet"/>
      </w:pPr>
      <w:r>
        <w:t xml:space="preserve">Mogućnost da potencijalni nalazi druge organizacije mogu prerano biti saopšteni određenoj </w:t>
      </w:r>
      <w:r w:rsidR="00456E8A">
        <w:t>spoljnoj</w:t>
      </w:r>
      <w:r>
        <w:t xml:space="preserve"> stran</w:t>
      </w:r>
      <w:r w:rsidR="00456E8A">
        <w:t>i</w:t>
      </w:r>
      <w:r>
        <w:t xml:space="preserve"> u predmetu</w:t>
      </w:r>
      <w:r w:rsidR="00496332" w:rsidRPr="00C95B12">
        <w:t>;</w:t>
      </w:r>
      <w:r>
        <w:t xml:space="preserve"> i</w:t>
      </w:r>
      <w:r w:rsidR="00496332" w:rsidRPr="00C95B12">
        <w:t xml:space="preserve"> </w:t>
      </w:r>
      <w:r w:rsidR="00C95B12" w:rsidRPr="00C95B12">
        <w:t xml:space="preserve"> </w:t>
      </w:r>
    </w:p>
    <w:p w:rsidR="00C372AF" w:rsidRPr="00C372AF" w:rsidRDefault="004022F7" w:rsidP="004022F7">
      <w:pPr>
        <w:pStyle w:val="numberedparas"/>
      </w:pPr>
      <w:r>
        <w:t xml:space="preserve">Opšte gledano, rizici mogu biti niži za institucije koje sprovode slične vrste aktivnosti. Na primer, saradnja između interne revizije i vrhovne revizorske institucije (eksterna revizija) i između finansijske inspekcije i vrhovne revizorske institucije (eksterna kontrola). </w:t>
      </w:r>
      <w:r w:rsidR="00C95B12">
        <w:t xml:space="preserve"> </w:t>
      </w:r>
    </w:p>
    <w:p w:rsidR="00CB4EE1" w:rsidRPr="00CB4EE1" w:rsidRDefault="004022F7" w:rsidP="00CB4EE1">
      <w:pPr>
        <w:pStyle w:val="Heading2"/>
      </w:pPr>
      <w:r>
        <w:t xml:space="preserve">Okvir saradnje </w:t>
      </w:r>
    </w:p>
    <w:p w:rsidR="004022F7" w:rsidRPr="004022F7" w:rsidRDefault="004022F7" w:rsidP="00CB4EE1">
      <w:pPr>
        <w:pStyle w:val="numberedparas"/>
        <w:rPr>
          <w:b/>
          <w:color w:val="1F497D" w:themeColor="text2"/>
        </w:rPr>
      </w:pPr>
      <w:r>
        <w:t xml:space="preserve">Državna revizorska institucija Velike Britanije i INTOSAI su promovisali </w:t>
      </w:r>
      <w:r w:rsidR="00D41FED">
        <w:t xml:space="preserve">princip </w:t>
      </w:r>
      <w:r>
        <w:t>4C</w:t>
      </w:r>
      <w:r w:rsidR="00D41FED">
        <w:t xml:space="preserve"> (engleska skraćenica, prim.prev.) kao osnovu saradnje između interne i eksterne revizije, a isti se mo</w:t>
      </w:r>
      <w:r w:rsidR="00FC4DEC">
        <w:t>že</w:t>
      </w:r>
      <w:r w:rsidR="00D41FED">
        <w:t xml:space="preserve"> koristiti kao okvir promovisanja saradnje između interne revizije, vrhovne revizorske institucije i finansijske inspekcije. Ta 4C su: posvećenost (</w:t>
      </w:r>
      <w:r w:rsidR="00D41FED" w:rsidRPr="00D41FED">
        <w:rPr>
          <w:b/>
        </w:rPr>
        <w:t>C</w:t>
      </w:r>
      <w:r w:rsidR="00D41FED" w:rsidRPr="00D41FED">
        <w:rPr>
          <w:i/>
        </w:rPr>
        <w:t>ommitment</w:t>
      </w:r>
      <w:r w:rsidR="00D41FED">
        <w:rPr>
          <w:i/>
        </w:rPr>
        <w:t>, eng.</w:t>
      </w:r>
      <w:r w:rsidR="00D41FED">
        <w:t>), konsultacije (</w:t>
      </w:r>
      <w:r w:rsidR="00D41FED" w:rsidRPr="00D41FED">
        <w:rPr>
          <w:b/>
          <w:i/>
        </w:rPr>
        <w:t>C</w:t>
      </w:r>
      <w:r w:rsidR="00D41FED" w:rsidRPr="00D41FED">
        <w:rPr>
          <w:i/>
        </w:rPr>
        <w:t>onsultation</w:t>
      </w:r>
      <w:r w:rsidR="00D41FED">
        <w:t>), komunikacija (</w:t>
      </w:r>
      <w:r w:rsidR="00D41FED" w:rsidRPr="00D41FED">
        <w:rPr>
          <w:b/>
          <w:i/>
        </w:rPr>
        <w:t>C</w:t>
      </w:r>
      <w:r w:rsidR="00D41FED" w:rsidRPr="00D41FED">
        <w:rPr>
          <w:i/>
        </w:rPr>
        <w:t>ommunication</w:t>
      </w:r>
      <w:r w:rsidR="00D41FED">
        <w:t>) i poverenje (</w:t>
      </w:r>
      <w:r w:rsidR="00D41FED" w:rsidRPr="00D41FED">
        <w:rPr>
          <w:b/>
          <w:i/>
        </w:rPr>
        <w:t>C</w:t>
      </w:r>
      <w:r w:rsidR="00D41FED" w:rsidRPr="00D41FED">
        <w:rPr>
          <w:i/>
        </w:rPr>
        <w:t>onfidence</w:t>
      </w:r>
      <w:r w:rsidR="00D41FED">
        <w:t>).</w:t>
      </w:r>
    </w:p>
    <w:p w:rsidR="00C406CC" w:rsidRPr="00C406CC" w:rsidRDefault="00FC4DEC" w:rsidP="004B4C15">
      <w:pPr>
        <w:pStyle w:val="ListBullet"/>
      </w:pPr>
      <w:r>
        <w:rPr>
          <w:b/>
        </w:rPr>
        <w:t>Posvećenost</w:t>
      </w:r>
      <w:r w:rsidR="00C406CC" w:rsidRPr="00C406CC">
        <w:rPr>
          <w:b/>
        </w:rPr>
        <w:t xml:space="preserve">. </w:t>
      </w:r>
      <w:r w:rsidR="00C406CC" w:rsidRPr="00C406CC">
        <w:t>Ef</w:t>
      </w:r>
      <w:r>
        <w:t xml:space="preserve">ikasna saradnja između interne revizije, </w:t>
      </w:r>
      <w:r w:rsidR="004B4C15">
        <w:t xml:space="preserve">finansijske inspekcije i </w:t>
      </w:r>
      <w:r>
        <w:t xml:space="preserve">vrhovne revizorske institucije jedino može biti postignuta ukoliko su sve strane raspoložene i posvećene razvijanju koordinisane i efikasne revizije i inspekcijskih usluga. Interna revizija/finansijska inspekcija i vrhovna revizorska institucija imaju svoje odgovorajuće uloge, nadležnosti i odgovornosti. Međutim, ove uloge se često preklapaju, a efikasna međusobna saradnja zahteva raspoloženost </w:t>
      </w:r>
      <w:r w:rsidR="004B4C15">
        <w:t xml:space="preserve">prikazanu </w:t>
      </w:r>
      <w:r>
        <w:t xml:space="preserve">od strane svih strana da rade fleksibilno kako bi osigurale da su aktivnosti adekvatno koordinisane u tim oblastima. </w:t>
      </w:r>
      <w:r w:rsidR="004B4C15">
        <w:t xml:space="preserve">Najverovatnije je da će saradnja biti najuspešnija tamo gde sve strane preuzimaju aktivnu ulogu u promovisanju iste i gde su raspoložene da sprovode promene kako bi pomogle u njenoj implementaciji. Ukratko, posvećenost je način razmišljanja. </w:t>
      </w:r>
      <w:r>
        <w:t xml:space="preserve">  </w:t>
      </w:r>
    </w:p>
    <w:p w:rsidR="004B4C15" w:rsidRDefault="004B4C15" w:rsidP="00CB4EE1">
      <w:pPr>
        <w:pStyle w:val="ListBullet"/>
      </w:pPr>
      <w:r>
        <w:rPr>
          <w:b/>
        </w:rPr>
        <w:t>Konsultacije</w:t>
      </w:r>
      <w:r w:rsidR="00DD339B">
        <w:rPr>
          <w:b/>
        </w:rPr>
        <w:t xml:space="preserve">. </w:t>
      </w:r>
      <w:r w:rsidR="00DD339B">
        <w:t>R</w:t>
      </w:r>
      <w:r w:rsidR="00CB4EE1" w:rsidRPr="001A1928">
        <w:t>e</w:t>
      </w:r>
      <w:r>
        <w:t xml:space="preserve">dovne konsultacije između tri institucije mogu da pruže osnovu za identifikovanje mogućnosti ostvarivanja korisne saradnje i mehanizama za pomaganje ostvarivanja iste. Konsultacije će obezbediti razjašnjenje po nedovoljno jasnim pitanjima i olakšaće njihove aktivnosti.  </w:t>
      </w:r>
    </w:p>
    <w:p w:rsidR="00B3241F" w:rsidRDefault="00B3241F" w:rsidP="00C406CC">
      <w:pPr>
        <w:pStyle w:val="ListBullet"/>
      </w:pPr>
      <w:r>
        <w:rPr>
          <w:b/>
        </w:rPr>
        <w:lastRenderedPageBreak/>
        <w:t>Komunikacija</w:t>
      </w:r>
      <w:r w:rsidR="00C406CC" w:rsidRPr="00C406CC">
        <w:rPr>
          <w:b/>
        </w:rPr>
        <w:t xml:space="preserve">. </w:t>
      </w:r>
      <w:r>
        <w:t>Komunikacija je dvosmerni proces. Redovn</w:t>
      </w:r>
      <w:r w:rsidR="00B148BE">
        <w:t>a</w:t>
      </w:r>
      <w:r>
        <w:t xml:space="preserve"> i otvoren</w:t>
      </w:r>
      <w:r w:rsidR="00B148BE">
        <w:t>a komunikacija</w:t>
      </w:r>
      <w:r>
        <w:t xml:space="preserve"> između tri institucije </w:t>
      </w:r>
      <w:r w:rsidR="00EE2F21">
        <w:t>je</w:t>
      </w:r>
      <w:r>
        <w:t xml:space="preserve"> esencijaln</w:t>
      </w:r>
      <w:r w:rsidR="00EE2F21">
        <w:t>a</w:t>
      </w:r>
      <w:r>
        <w:t xml:space="preserve"> za uspeh saradnje. Komunikacija koja</w:t>
      </w:r>
      <w:r w:rsidR="00EE2F21">
        <w:t xml:space="preserve"> je otvorena i transparentna </w:t>
      </w:r>
      <w:r>
        <w:t xml:space="preserve">će </w:t>
      </w:r>
      <w:r w:rsidR="00EE2F21">
        <w:t xml:space="preserve">prilikom sprovođenja revizija i inspekcija </w:t>
      </w:r>
      <w:r>
        <w:t>izgraditi poverenje između interne revizije, vrhovne revizorske institucije i finansijske inspekcije. Formalni oblici komunikacija mogu da uz</w:t>
      </w:r>
      <w:r w:rsidR="00EE2F21">
        <w:t>imaju</w:t>
      </w:r>
      <w:r>
        <w:t xml:space="preserve"> oblik sastanaka, na primer </w:t>
      </w:r>
      <w:r w:rsidR="00B148BE">
        <w:t xml:space="preserve">na kojima se </w:t>
      </w:r>
      <w:r>
        <w:t>dele planov</w:t>
      </w:r>
      <w:r w:rsidR="00B148BE">
        <w:t>i</w:t>
      </w:r>
      <w:r>
        <w:t xml:space="preserve">, odnosno </w:t>
      </w:r>
      <w:r w:rsidR="00CC4A8D">
        <w:t xml:space="preserve">vrše </w:t>
      </w:r>
      <w:r>
        <w:t>procen</w:t>
      </w:r>
      <w:r w:rsidR="00B148BE">
        <w:t>e</w:t>
      </w:r>
      <w:r>
        <w:t xml:space="preserve"> rizika. Neformalni sastanci se takođe mogu koristiti za promovisanje boljeg razumevanja uloga sve tri uključene strane. Procedure za fasilitaciju efikasne saradnje bi u idelanom slučaju trebale da budu dogovorene od strane sve tri uključene strane i sažete u zajednički odobrenom dokumentu.   </w:t>
      </w:r>
      <w:r w:rsidR="00EE2F21">
        <w:t xml:space="preserve"> </w:t>
      </w:r>
    </w:p>
    <w:p w:rsidR="00CB4EE1" w:rsidRPr="00D54A9C" w:rsidRDefault="00B148BE" w:rsidP="00D54A9C">
      <w:pPr>
        <w:pStyle w:val="ListBullet"/>
        <w:rPr>
          <w:b/>
          <w:color w:val="1F497D" w:themeColor="text2"/>
        </w:rPr>
      </w:pPr>
      <w:r>
        <w:rPr>
          <w:b/>
        </w:rPr>
        <w:t>Poverenje</w:t>
      </w:r>
      <w:r w:rsidR="00DD339B">
        <w:rPr>
          <w:b/>
        </w:rPr>
        <w:t>.</w:t>
      </w:r>
      <w:r w:rsidR="00CB4EE1" w:rsidRPr="001A1928">
        <w:t xml:space="preserve"> </w:t>
      </w:r>
      <w:r w:rsidR="00D54A9C">
        <w:t xml:space="preserve">Sve strane bi trebale da imaju poverenje prilikom osvarivanja međusobnog kontakta. Bilo da vrhovna revizorska institucija, odnosno finansijska inspekcija koristi nalaze i izveštaje interne revizije, potrebno je da imaju poverenja da su primenjeni standardi u radu odgovarajući i primenjivi.  </w:t>
      </w:r>
      <w:r w:rsidR="00CB4EE1" w:rsidRPr="001A1928">
        <w:t xml:space="preserve"> </w:t>
      </w:r>
    </w:p>
    <w:p w:rsidR="00CB4EE1" w:rsidRPr="00317410" w:rsidRDefault="00F2677F" w:rsidP="00317410">
      <w:pPr>
        <w:pStyle w:val="numberedparas"/>
        <w:rPr>
          <w:b/>
          <w:color w:val="1F497D" w:themeColor="text2"/>
        </w:rPr>
      </w:pPr>
      <w:r>
        <w:t xml:space="preserve">Postoji nekoliko opcija za ostvarivanje saradnje između interne revizije, vrhovne revizorske institucije i finansijske inspekcije. Dubina saradnje može varirati, a u nastavku se nalazi indikativna lista u vezi načina ostvarivanja saradnje: </w:t>
      </w:r>
    </w:p>
    <w:p w:rsidR="00317410" w:rsidRDefault="00317410" w:rsidP="00CB4EE1">
      <w:pPr>
        <w:pStyle w:val="ListBullet"/>
      </w:pPr>
      <w:r>
        <w:t>Komunikacija planiranja revizije/revizorske strategije (na primer, sesije zajednikog planiranja);</w:t>
      </w:r>
    </w:p>
    <w:p w:rsidR="00CB4EE1" w:rsidRPr="00CB4EE1" w:rsidRDefault="00317410" w:rsidP="00317410">
      <w:pPr>
        <w:pStyle w:val="ListBullet"/>
      </w:pPr>
      <w:r>
        <w:t>Redovni sastanci između revizora</w:t>
      </w:r>
      <w:r w:rsidR="00101CF4">
        <w:t xml:space="preserve"> iz</w:t>
      </w:r>
      <w:r>
        <w:t xml:space="preserve"> interne revizije, vrhovne revizorske institucije i finansijske inspekcije</w:t>
      </w:r>
      <w:r w:rsidR="00CB4EE1" w:rsidRPr="00CB4EE1">
        <w:t>;</w:t>
      </w:r>
    </w:p>
    <w:p w:rsidR="00CB4EE1" w:rsidRPr="00CB4EE1" w:rsidRDefault="00317410" w:rsidP="00317410">
      <w:pPr>
        <w:pStyle w:val="ListBullet"/>
      </w:pPr>
      <w:r>
        <w:t>Dogovori koji se odnose na deljenje informacija (uključujući procedure obavljanja konsultacija);</w:t>
      </w:r>
    </w:p>
    <w:p w:rsidR="00317410" w:rsidRDefault="00317410" w:rsidP="00CB4EE1">
      <w:pPr>
        <w:pStyle w:val="ListBullet"/>
      </w:pPr>
      <w:r>
        <w:t xml:space="preserve">Saopštavanje rezultata revizija/inspekcija drugim stranama; </w:t>
      </w:r>
    </w:p>
    <w:p w:rsidR="00317410" w:rsidRDefault="00317410" w:rsidP="00CB4EE1">
      <w:pPr>
        <w:pStyle w:val="ListBullet"/>
      </w:pPr>
      <w:r>
        <w:t>Organizovanje zajedničkih programa i kurseva obuke;</w:t>
      </w:r>
    </w:p>
    <w:p w:rsidR="00317410" w:rsidRDefault="00317410" w:rsidP="00CB4EE1">
      <w:pPr>
        <w:pStyle w:val="ListBullet"/>
      </w:pPr>
      <w:r>
        <w:t xml:space="preserve">Razvijanje metodologija; </w:t>
      </w:r>
    </w:p>
    <w:p w:rsidR="00317410" w:rsidRDefault="00317410" w:rsidP="00CB4EE1">
      <w:pPr>
        <w:pStyle w:val="ListBullet"/>
      </w:pPr>
      <w:r>
        <w:t xml:space="preserve">Deljenje materijala vezanih za obuku, metodologija i programa revizorskih aktivnosti; </w:t>
      </w:r>
    </w:p>
    <w:p w:rsidR="00317410" w:rsidRDefault="00317410" w:rsidP="00CB4EE1">
      <w:pPr>
        <w:pStyle w:val="ListBullet"/>
      </w:pPr>
      <w:r>
        <w:t xml:space="preserve">Obezbeđivanje pristupa revizorskoj dokumentaciji; </w:t>
      </w:r>
    </w:p>
    <w:p w:rsidR="00CB4EE1" w:rsidRPr="00CB4EE1" w:rsidRDefault="00317410" w:rsidP="00CB4EE1">
      <w:pPr>
        <w:pStyle w:val="ListBullet"/>
      </w:pPr>
      <w:r>
        <w:t>Ustupanje ili pozajmljivanje zaposlenih (na primer, obuka na poslu)</w:t>
      </w:r>
      <w:r w:rsidR="00CB4EE1" w:rsidRPr="00CB4EE1">
        <w:t>;</w:t>
      </w:r>
    </w:p>
    <w:p w:rsidR="00317410" w:rsidRDefault="00317410" w:rsidP="00CB4EE1">
      <w:pPr>
        <w:pStyle w:val="ListBullet"/>
      </w:pPr>
      <w:r>
        <w:t>Upotreba određenih aspekata rada drugih strana kako bi se odredila priroda, vremenski okvir i obim revizorskih procedura koji trebaju da budu izvršen</w:t>
      </w:r>
      <w:r w:rsidR="000A008E">
        <w:t>e</w:t>
      </w:r>
      <w:r>
        <w:t xml:space="preserve">;  </w:t>
      </w:r>
    </w:p>
    <w:p w:rsidR="00CB4EE1" w:rsidRPr="00CB4EE1" w:rsidRDefault="000A008E" w:rsidP="00CB4EE1">
      <w:pPr>
        <w:pStyle w:val="ListBullet"/>
      </w:pPr>
      <w:r>
        <w:lastRenderedPageBreak/>
        <w:t>Saradnja na određenim revizorskim procedurama, kao što je prikupljanje revizorskih dokaza ili podataka za obavljanje testiranja</w:t>
      </w:r>
      <w:r w:rsidR="00CB4EE1" w:rsidRPr="00CB4EE1">
        <w:t>;</w:t>
      </w:r>
    </w:p>
    <w:p w:rsidR="00CB4EE1" w:rsidRPr="00CB4EE1" w:rsidRDefault="000A008E" w:rsidP="000A008E">
      <w:pPr>
        <w:pStyle w:val="ListBullet"/>
      </w:pPr>
      <w:r>
        <w:t>Široka uključenost CHJ u procesima koordinacije između interne revizije, vrhovne revizorske institucije i finansijske inspekcije.</w:t>
      </w:r>
    </w:p>
    <w:p w:rsidR="00CB4EE1" w:rsidRPr="00CB4EE1" w:rsidRDefault="00CB4EE1" w:rsidP="00CB4EE1">
      <w:pPr>
        <w:pStyle w:val="Heading2"/>
      </w:pPr>
      <w:r w:rsidRPr="001A1928">
        <w:t>R</w:t>
      </w:r>
      <w:r w:rsidR="000A008E">
        <w:t>adna grupa R</w:t>
      </w:r>
      <w:r w:rsidRPr="001A1928">
        <w:t xml:space="preserve">IFIX: </w:t>
      </w:r>
      <w:r w:rsidR="000A008E">
        <w:t>Budući rad</w:t>
      </w:r>
    </w:p>
    <w:p w:rsidR="00F02508" w:rsidRPr="00251E6C" w:rsidRDefault="00F02508" w:rsidP="00F02508">
      <w:pPr>
        <w:pStyle w:val="numberedparas"/>
        <w:numPr>
          <w:ilvl w:val="0"/>
          <w:numId w:val="0"/>
        </w:numPr>
        <w:ind w:left="657"/>
        <w:rPr>
          <w:bCs/>
          <w:color w:val="1F497D" w:themeColor="text2"/>
          <w:u w:val="single"/>
        </w:rPr>
      </w:pPr>
      <w:r w:rsidRPr="00251E6C">
        <w:rPr>
          <w:bCs/>
          <w:u w:val="single"/>
        </w:rPr>
        <w:t>[</w:t>
      </w:r>
      <w:r>
        <w:rPr>
          <w:bCs/>
          <w:u w:val="single"/>
        </w:rPr>
        <w:t>Dati sadržaj ovog odeljka dokumenta treba da bude ažuriran nakon održavanja sastanka radne grupe u Astani</w:t>
      </w:r>
      <w:r w:rsidRPr="00251E6C">
        <w:rPr>
          <w:bCs/>
          <w:u w:val="single"/>
        </w:rPr>
        <w:t>.]</w:t>
      </w:r>
    </w:p>
    <w:p w:rsidR="00CB4EE1" w:rsidRPr="00400BBE" w:rsidRDefault="00400BBE" w:rsidP="00400BBE">
      <w:pPr>
        <w:pStyle w:val="numberedparas"/>
        <w:rPr>
          <w:b/>
          <w:color w:val="1F497D" w:themeColor="text2"/>
          <w:sz w:val="32"/>
          <w:szCs w:val="32"/>
        </w:rPr>
      </w:pPr>
      <w:r>
        <w:t xml:space="preserve">Pod rukovodstvom Radne grupe RIFIX, naredna dokumenta trebaju da budu pripremljena u fazi nacrta, uključujući: </w:t>
      </w:r>
    </w:p>
    <w:p w:rsidR="00CB4EE1" w:rsidRPr="00400BBE" w:rsidRDefault="00400BBE" w:rsidP="00400BBE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color w:val="1F497D" w:themeColor="text2"/>
          <w:sz w:val="32"/>
          <w:szCs w:val="32"/>
        </w:rPr>
      </w:pPr>
      <w:r>
        <w:rPr>
          <w:rFonts w:cstheme="minorHAnsi"/>
          <w:bCs/>
          <w:sz w:val="24"/>
          <w:szCs w:val="24"/>
        </w:rPr>
        <w:t xml:space="preserve">Uloge i funkcije </w:t>
      </w:r>
      <w:r w:rsidRPr="00400BBE">
        <w:rPr>
          <w:rFonts w:cstheme="minorHAnsi"/>
          <w:bCs/>
          <w:sz w:val="24"/>
          <w:szCs w:val="24"/>
        </w:rPr>
        <w:t xml:space="preserve">interne revizije, finansijske inspekcije </w:t>
      </w:r>
      <w:r>
        <w:rPr>
          <w:rFonts w:cstheme="minorHAnsi"/>
          <w:bCs/>
          <w:sz w:val="24"/>
          <w:szCs w:val="24"/>
        </w:rPr>
        <w:t xml:space="preserve">i </w:t>
      </w:r>
      <w:r w:rsidRPr="00400BBE">
        <w:rPr>
          <w:rFonts w:cstheme="minorHAnsi"/>
          <w:bCs/>
          <w:sz w:val="24"/>
          <w:szCs w:val="24"/>
        </w:rPr>
        <w:t xml:space="preserve">vrhovne revizorske institucije </w:t>
      </w:r>
      <w:r>
        <w:rPr>
          <w:rFonts w:cstheme="minorHAnsi"/>
          <w:bCs/>
          <w:sz w:val="24"/>
          <w:szCs w:val="24"/>
        </w:rPr>
        <w:t xml:space="preserve">u svrhu izbegavanja preklapanja; </w:t>
      </w:r>
    </w:p>
    <w:p w:rsidR="00CB4EE1" w:rsidRPr="001A1928" w:rsidRDefault="00400BBE" w:rsidP="00CB4EE1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Cs/>
          <w:sz w:val="24"/>
          <w:szCs w:val="24"/>
        </w:rPr>
        <w:t>Model za interakcije i odnose;</w:t>
      </w:r>
    </w:p>
    <w:p w:rsidR="00CB4EE1" w:rsidRPr="00400BBE" w:rsidRDefault="00400BBE" w:rsidP="00400BBE">
      <w:pPr>
        <w:pStyle w:val="ListParagraph"/>
        <w:numPr>
          <w:ilvl w:val="0"/>
          <w:numId w:val="16"/>
        </w:num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Primer Ugovora o saradnji između interne revizije i eksterne revizije; interne revizije i </w:t>
      </w:r>
      <w:r w:rsidRPr="00400BBE">
        <w:rPr>
          <w:rFonts w:cstheme="minorHAnsi"/>
          <w:bCs/>
          <w:sz w:val="24"/>
          <w:szCs w:val="24"/>
        </w:rPr>
        <w:t>finansijske inspekcije</w:t>
      </w:r>
      <w:r>
        <w:rPr>
          <w:rFonts w:cstheme="minorHAnsi"/>
          <w:bCs/>
          <w:sz w:val="24"/>
          <w:szCs w:val="24"/>
        </w:rPr>
        <w:t>.</w:t>
      </w:r>
    </w:p>
    <w:p w:rsidR="00CB4EE1" w:rsidRPr="009A79DF" w:rsidRDefault="00CB4EE1" w:rsidP="009A79DF">
      <w:pPr>
        <w:pStyle w:val="Heading2"/>
        <w:numPr>
          <w:ilvl w:val="0"/>
          <w:numId w:val="0"/>
        </w:numPr>
        <w:ind w:left="360" w:hanging="360"/>
      </w:pPr>
      <w:r>
        <w:t>Reference</w:t>
      </w:r>
    </w:p>
    <w:p w:rsidR="000D17AA" w:rsidRPr="000D17AA" w:rsidRDefault="00F93B1D" w:rsidP="00F93B1D">
      <w:pPr>
        <w:pStyle w:val="numberedparas"/>
        <w:numPr>
          <w:ilvl w:val="0"/>
          <w:numId w:val="24"/>
        </w:numPr>
        <w:jc w:val="left"/>
        <w:rPr>
          <w:i/>
        </w:rPr>
      </w:pPr>
      <w:r w:rsidRPr="001A1928">
        <w:t xml:space="preserve">INTOSAI GOV 9150, </w:t>
      </w:r>
      <w:r w:rsidR="000D17AA">
        <w:t xml:space="preserve">Koordinacija i saradnja između vrhovne revizorske institucije i internih revizora u javnom sektoru. </w:t>
      </w:r>
    </w:p>
    <w:p w:rsidR="00F93B1D" w:rsidRPr="00F93B1D" w:rsidRDefault="00F93B1D" w:rsidP="000D17AA">
      <w:pPr>
        <w:pStyle w:val="numberedparas"/>
        <w:numPr>
          <w:ilvl w:val="0"/>
          <w:numId w:val="0"/>
        </w:numPr>
        <w:ind w:left="657"/>
        <w:jc w:val="left"/>
        <w:rPr>
          <w:i/>
        </w:rPr>
      </w:pPr>
      <w:r w:rsidRPr="00F93B1D">
        <w:rPr>
          <w:i/>
        </w:rPr>
        <w:t>http://www.issai.org/media/13353/intosai_gov_9150_e_.pdf</w:t>
      </w:r>
    </w:p>
    <w:p w:rsidR="000D17AA" w:rsidRDefault="000D17AA" w:rsidP="00F93B1D">
      <w:pPr>
        <w:pStyle w:val="numberedparas"/>
        <w:numPr>
          <w:ilvl w:val="0"/>
          <w:numId w:val="24"/>
        </w:numPr>
      </w:pPr>
      <w:r>
        <w:t>Saradnja između internih i eksternih revizora: Vodič dobre prakse, Državna revizorska institucija Velike Britanije i Trezor NJKV</w:t>
      </w:r>
    </w:p>
    <w:p w:rsidR="00F93B1D" w:rsidRPr="00CF5742" w:rsidRDefault="00F93B1D" w:rsidP="00F93B1D">
      <w:pPr>
        <w:pStyle w:val="numberedparas"/>
        <w:numPr>
          <w:ilvl w:val="0"/>
          <w:numId w:val="0"/>
        </w:numPr>
        <w:ind w:left="657"/>
        <w:rPr>
          <w:i/>
        </w:rPr>
      </w:pPr>
      <w:r w:rsidRPr="00CF5742">
        <w:rPr>
          <w:i/>
        </w:rPr>
        <w:t>https://www.gov.uk/government/uploads/system/uploads/attachment_data/file/207223/Good_practice_guidance_-_co-operation_between_internal_and_external_auditors.pdf</w:t>
      </w:r>
    </w:p>
    <w:p w:rsidR="000D17AA" w:rsidRDefault="000D17AA" w:rsidP="0049772A">
      <w:pPr>
        <w:pStyle w:val="numberedparas"/>
        <w:numPr>
          <w:ilvl w:val="0"/>
          <w:numId w:val="24"/>
        </w:numPr>
        <w:jc w:val="left"/>
      </w:pPr>
      <w:r>
        <w:t xml:space="preserve">Dokument o reviziji interne kontrole i inspekcije u Srbiji </w:t>
      </w:r>
    </w:p>
    <w:p w:rsidR="00CB4EE1" w:rsidRPr="001A1928" w:rsidRDefault="007702B2" w:rsidP="005F0E27">
      <w:pPr>
        <w:pStyle w:val="numberedparas"/>
        <w:numPr>
          <w:ilvl w:val="0"/>
          <w:numId w:val="0"/>
        </w:numPr>
        <w:ind w:left="720"/>
        <w:jc w:val="left"/>
      </w:pPr>
      <w:hyperlink r:id="rId7" w:history="1">
        <w:r w:rsidR="00CB4EE1" w:rsidRPr="001A1928">
          <w:t>http://www.ige.hu/letolt/budgetguide/17--%206%20%20Internal%20Control%20and%20Audit.pdf</w:t>
        </w:r>
      </w:hyperlink>
    </w:p>
    <w:p w:rsidR="000D17AA" w:rsidRPr="000D17AA" w:rsidRDefault="00CB4EE1" w:rsidP="004E7246">
      <w:pPr>
        <w:pStyle w:val="numberedparas"/>
        <w:jc w:val="left"/>
        <w:rPr>
          <w:i/>
        </w:rPr>
      </w:pPr>
      <w:r w:rsidRPr="001A1928">
        <w:t xml:space="preserve">INTOSAI, </w:t>
      </w:r>
      <w:r w:rsidR="000D17AA">
        <w:t xml:space="preserve">Konferencija o jačanju ekterne javne revizije u INTOSAI regionima, Beč, Austrija, 26-27. maj 2010. godine </w:t>
      </w:r>
    </w:p>
    <w:p w:rsidR="00CB4EE1" w:rsidRPr="004E7246" w:rsidRDefault="004E7246" w:rsidP="005F0E27">
      <w:pPr>
        <w:pStyle w:val="numberedparas"/>
        <w:numPr>
          <w:ilvl w:val="0"/>
          <w:numId w:val="0"/>
        </w:numPr>
        <w:ind w:left="657"/>
        <w:jc w:val="left"/>
        <w:rPr>
          <w:i/>
        </w:rPr>
      </w:pPr>
      <w:r w:rsidRPr="004E7246">
        <w:rPr>
          <w:i/>
        </w:rPr>
        <w:t>http://www.intosai.org/uploads/intosaipublikation02112010small.pdf</w:t>
      </w:r>
    </w:p>
    <w:sectPr w:rsidR="00CB4EE1" w:rsidRPr="004E7246" w:rsidSect="00053D4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99" w:rsidRDefault="00821F99" w:rsidP="008E4E66">
      <w:pPr>
        <w:spacing w:after="0" w:line="240" w:lineRule="auto"/>
      </w:pPr>
      <w:r>
        <w:separator/>
      </w:r>
    </w:p>
  </w:endnote>
  <w:endnote w:type="continuationSeparator" w:id="1">
    <w:p w:rsidR="00821F99" w:rsidRDefault="00821F99" w:rsidP="008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99" w:rsidRDefault="00821F99" w:rsidP="008E4E66">
      <w:pPr>
        <w:spacing w:after="0" w:line="240" w:lineRule="auto"/>
      </w:pPr>
      <w:r>
        <w:separator/>
      </w:r>
    </w:p>
  </w:footnote>
  <w:footnote w:type="continuationSeparator" w:id="1">
    <w:p w:rsidR="00821F99" w:rsidRDefault="00821F99" w:rsidP="008E4E66">
      <w:pPr>
        <w:spacing w:after="0" w:line="240" w:lineRule="auto"/>
      </w:pPr>
      <w:r>
        <w:continuationSeparator/>
      </w:r>
    </w:p>
  </w:footnote>
  <w:footnote w:id="2">
    <w:p w:rsidR="0086219F" w:rsidRPr="00AB702A" w:rsidRDefault="0086219F" w:rsidP="0066497A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Vrhovna revizorska institucija može da i dalje funkcioniše prema modelu suda u smislu svog procesa donošenja odluka, ali ključne promene često uključuju nove uloge: davanje mišljenja o finansijskim izveštajima; sprovođenje revizije učinaka (ekonomičnost, efikasnost i delotvornost). Ovlašćenja da se izriču kazne su u većini slučajeva ukinuta. </w:t>
      </w:r>
    </w:p>
  </w:footnote>
  <w:footnote w:id="3">
    <w:p w:rsidR="0086219F" w:rsidRPr="008E4E66" w:rsidRDefault="0086219F" w:rsidP="00637245">
      <w:pPr>
        <w:pStyle w:val="FootnoteText"/>
        <w:rPr>
          <w:b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 xml:space="preserve">Radna grupa </w:t>
      </w:r>
      <w:r w:rsidRPr="008E4E66">
        <w:rPr>
          <w:sz w:val="20"/>
          <w:szCs w:val="20"/>
        </w:rPr>
        <w:t xml:space="preserve">RIFIX </w:t>
      </w:r>
      <w:r>
        <w:rPr>
          <w:sz w:val="20"/>
          <w:szCs w:val="20"/>
        </w:rPr>
        <w:t xml:space="preserve">je osnovana nakon obavljenih konsultacija između zemalja članica PEMPAL-a na temu važnosti pravljenja razlika kod uloga interne revizije, vrhovne revizorske institucije i finansijske inspekcije. Prvo pominjanje na ovu temu je napravljeno tokom održavanja 7. Plenarnog sastanka na Jalti, Ukrajina, 2010. godine. Dalje diskutovanje o ulozi finansijske inspekcije i njene veze prema internoj reviziji se desilo tokom održavanja 13. Plenarnog sastanka na Ohridu, Makedonija, 2011. godine. Šira agenda na ovu temu je predstavljena tokom održavanja 17. Plenarnog sastanka u Mađarskoj, 2012. godine. Tom prilikom su principi, kao i razlike između funkcionisanja službi vrhovne revizorske institucije, interne revizije i finansijske inspekcije bili glavna tema diskusije. </w:t>
      </w:r>
      <w:r w:rsidRPr="008E4E6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Radna grupa RIFIX je zvanično stvorena tokom održavanja 23. Plenarnog sastanka u Tbilisiju, 2013. godine. </w:t>
      </w:r>
      <w:r w:rsidRPr="008E4E66">
        <w:t xml:space="preserve"> </w:t>
      </w:r>
    </w:p>
    <w:p w:rsidR="0086219F" w:rsidRDefault="0086219F" w:rsidP="00637245">
      <w:pPr>
        <w:pStyle w:val="FootnoteText"/>
      </w:pPr>
    </w:p>
  </w:footnote>
  <w:footnote w:id="4">
    <w:p w:rsidR="0086219F" w:rsidRDefault="0086219F" w:rsidP="001F13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1807">
        <w:rPr>
          <w:sz w:val="20"/>
          <w:szCs w:val="20"/>
        </w:rPr>
        <w:t xml:space="preserve">ISSAI 100 </w:t>
      </w:r>
      <w:r>
        <w:rPr>
          <w:sz w:val="20"/>
          <w:szCs w:val="20"/>
        </w:rPr>
        <w:t xml:space="preserve">Osnovni principi obavljanja revizije javnog sektora </w:t>
      </w:r>
      <w:r w:rsidRPr="00D31807">
        <w:rPr>
          <w:sz w:val="20"/>
          <w:szCs w:val="20"/>
        </w:rPr>
        <w:t>INTOSAI</w:t>
      </w:r>
    </w:p>
  </w:footnote>
  <w:footnote w:id="5">
    <w:p w:rsidR="0086219F" w:rsidRPr="008F5592" w:rsidRDefault="0086219F" w:rsidP="00F05965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Ibid</w:t>
      </w:r>
    </w:p>
  </w:footnote>
  <w:footnote w:id="6">
    <w:p w:rsidR="0086219F" w:rsidRPr="008F5592" w:rsidRDefault="0086219F" w:rsidP="00284D5B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Ibid</w:t>
      </w:r>
    </w:p>
  </w:footnote>
  <w:footnote w:id="7">
    <w:p w:rsidR="0086219F" w:rsidRPr="00D31807" w:rsidRDefault="0086219F" w:rsidP="00395F49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D31807">
        <w:rPr>
          <w:sz w:val="20"/>
          <w:szCs w:val="20"/>
        </w:rPr>
        <w:t xml:space="preserve">IIA </w:t>
      </w:r>
      <w:r w:rsidR="00E06806">
        <w:rPr>
          <w:sz w:val="20"/>
          <w:szCs w:val="20"/>
        </w:rPr>
        <w:t xml:space="preserve">standardi </w:t>
      </w:r>
      <w:r w:rsidRPr="00D31807">
        <w:rPr>
          <w:sz w:val="20"/>
          <w:szCs w:val="20"/>
        </w:rPr>
        <w:t>(</w:t>
      </w:r>
      <w:r>
        <w:rPr>
          <w:sz w:val="20"/>
          <w:szCs w:val="20"/>
        </w:rPr>
        <w:t>Institut internih revizora)</w:t>
      </w:r>
    </w:p>
  </w:footnote>
  <w:footnote w:id="8">
    <w:p w:rsidR="0086219F" w:rsidRPr="008F5592" w:rsidRDefault="0086219F" w:rsidP="0066497A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0"/>
          <w:szCs w:val="20"/>
        </w:rPr>
        <w:t>Ibid</w:t>
      </w:r>
    </w:p>
  </w:footnote>
  <w:footnote w:id="9">
    <w:p w:rsidR="0086219F" w:rsidRDefault="0086219F" w:rsidP="00155A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Definicija Radne grupe R</w:t>
      </w:r>
      <w:r w:rsidRPr="00D31807">
        <w:rPr>
          <w:i/>
        </w:rPr>
        <w:t xml:space="preserve">IFIX </w:t>
      </w:r>
    </w:p>
  </w:footnote>
  <w:footnote w:id="10">
    <w:p w:rsidR="0086219F" w:rsidRPr="00CB5A69" w:rsidRDefault="0086219F" w:rsidP="005500E6">
      <w:pPr>
        <w:pStyle w:val="FootnoteText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="00CB5A69">
        <w:rPr>
          <w:sz w:val="20"/>
          <w:szCs w:val="20"/>
        </w:rPr>
        <w:t xml:space="preserve">Kao eksterni revizor, vrhovna revizorska institucija ima zadatak istraživanja delotvornosti interne revizije. Ukoliko se interni revozr proceni da je efikasan, biće učinjeni napori, bez dovođenja u pitanje prava vrhovne revizorske institucije da spovede sveobuhvatnu reviziju, da se postigne najodgovarajuća podela ili preraspodela zadataka i saradnja između vrhovne revizorske institucije i interne revizije. </w:t>
      </w:r>
      <w:r w:rsidR="00CB5A69" w:rsidRPr="00CB5A69">
        <w:rPr>
          <w:i/>
          <w:sz w:val="20"/>
          <w:szCs w:val="20"/>
        </w:rPr>
        <w:t>INTOSAI Deklaracija iz Lime, Odeljak 3.3.</w:t>
      </w:r>
    </w:p>
    <w:p w:rsidR="0086219F" w:rsidRPr="005500E6" w:rsidRDefault="0086219F">
      <w:pPr>
        <w:pStyle w:val="FootnoteText"/>
        <w:rPr>
          <w:i/>
          <w:sz w:val="20"/>
          <w:szCs w:val="2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32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C7DB9"/>
    <w:multiLevelType w:val="hybridMultilevel"/>
    <w:tmpl w:val="247E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56245"/>
    <w:multiLevelType w:val="multilevel"/>
    <w:tmpl w:val="3F66BE86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9B152F"/>
    <w:multiLevelType w:val="hybridMultilevel"/>
    <w:tmpl w:val="EDCAED84"/>
    <w:lvl w:ilvl="0" w:tplc="D6806892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1F12A4"/>
    <w:multiLevelType w:val="multilevel"/>
    <w:tmpl w:val="38B24CB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pStyle w:val="Heading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>
    <w:nsid w:val="2DCE7FEA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00C06A9"/>
    <w:multiLevelType w:val="hybridMultilevel"/>
    <w:tmpl w:val="0468742E"/>
    <w:lvl w:ilvl="0" w:tplc="A1E8BFF4">
      <w:start w:val="1"/>
      <w:numFmt w:val="decimal"/>
      <w:lvlText w:val="%1."/>
      <w:lvlJc w:val="left"/>
      <w:pPr>
        <w:ind w:left="720" w:hanging="360"/>
      </w:pPr>
      <w:rPr>
        <w:rFonts w:hint="default"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410A2"/>
    <w:multiLevelType w:val="hybridMultilevel"/>
    <w:tmpl w:val="68982432"/>
    <w:lvl w:ilvl="0" w:tplc="3756611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31137B"/>
    <w:multiLevelType w:val="hybridMultilevel"/>
    <w:tmpl w:val="49F8392A"/>
    <w:lvl w:ilvl="0" w:tplc="D6806892">
      <w:start w:val="1"/>
      <w:numFmt w:val="decimal"/>
      <w:pStyle w:val="numberedparas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3A2411"/>
    <w:multiLevelType w:val="multilevel"/>
    <w:tmpl w:val="072A2F2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>
    <w:nsid w:val="490F04C0"/>
    <w:multiLevelType w:val="hybridMultilevel"/>
    <w:tmpl w:val="7E283B70"/>
    <w:lvl w:ilvl="0" w:tplc="194E1556">
      <w:start w:val="1"/>
      <w:numFmt w:val="bullet"/>
      <w:pStyle w:val="Tableinden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AF6BE0"/>
    <w:multiLevelType w:val="multilevel"/>
    <w:tmpl w:val="1B747676"/>
    <w:lvl w:ilvl="0">
      <w:start w:val="1"/>
      <w:numFmt w:val="decimal"/>
      <w:lvlText w:val="%1."/>
      <w:lvlJc w:val="left"/>
      <w:pPr>
        <w:tabs>
          <w:tab w:val="num" w:pos="657"/>
        </w:tabs>
        <w:ind w:left="657" w:hanging="567"/>
      </w:pPr>
      <w:rPr>
        <w:rFonts w:cs="Times New Roman" w:hint="default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513770"/>
    <w:multiLevelType w:val="hybridMultilevel"/>
    <w:tmpl w:val="F2C64A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29A7FF8"/>
    <w:multiLevelType w:val="hybridMultilevel"/>
    <w:tmpl w:val="776A77F0"/>
    <w:lvl w:ilvl="0" w:tplc="BE72C8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E06E2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4717E2A"/>
    <w:multiLevelType w:val="multilevel"/>
    <w:tmpl w:val="B6A2F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F81BD" w:themeColor="accent1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4F81BD" w:themeColor="accent1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2FB4A94"/>
    <w:multiLevelType w:val="multilevel"/>
    <w:tmpl w:val="652A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0"/>
  </w:num>
  <w:num w:numId="5">
    <w:abstractNumId w:val="0"/>
  </w:num>
  <w:num w:numId="6">
    <w:abstractNumId w:val="0"/>
  </w:num>
  <w:num w:numId="7">
    <w:abstractNumId w:val="10"/>
  </w:num>
  <w:num w:numId="8">
    <w:abstractNumId w:val="16"/>
  </w:num>
  <w:num w:numId="9">
    <w:abstractNumId w:val="0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  <w:num w:numId="14">
    <w:abstractNumId w:val="12"/>
  </w:num>
  <w:num w:numId="15">
    <w:abstractNumId w:val="1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9"/>
  </w:num>
  <w:num w:numId="21">
    <w:abstractNumId w:val="2"/>
  </w:num>
  <w:num w:numId="22">
    <w:abstractNumId w:val="8"/>
  </w:num>
  <w:num w:numId="23">
    <w:abstractNumId w:val="11"/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hideSpellingErrors/>
  <w:stylePaneFormatFilter w:val="1F08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B4EE1"/>
    <w:rsid w:val="00010E03"/>
    <w:rsid w:val="00010EC0"/>
    <w:rsid w:val="00012D3D"/>
    <w:rsid w:val="000258E6"/>
    <w:rsid w:val="0003205C"/>
    <w:rsid w:val="00043004"/>
    <w:rsid w:val="00045627"/>
    <w:rsid w:val="00053D49"/>
    <w:rsid w:val="00054721"/>
    <w:rsid w:val="00074A77"/>
    <w:rsid w:val="00093B54"/>
    <w:rsid w:val="000A008E"/>
    <w:rsid w:val="000B37EA"/>
    <w:rsid w:val="000B6180"/>
    <w:rsid w:val="000B6357"/>
    <w:rsid w:val="000C356A"/>
    <w:rsid w:val="000D121F"/>
    <w:rsid w:val="000D17AA"/>
    <w:rsid w:val="000D3BB7"/>
    <w:rsid w:val="000F2339"/>
    <w:rsid w:val="000F4C78"/>
    <w:rsid w:val="00101CF4"/>
    <w:rsid w:val="00123B4A"/>
    <w:rsid w:val="001371A8"/>
    <w:rsid w:val="001428B3"/>
    <w:rsid w:val="00154331"/>
    <w:rsid w:val="001558B9"/>
    <w:rsid w:val="00155A68"/>
    <w:rsid w:val="00156824"/>
    <w:rsid w:val="00161A73"/>
    <w:rsid w:val="00164463"/>
    <w:rsid w:val="00190BC6"/>
    <w:rsid w:val="001933C4"/>
    <w:rsid w:val="001941D2"/>
    <w:rsid w:val="001959CA"/>
    <w:rsid w:val="001A56D1"/>
    <w:rsid w:val="001B6541"/>
    <w:rsid w:val="001B673E"/>
    <w:rsid w:val="001C7199"/>
    <w:rsid w:val="001C7B29"/>
    <w:rsid w:val="001D4D76"/>
    <w:rsid w:val="001F1328"/>
    <w:rsid w:val="001F6BAE"/>
    <w:rsid w:val="001F70F3"/>
    <w:rsid w:val="002002B1"/>
    <w:rsid w:val="002141F4"/>
    <w:rsid w:val="00215CDB"/>
    <w:rsid w:val="00227B6F"/>
    <w:rsid w:val="00234CA3"/>
    <w:rsid w:val="00251E6C"/>
    <w:rsid w:val="002615F4"/>
    <w:rsid w:val="00273843"/>
    <w:rsid w:val="002750D2"/>
    <w:rsid w:val="00284D5B"/>
    <w:rsid w:val="002A1312"/>
    <w:rsid w:val="002A198A"/>
    <w:rsid w:val="002A74B3"/>
    <w:rsid w:val="002C1016"/>
    <w:rsid w:val="002E3F19"/>
    <w:rsid w:val="002E53A2"/>
    <w:rsid w:val="00317410"/>
    <w:rsid w:val="00317609"/>
    <w:rsid w:val="00321B63"/>
    <w:rsid w:val="00326E99"/>
    <w:rsid w:val="00333100"/>
    <w:rsid w:val="00335AE8"/>
    <w:rsid w:val="003406FE"/>
    <w:rsid w:val="003427D7"/>
    <w:rsid w:val="00353D8F"/>
    <w:rsid w:val="00391F60"/>
    <w:rsid w:val="00395451"/>
    <w:rsid w:val="00395F49"/>
    <w:rsid w:val="00397D01"/>
    <w:rsid w:val="003A1BBE"/>
    <w:rsid w:val="003B370F"/>
    <w:rsid w:val="003C0764"/>
    <w:rsid w:val="003E3F9F"/>
    <w:rsid w:val="00400BBE"/>
    <w:rsid w:val="004022F7"/>
    <w:rsid w:val="00402A4F"/>
    <w:rsid w:val="00406F93"/>
    <w:rsid w:val="0041535E"/>
    <w:rsid w:val="0041552F"/>
    <w:rsid w:val="0041799E"/>
    <w:rsid w:val="00432A4A"/>
    <w:rsid w:val="00436F47"/>
    <w:rsid w:val="004501C4"/>
    <w:rsid w:val="00456E8A"/>
    <w:rsid w:val="0046706D"/>
    <w:rsid w:val="00496332"/>
    <w:rsid w:val="0049772A"/>
    <w:rsid w:val="004A04E8"/>
    <w:rsid w:val="004B4C15"/>
    <w:rsid w:val="004E476E"/>
    <w:rsid w:val="004E7246"/>
    <w:rsid w:val="004E74B8"/>
    <w:rsid w:val="00505DA5"/>
    <w:rsid w:val="00515EBF"/>
    <w:rsid w:val="00524F58"/>
    <w:rsid w:val="005340EB"/>
    <w:rsid w:val="005352F2"/>
    <w:rsid w:val="00535458"/>
    <w:rsid w:val="005404D6"/>
    <w:rsid w:val="00541C90"/>
    <w:rsid w:val="005435A2"/>
    <w:rsid w:val="005500E6"/>
    <w:rsid w:val="0055453E"/>
    <w:rsid w:val="005549A5"/>
    <w:rsid w:val="00555A20"/>
    <w:rsid w:val="00561343"/>
    <w:rsid w:val="00575D90"/>
    <w:rsid w:val="00577155"/>
    <w:rsid w:val="0058426F"/>
    <w:rsid w:val="00592C12"/>
    <w:rsid w:val="00592E61"/>
    <w:rsid w:val="005B5A5F"/>
    <w:rsid w:val="005C55C9"/>
    <w:rsid w:val="005D70CF"/>
    <w:rsid w:val="005F0E27"/>
    <w:rsid w:val="005F5A56"/>
    <w:rsid w:val="00604933"/>
    <w:rsid w:val="00606AF4"/>
    <w:rsid w:val="00607754"/>
    <w:rsid w:val="006112C6"/>
    <w:rsid w:val="006120AD"/>
    <w:rsid w:val="00631D26"/>
    <w:rsid w:val="00637245"/>
    <w:rsid w:val="006449C3"/>
    <w:rsid w:val="00655C35"/>
    <w:rsid w:val="00656A44"/>
    <w:rsid w:val="0066497A"/>
    <w:rsid w:val="006752F6"/>
    <w:rsid w:val="00676587"/>
    <w:rsid w:val="00686A0C"/>
    <w:rsid w:val="00694E69"/>
    <w:rsid w:val="006A2C13"/>
    <w:rsid w:val="006A5BF3"/>
    <w:rsid w:val="006A6297"/>
    <w:rsid w:val="006B090F"/>
    <w:rsid w:val="006C4A75"/>
    <w:rsid w:val="006D55C2"/>
    <w:rsid w:val="006D59EC"/>
    <w:rsid w:val="006D5B49"/>
    <w:rsid w:val="006E3FB8"/>
    <w:rsid w:val="006F3CC4"/>
    <w:rsid w:val="00700990"/>
    <w:rsid w:val="007015C8"/>
    <w:rsid w:val="007059D1"/>
    <w:rsid w:val="00712DA8"/>
    <w:rsid w:val="007200FB"/>
    <w:rsid w:val="00720655"/>
    <w:rsid w:val="00726268"/>
    <w:rsid w:val="0074095B"/>
    <w:rsid w:val="00740B8E"/>
    <w:rsid w:val="00757F9B"/>
    <w:rsid w:val="0076213A"/>
    <w:rsid w:val="00765DF2"/>
    <w:rsid w:val="00770031"/>
    <w:rsid w:val="0077029F"/>
    <w:rsid w:val="007702B2"/>
    <w:rsid w:val="00772957"/>
    <w:rsid w:val="00773323"/>
    <w:rsid w:val="00797A50"/>
    <w:rsid w:val="007A06E7"/>
    <w:rsid w:val="007C6255"/>
    <w:rsid w:val="007F4F19"/>
    <w:rsid w:val="00804476"/>
    <w:rsid w:val="00804D67"/>
    <w:rsid w:val="008063B8"/>
    <w:rsid w:val="00821F99"/>
    <w:rsid w:val="00822620"/>
    <w:rsid w:val="00826F3F"/>
    <w:rsid w:val="00841548"/>
    <w:rsid w:val="00847C8C"/>
    <w:rsid w:val="008517EB"/>
    <w:rsid w:val="0086219F"/>
    <w:rsid w:val="008719DA"/>
    <w:rsid w:val="00875A24"/>
    <w:rsid w:val="008812D0"/>
    <w:rsid w:val="0088192A"/>
    <w:rsid w:val="008A1E61"/>
    <w:rsid w:val="008A3624"/>
    <w:rsid w:val="008B0DAF"/>
    <w:rsid w:val="008C59B9"/>
    <w:rsid w:val="008D77C2"/>
    <w:rsid w:val="008E168B"/>
    <w:rsid w:val="008E4E66"/>
    <w:rsid w:val="008E5E1F"/>
    <w:rsid w:val="008F1CF8"/>
    <w:rsid w:val="008F5592"/>
    <w:rsid w:val="00904F79"/>
    <w:rsid w:val="00912943"/>
    <w:rsid w:val="009674DF"/>
    <w:rsid w:val="00983D14"/>
    <w:rsid w:val="00984003"/>
    <w:rsid w:val="009A082E"/>
    <w:rsid w:val="009A79DF"/>
    <w:rsid w:val="009B4A57"/>
    <w:rsid w:val="009D2901"/>
    <w:rsid w:val="009E6009"/>
    <w:rsid w:val="009E7D25"/>
    <w:rsid w:val="009F2BD8"/>
    <w:rsid w:val="009F7E3D"/>
    <w:rsid w:val="009F7F67"/>
    <w:rsid w:val="00A00484"/>
    <w:rsid w:val="00A04049"/>
    <w:rsid w:val="00A069DC"/>
    <w:rsid w:val="00A11757"/>
    <w:rsid w:val="00A23F9F"/>
    <w:rsid w:val="00A27E90"/>
    <w:rsid w:val="00A31343"/>
    <w:rsid w:val="00A3565E"/>
    <w:rsid w:val="00A524B5"/>
    <w:rsid w:val="00A54841"/>
    <w:rsid w:val="00A57CDE"/>
    <w:rsid w:val="00A74644"/>
    <w:rsid w:val="00A8767C"/>
    <w:rsid w:val="00A90F2D"/>
    <w:rsid w:val="00A92571"/>
    <w:rsid w:val="00AB6A42"/>
    <w:rsid w:val="00AB702A"/>
    <w:rsid w:val="00AD4432"/>
    <w:rsid w:val="00AD69AC"/>
    <w:rsid w:val="00AD72B6"/>
    <w:rsid w:val="00AE66C9"/>
    <w:rsid w:val="00AF14AB"/>
    <w:rsid w:val="00AF1D25"/>
    <w:rsid w:val="00B01400"/>
    <w:rsid w:val="00B06637"/>
    <w:rsid w:val="00B1000A"/>
    <w:rsid w:val="00B148BE"/>
    <w:rsid w:val="00B16A99"/>
    <w:rsid w:val="00B258B1"/>
    <w:rsid w:val="00B3241F"/>
    <w:rsid w:val="00B51037"/>
    <w:rsid w:val="00B5558A"/>
    <w:rsid w:val="00B62295"/>
    <w:rsid w:val="00B6572D"/>
    <w:rsid w:val="00B76173"/>
    <w:rsid w:val="00B8131E"/>
    <w:rsid w:val="00B83643"/>
    <w:rsid w:val="00B85250"/>
    <w:rsid w:val="00B8554D"/>
    <w:rsid w:val="00BB514F"/>
    <w:rsid w:val="00BD039A"/>
    <w:rsid w:val="00BD58F7"/>
    <w:rsid w:val="00BF0732"/>
    <w:rsid w:val="00BF6793"/>
    <w:rsid w:val="00C04397"/>
    <w:rsid w:val="00C175B0"/>
    <w:rsid w:val="00C21C3F"/>
    <w:rsid w:val="00C22801"/>
    <w:rsid w:val="00C22857"/>
    <w:rsid w:val="00C27835"/>
    <w:rsid w:val="00C372AF"/>
    <w:rsid w:val="00C406CC"/>
    <w:rsid w:val="00C42966"/>
    <w:rsid w:val="00C46FD3"/>
    <w:rsid w:val="00C50C8D"/>
    <w:rsid w:val="00C57101"/>
    <w:rsid w:val="00C61721"/>
    <w:rsid w:val="00C6291F"/>
    <w:rsid w:val="00C66399"/>
    <w:rsid w:val="00C67270"/>
    <w:rsid w:val="00C717C3"/>
    <w:rsid w:val="00C95B12"/>
    <w:rsid w:val="00C973CB"/>
    <w:rsid w:val="00CA1EE7"/>
    <w:rsid w:val="00CB0BD1"/>
    <w:rsid w:val="00CB4EE1"/>
    <w:rsid w:val="00CB5A69"/>
    <w:rsid w:val="00CC4A8D"/>
    <w:rsid w:val="00CC57DC"/>
    <w:rsid w:val="00CD2DE5"/>
    <w:rsid w:val="00CE1B30"/>
    <w:rsid w:val="00CE4E3D"/>
    <w:rsid w:val="00CE58B2"/>
    <w:rsid w:val="00CF0A1A"/>
    <w:rsid w:val="00CF5742"/>
    <w:rsid w:val="00D02296"/>
    <w:rsid w:val="00D129D1"/>
    <w:rsid w:val="00D12B92"/>
    <w:rsid w:val="00D17BC3"/>
    <w:rsid w:val="00D207D1"/>
    <w:rsid w:val="00D22B76"/>
    <w:rsid w:val="00D23EE7"/>
    <w:rsid w:val="00D31807"/>
    <w:rsid w:val="00D41EB4"/>
    <w:rsid w:val="00D41FED"/>
    <w:rsid w:val="00D42BC0"/>
    <w:rsid w:val="00D54A9C"/>
    <w:rsid w:val="00D57575"/>
    <w:rsid w:val="00D7696B"/>
    <w:rsid w:val="00DA0153"/>
    <w:rsid w:val="00DA0A57"/>
    <w:rsid w:val="00DB57AE"/>
    <w:rsid w:val="00DD339B"/>
    <w:rsid w:val="00DF61D7"/>
    <w:rsid w:val="00E06806"/>
    <w:rsid w:val="00E10CAF"/>
    <w:rsid w:val="00E128E2"/>
    <w:rsid w:val="00E234B0"/>
    <w:rsid w:val="00E34673"/>
    <w:rsid w:val="00E42468"/>
    <w:rsid w:val="00E476D1"/>
    <w:rsid w:val="00E4787F"/>
    <w:rsid w:val="00E5381E"/>
    <w:rsid w:val="00E65207"/>
    <w:rsid w:val="00E77EC8"/>
    <w:rsid w:val="00EA0A56"/>
    <w:rsid w:val="00EA7942"/>
    <w:rsid w:val="00EC7368"/>
    <w:rsid w:val="00ED3E28"/>
    <w:rsid w:val="00ED7468"/>
    <w:rsid w:val="00EE2F21"/>
    <w:rsid w:val="00EE3821"/>
    <w:rsid w:val="00F02508"/>
    <w:rsid w:val="00F02739"/>
    <w:rsid w:val="00F04346"/>
    <w:rsid w:val="00F05965"/>
    <w:rsid w:val="00F11462"/>
    <w:rsid w:val="00F20333"/>
    <w:rsid w:val="00F249F2"/>
    <w:rsid w:val="00F2677F"/>
    <w:rsid w:val="00F307E8"/>
    <w:rsid w:val="00F34511"/>
    <w:rsid w:val="00F439A6"/>
    <w:rsid w:val="00F70C68"/>
    <w:rsid w:val="00F71341"/>
    <w:rsid w:val="00F7594E"/>
    <w:rsid w:val="00F80DA7"/>
    <w:rsid w:val="00F93B1D"/>
    <w:rsid w:val="00F96197"/>
    <w:rsid w:val="00FC4DEC"/>
    <w:rsid w:val="00FC6169"/>
    <w:rsid w:val="00FC7E07"/>
    <w:rsid w:val="00FD75FB"/>
    <w:rsid w:val="00FE2B62"/>
    <w:rsid w:val="00FE3F26"/>
    <w:rsid w:val="00FE7397"/>
    <w:rsid w:val="00FF6B9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E1"/>
    <w:pPr>
      <w:spacing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F71341"/>
    <w:pPr>
      <w:keepNext/>
      <w:keepLines/>
      <w:pageBreakBefore/>
      <w:spacing w:before="120" w:after="60"/>
      <w:ind w:left="360" w:hanging="360"/>
      <w:outlineLvl w:val="0"/>
    </w:pPr>
    <w:rPr>
      <w:rFonts w:ascii="Cambria" w:eastAsia="Cambria" w:hAnsi="Cambria" w:cs="Arial"/>
      <w:b/>
      <w:bCs/>
      <w:color w:val="00009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4EE1"/>
    <w:pPr>
      <w:keepNext/>
      <w:numPr>
        <w:numId w:val="2"/>
      </w:numPr>
      <w:spacing w:before="360" w:after="60"/>
      <w:outlineLvl w:val="1"/>
    </w:pPr>
    <w:rPr>
      <w:rFonts w:ascii="Cambria" w:eastAsia="Cambria" w:hAnsi="Cambria" w:cs="Arial"/>
      <w:b/>
      <w:bCs/>
      <w:i/>
      <w:iCs/>
      <w:color w:val="000090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11462"/>
    <w:pPr>
      <w:numPr>
        <w:ilvl w:val="2"/>
      </w:numPr>
      <w:outlineLvl w:val="2"/>
    </w:pPr>
    <w:rPr>
      <w:i w:val="0"/>
      <w:kern w:val="32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41"/>
    <w:rPr>
      <w:rFonts w:ascii="Cambria" w:eastAsia="Cambria" w:hAnsi="Cambria" w:cs="Arial"/>
      <w:b/>
      <w:bCs/>
      <w:color w:val="00009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4EE1"/>
    <w:rPr>
      <w:rFonts w:ascii="Cambria" w:eastAsia="Cambria" w:hAnsi="Cambria" w:cs="Arial"/>
      <w:b/>
      <w:bCs/>
      <w:i/>
      <w:iCs/>
      <w:color w:val="00009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11462"/>
    <w:rPr>
      <w:rFonts w:ascii="Cambria" w:eastAsia="Cambria" w:hAnsi="Cambria" w:cs="Arial"/>
      <w:b/>
      <w:bCs/>
      <w:iCs/>
      <w:color w:val="0000FF"/>
      <w:kern w:val="32"/>
      <w:szCs w:val="28"/>
      <w:lang w:val="en-GB" w:eastAsia="en-GB"/>
    </w:rPr>
  </w:style>
  <w:style w:type="paragraph" w:customStyle="1" w:styleId="numberedparas">
    <w:name w:val="numbered paras"/>
    <w:basedOn w:val="Normal"/>
    <w:rsid w:val="00CB4EE1"/>
    <w:pPr>
      <w:numPr>
        <w:numId w:val="22"/>
      </w:numPr>
      <w:spacing w:before="120" w:after="120"/>
      <w:jc w:val="both"/>
    </w:pPr>
    <w:rPr>
      <w:rFonts w:eastAsia="Cambria" w:cs="Times New Roman"/>
      <w:sz w:val="24"/>
      <w:szCs w:val="24"/>
      <w:lang w:eastAsia="en-GB"/>
    </w:rPr>
  </w:style>
  <w:style w:type="paragraph" w:customStyle="1" w:styleId="Tableindent">
    <w:name w:val="Table indent"/>
    <w:basedOn w:val="Normal"/>
    <w:rsid w:val="00606AF4"/>
    <w:pPr>
      <w:numPr>
        <w:numId w:val="7"/>
      </w:numPr>
      <w:spacing w:after="60"/>
    </w:pPr>
    <w:rPr>
      <w:rFonts w:ascii="Times New Roman" w:eastAsia="Cambria" w:hAnsi="Times New Roman" w:cs="Times New Roman"/>
      <w:sz w:val="20"/>
      <w:lang w:eastAsia="en-GB"/>
    </w:rPr>
  </w:style>
  <w:style w:type="paragraph" w:customStyle="1" w:styleId="Table">
    <w:name w:val="Table"/>
    <w:basedOn w:val="Normal"/>
    <w:rsid w:val="00F11462"/>
    <w:pPr>
      <w:tabs>
        <w:tab w:val="left" w:pos="567"/>
      </w:tabs>
      <w:spacing w:before="60" w:after="60"/>
    </w:pPr>
    <w:rPr>
      <w:rFonts w:ascii="Times New Roman" w:eastAsia="Cambria" w:hAnsi="Times New Roman" w:cs="Times New Roman"/>
      <w:sz w:val="20"/>
    </w:rPr>
  </w:style>
  <w:style w:type="paragraph" w:styleId="ListBullet">
    <w:name w:val="List Bullet"/>
    <w:basedOn w:val="Normal"/>
    <w:uiPriority w:val="99"/>
    <w:unhideWhenUsed/>
    <w:rsid w:val="00CB4EE1"/>
    <w:pPr>
      <w:numPr>
        <w:numId w:val="12"/>
      </w:numPr>
      <w:spacing w:before="120" w:after="120"/>
    </w:pPr>
    <w:rPr>
      <w:sz w:val="24"/>
      <w:szCs w:val="24"/>
    </w:rPr>
  </w:style>
  <w:style w:type="paragraph" w:customStyle="1" w:styleId="tableindentitalics">
    <w:name w:val="table indent italics"/>
    <w:basedOn w:val="Tableindent"/>
    <w:qFormat/>
    <w:rsid w:val="00606AF4"/>
    <w:pPr>
      <w:numPr>
        <w:numId w:val="0"/>
      </w:numPr>
    </w:pPr>
    <w:rPr>
      <w:i/>
    </w:rPr>
  </w:style>
  <w:style w:type="paragraph" w:styleId="ListParagraph">
    <w:name w:val="List Paragraph"/>
    <w:basedOn w:val="Normal"/>
    <w:uiPriority w:val="34"/>
    <w:qFormat/>
    <w:rsid w:val="00CB4EE1"/>
    <w:pPr>
      <w:ind w:left="720"/>
      <w:contextualSpacing/>
    </w:pPr>
  </w:style>
  <w:style w:type="table" w:styleId="TableGrid">
    <w:name w:val="Table Grid"/>
    <w:basedOn w:val="TableNormal"/>
    <w:uiPriority w:val="59"/>
    <w:rsid w:val="00CB4EE1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B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E1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CB4EE1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E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E4E6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E66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E4E6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19"/>
    <w:rPr>
      <w:rFonts w:eastAsiaTheme="minorHAns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E1"/>
    <w:pPr>
      <w:spacing w:line="276" w:lineRule="auto"/>
    </w:pPr>
    <w:rPr>
      <w:rFonts w:eastAsiaTheme="minorHAns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F71341"/>
    <w:pPr>
      <w:keepNext/>
      <w:keepLines/>
      <w:pageBreakBefore/>
      <w:spacing w:before="120" w:after="60"/>
      <w:ind w:left="360" w:hanging="360"/>
      <w:outlineLvl w:val="0"/>
    </w:pPr>
    <w:rPr>
      <w:rFonts w:ascii="Cambria" w:eastAsia="Cambria" w:hAnsi="Cambria" w:cs="Arial"/>
      <w:b/>
      <w:bCs/>
      <w:color w:val="00009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B4EE1"/>
    <w:pPr>
      <w:keepNext/>
      <w:numPr>
        <w:numId w:val="2"/>
      </w:numPr>
      <w:spacing w:before="360" w:after="60"/>
      <w:outlineLvl w:val="1"/>
    </w:pPr>
    <w:rPr>
      <w:rFonts w:ascii="Cambria" w:eastAsia="Cambria" w:hAnsi="Cambria" w:cs="Arial"/>
      <w:b/>
      <w:bCs/>
      <w:i/>
      <w:iCs/>
      <w:color w:val="000090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F11462"/>
    <w:pPr>
      <w:numPr>
        <w:ilvl w:val="2"/>
      </w:numPr>
      <w:outlineLvl w:val="2"/>
    </w:pPr>
    <w:rPr>
      <w:i w:val="0"/>
      <w:kern w:val="32"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341"/>
    <w:rPr>
      <w:rFonts w:ascii="Cambria" w:eastAsia="Cambria" w:hAnsi="Cambria" w:cs="Arial"/>
      <w:b/>
      <w:bCs/>
      <w:color w:val="00009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B4EE1"/>
    <w:rPr>
      <w:rFonts w:ascii="Cambria" w:eastAsia="Cambria" w:hAnsi="Cambria" w:cs="Arial"/>
      <w:b/>
      <w:bCs/>
      <w:i/>
      <w:iCs/>
      <w:color w:val="00009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F11462"/>
    <w:rPr>
      <w:rFonts w:ascii="Cambria" w:eastAsia="Cambria" w:hAnsi="Cambria" w:cs="Arial"/>
      <w:b/>
      <w:bCs/>
      <w:iCs/>
      <w:color w:val="0000FF"/>
      <w:kern w:val="32"/>
      <w:szCs w:val="28"/>
      <w:lang w:val="en-GB" w:eastAsia="en-GB"/>
    </w:rPr>
  </w:style>
  <w:style w:type="paragraph" w:customStyle="1" w:styleId="numberedparas">
    <w:name w:val="numbered paras"/>
    <w:basedOn w:val="Normal"/>
    <w:rsid w:val="00CB4EE1"/>
    <w:pPr>
      <w:numPr>
        <w:numId w:val="22"/>
      </w:numPr>
      <w:spacing w:before="120" w:after="120"/>
      <w:jc w:val="both"/>
    </w:pPr>
    <w:rPr>
      <w:rFonts w:eastAsia="Cambria" w:cs="Times New Roman"/>
      <w:sz w:val="24"/>
      <w:szCs w:val="24"/>
      <w:lang w:eastAsia="en-GB"/>
    </w:rPr>
  </w:style>
  <w:style w:type="paragraph" w:customStyle="1" w:styleId="Tableindent">
    <w:name w:val="Table indent"/>
    <w:basedOn w:val="Normal"/>
    <w:rsid w:val="00606AF4"/>
    <w:pPr>
      <w:numPr>
        <w:numId w:val="7"/>
      </w:numPr>
      <w:spacing w:after="60"/>
    </w:pPr>
    <w:rPr>
      <w:rFonts w:ascii="Times New Roman" w:eastAsia="Cambria" w:hAnsi="Times New Roman" w:cs="Times New Roman"/>
      <w:sz w:val="20"/>
      <w:lang w:eastAsia="en-GB"/>
    </w:rPr>
  </w:style>
  <w:style w:type="paragraph" w:customStyle="1" w:styleId="Table">
    <w:name w:val="Table"/>
    <w:basedOn w:val="Normal"/>
    <w:rsid w:val="00F11462"/>
    <w:pPr>
      <w:tabs>
        <w:tab w:val="left" w:pos="567"/>
      </w:tabs>
      <w:spacing w:before="60" w:after="60"/>
    </w:pPr>
    <w:rPr>
      <w:rFonts w:ascii="Times New Roman" w:eastAsia="Cambria" w:hAnsi="Times New Roman" w:cs="Times New Roman"/>
      <w:sz w:val="20"/>
    </w:rPr>
  </w:style>
  <w:style w:type="paragraph" w:styleId="ListBullet">
    <w:name w:val="List Bullet"/>
    <w:basedOn w:val="Normal"/>
    <w:uiPriority w:val="99"/>
    <w:unhideWhenUsed/>
    <w:rsid w:val="00CB4EE1"/>
    <w:pPr>
      <w:numPr>
        <w:numId w:val="12"/>
      </w:numPr>
      <w:spacing w:before="120" w:after="120"/>
      <w:ind w:left="990"/>
    </w:pPr>
    <w:rPr>
      <w:sz w:val="24"/>
      <w:szCs w:val="24"/>
    </w:rPr>
  </w:style>
  <w:style w:type="paragraph" w:customStyle="1" w:styleId="tableindentitalics">
    <w:name w:val="table indent italics"/>
    <w:basedOn w:val="Tableindent"/>
    <w:qFormat/>
    <w:rsid w:val="00606AF4"/>
    <w:pPr>
      <w:numPr>
        <w:numId w:val="0"/>
      </w:numPr>
    </w:pPr>
    <w:rPr>
      <w:i/>
    </w:rPr>
  </w:style>
  <w:style w:type="paragraph" w:styleId="ListParagraph">
    <w:name w:val="List Paragraph"/>
    <w:basedOn w:val="Normal"/>
    <w:uiPriority w:val="34"/>
    <w:qFormat/>
    <w:rsid w:val="00CB4EE1"/>
    <w:pPr>
      <w:ind w:left="720"/>
      <w:contextualSpacing/>
    </w:pPr>
  </w:style>
  <w:style w:type="table" w:styleId="TableGrid">
    <w:name w:val="Table Grid"/>
    <w:basedOn w:val="TableNormal"/>
    <w:uiPriority w:val="59"/>
    <w:rsid w:val="00CB4EE1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B4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E1"/>
    <w:rPr>
      <w:rFonts w:eastAsiaTheme="minorHAnsi"/>
      <w:sz w:val="20"/>
      <w:szCs w:val="20"/>
      <w:lang w:eastAsia="en-US"/>
    </w:rPr>
  </w:style>
  <w:style w:type="paragraph" w:customStyle="1" w:styleId="Default">
    <w:name w:val="Default"/>
    <w:rsid w:val="00CB4EE1"/>
    <w:pPr>
      <w:autoSpaceDE w:val="0"/>
      <w:autoSpaceDN w:val="0"/>
      <w:adjustRightInd w:val="0"/>
      <w:spacing w:after="0"/>
    </w:pPr>
    <w:rPr>
      <w:rFonts w:ascii="Arial" w:eastAsiaTheme="minorHAnsi" w:hAnsi="Arial" w:cs="Arial"/>
      <w:color w:val="00000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E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E1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8E4E66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E4E66"/>
    <w:rPr>
      <w:rFonts w:eastAsiaTheme="minorHAnsi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E4E66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F19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e.hu/letolt/budgetguide/17--%206%20%20Internal%20Control%20and%20Audi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16</Pages>
  <Words>4455</Words>
  <Characters>28648</Characters>
  <Application>Microsoft Office Word</Application>
  <DocSecurity>0</DocSecurity>
  <Lines>698</Lines>
  <Paragraphs>262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Richard Maggs</Company>
  <LinksUpToDate>false</LinksUpToDate>
  <CharactersWithSpaces>32841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Maggs</dc:creator>
  <cp:lastModifiedBy>MC</cp:lastModifiedBy>
  <cp:revision>160</cp:revision>
  <cp:lastPrinted>2014-09-06T13:42:00Z</cp:lastPrinted>
  <dcterms:created xsi:type="dcterms:W3CDTF">2014-09-12T09:04:00Z</dcterms:created>
  <dcterms:modified xsi:type="dcterms:W3CDTF">2014-09-15T13:08:00Z</dcterms:modified>
</cp:coreProperties>
</file>