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DE4B6" w14:textId="68CB89DD" w:rsidR="002C3149" w:rsidRPr="00E56EFE" w:rsidRDefault="002C3149" w:rsidP="008D07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 w:rsidRPr="008D07B8">
        <w:rPr>
          <w:rFonts w:ascii="Times New Roman" w:hAnsi="Times New Roman" w:cs="Times New Roman"/>
          <w:b/>
          <w:lang w:val="en-US"/>
        </w:rPr>
        <w:t>PEMPAL</w:t>
      </w:r>
      <w:r w:rsidRPr="00E56EFE">
        <w:rPr>
          <w:rFonts w:ascii="Times New Roman" w:hAnsi="Times New Roman" w:cs="Times New Roman"/>
          <w:b/>
          <w:lang w:val="ru-RU"/>
        </w:rPr>
        <w:t xml:space="preserve"> – </w:t>
      </w:r>
      <w:r w:rsidR="00E56EFE">
        <w:rPr>
          <w:rFonts w:ascii="Times New Roman" w:hAnsi="Times New Roman" w:cs="Times New Roman"/>
          <w:b/>
          <w:lang w:val="ru-RU"/>
        </w:rPr>
        <w:t>КС</w:t>
      </w:r>
      <w:r w:rsidR="00E56EFE" w:rsidRPr="00E56EFE">
        <w:rPr>
          <w:rFonts w:ascii="Times New Roman" w:hAnsi="Times New Roman" w:cs="Times New Roman"/>
          <w:b/>
          <w:lang w:val="ru-RU"/>
        </w:rPr>
        <w:t xml:space="preserve"> </w:t>
      </w:r>
      <w:r w:rsidRPr="00E56EFE">
        <w:rPr>
          <w:rFonts w:ascii="Times New Roman" w:hAnsi="Times New Roman" w:cs="Times New Roman"/>
          <w:b/>
          <w:lang w:val="ru-RU"/>
        </w:rPr>
        <w:t xml:space="preserve">– </w:t>
      </w:r>
      <w:r w:rsidR="00E56EFE">
        <w:rPr>
          <w:rFonts w:ascii="Times New Roman" w:hAnsi="Times New Roman" w:cs="Times New Roman"/>
          <w:b/>
          <w:lang w:val="ru-RU"/>
        </w:rPr>
        <w:t xml:space="preserve">Инструменты управления </w:t>
      </w:r>
      <w:r w:rsidR="005413FB">
        <w:rPr>
          <w:rFonts w:ascii="Times New Roman" w:hAnsi="Times New Roman" w:cs="Times New Roman"/>
          <w:b/>
          <w:lang w:val="ru-RU"/>
        </w:rPr>
        <w:t>денежными средствами</w:t>
      </w:r>
    </w:p>
    <w:p w14:paraId="776BEF4F" w14:textId="77777777" w:rsidR="002C3149" w:rsidRPr="00E56EFE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lang w:val="ru-RU"/>
        </w:rPr>
      </w:pPr>
    </w:p>
    <w:p w14:paraId="02C897B3" w14:textId="5993143F" w:rsidR="002C3149" w:rsidRPr="00E56EFE" w:rsidRDefault="00E56EFE" w:rsidP="002C3149">
      <w:pPr>
        <w:widowControl w:val="0"/>
        <w:autoSpaceDE w:val="0"/>
        <w:autoSpaceDN w:val="0"/>
        <w:adjustRightInd w:val="0"/>
        <w:jc w:val="both"/>
        <w:rPr>
          <w:rFonts w:cs="Helvetica Neue"/>
          <w:b/>
          <w:i/>
          <w:iCs/>
          <w:lang w:val="ru-RU"/>
        </w:rPr>
      </w:pPr>
      <w:r>
        <w:rPr>
          <w:rFonts w:cs="Helvetica Neue"/>
          <w:b/>
          <w:i/>
          <w:iCs/>
          <w:lang w:val="ru-RU"/>
        </w:rPr>
        <w:t xml:space="preserve">Видеоконференция, 19 октября </w:t>
      </w:r>
      <w:r w:rsidR="00C3439F" w:rsidRPr="00E56EFE">
        <w:rPr>
          <w:rFonts w:ascii="Helvetica Neue" w:hAnsi="Helvetica Neue" w:cs="Helvetica Neue"/>
          <w:b/>
          <w:i/>
          <w:iCs/>
          <w:lang w:val="ru-RU"/>
        </w:rPr>
        <w:t>201</w:t>
      </w:r>
      <w:r w:rsidR="00194478" w:rsidRPr="00E56EFE">
        <w:rPr>
          <w:rFonts w:ascii="Helvetica Neue" w:hAnsi="Helvetica Neue" w:cs="Helvetica Neue"/>
          <w:b/>
          <w:i/>
          <w:iCs/>
          <w:lang w:val="ru-RU"/>
        </w:rPr>
        <w:t>6</w:t>
      </w:r>
      <w:r>
        <w:rPr>
          <w:rFonts w:cs="Helvetica Neue"/>
          <w:b/>
          <w:i/>
          <w:iCs/>
          <w:lang w:val="ru-RU"/>
        </w:rPr>
        <w:t xml:space="preserve"> г.</w:t>
      </w:r>
    </w:p>
    <w:p w14:paraId="4453FAD1" w14:textId="77777777" w:rsidR="002C3149" w:rsidRPr="00E56EFE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lang w:val="ru-RU"/>
        </w:rPr>
      </w:pPr>
    </w:p>
    <w:p w14:paraId="0245A9CA" w14:textId="6E884336" w:rsidR="00194478" w:rsidRPr="00E70A18" w:rsidRDefault="00E56EFE" w:rsidP="002F4C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Трёхчасовая видеоконференция на тему применяемых в управлении </w:t>
      </w:r>
      <w:r w:rsidR="005413FB">
        <w:rPr>
          <w:rFonts w:ascii="Times New Roman" w:hAnsi="Times New Roman" w:cs="Times New Roman"/>
          <w:lang w:val="ru-RU"/>
        </w:rPr>
        <w:t>денежными средствами</w:t>
      </w:r>
      <w:r>
        <w:rPr>
          <w:rFonts w:ascii="Times New Roman" w:hAnsi="Times New Roman" w:cs="Times New Roman"/>
          <w:lang w:val="ru-RU"/>
        </w:rPr>
        <w:t xml:space="preserve"> финансовых инструментов состоялась 19 октября с участием 36 представителей из 12 стран.  В ней также приняли участие координатор программы </w:t>
      </w:r>
      <w:r w:rsidR="002F4CEE">
        <w:rPr>
          <w:rFonts w:ascii="Times New Roman" w:hAnsi="Times New Roman" w:cs="Times New Roman"/>
          <w:lang w:val="en-US"/>
        </w:rPr>
        <w:t>PEMPAL</w:t>
      </w:r>
      <w:r>
        <w:rPr>
          <w:rFonts w:ascii="Times New Roman" w:hAnsi="Times New Roman" w:cs="Times New Roman"/>
          <w:lang w:val="ru-RU"/>
        </w:rPr>
        <w:t xml:space="preserve"> Елена Никулина и советники К</w:t>
      </w:r>
      <w:r w:rsidR="002F4CEE">
        <w:rPr>
          <w:rFonts w:ascii="Times New Roman" w:hAnsi="Times New Roman" w:cs="Times New Roman"/>
          <w:lang w:val="ru-RU"/>
        </w:rPr>
        <w:t>азначейского Сообщества (КС)</w:t>
      </w:r>
      <w:r>
        <w:rPr>
          <w:rFonts w:ascii="Times New Roman" w:hAnsi="Times New Roman" w:cs="Times New Roman"/>
          <w:lang w:val="ru-RU"/>
        </w:rPr>
        <w:t xml:space="preserve"> Ион Кику и Марк </w:t>
      </w:r>
      <w:proofErr w:type="spellStart"/>
      <w:r>
        <w:rPr>
          <w:rFonts w:ascii="Times New Roman" w:hAnsi="Times New Roman" w:cs="Times New Roman"/>
          <w:lang w:val="ru-RU"/>
        </w:rPr>
        <w:t>Силинс</w:t>
      </w:r>
      <w:proofErr w:type="spellEnd"/>
      <w:r>
        <w:rPr>
          <w:rFonts w:ascii="Times New Roman" w:hAnsi="Times New Roman" w:cs="Times New Roman"/>
          <w:lang w:val="ru-RU"/>
        </w:rPr>
        <w:t xml:space="preserve">. Основная дискуссия во время конференции развернулась вокруг презентации Майка Уильямса, после которой последовали вопросы участников.  </w:t>
      </w:r>
      <w:proofErr w:type="gramStart"/>
      <w:r>
        <w:rPr>
          <w:rFonts w:ascii="Times New Roman" w:hAnsi="Times New Roman" w:cs="Times New Roman"/>
          <w:lang w:val="ru-RU"/>
        </w:rPr>
        <w:t xml:space="preserve">Это уже восьмое мероприятие, проводимое данной рабочей группой, если считать пять видеоконференций (ВК) в 2014 и 2015 гг., пленарное совещание в Тиране (Албания) в мае 2015 г., а также семинар в Анкаре (Турция) в марте 2016 г.  Тема данной ВК вошла в перечень </w:t>
      </w:r>
      <w:r w:rsidR="005413FB">
        <w:rPr>
          <w:rFonts w:ascii="Times New Roman" w:hAnsi="Times New Roman" w:cs="Times New Roman"/>
          <w:lang w:val="ru-RU"/>
        </w:rPr>
        <w:t>тем будущих обсуждений,</w:t>
      </w:r>
      <w:r>
        <w:rPr>
          <w:rFonts w:ascii="Times New Roman" w:hAnsi="Times New Roman" w:cs="Times New Roman"/>
          <w:lang w:val="ru-RU"/>
        </w:rPr>
        <w:t xml:space="preserve"> указанных участниками в ходе семинара в Анкаре.</w:t>
      </w:r>
      <w:proofErr w:type="gramEnd"/>
      <w:r>
        <w:rPr>
          <w:rFonts w:ascii="Times New Roman" w:hAnsi="Times New Roman" w:cs="Times New Roman"/>
          <w:lang w:val="ru-RU"/>
        </w:rPr>
        <w:t xml:space="preserve"> Ниже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имеются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вставки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списком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участников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программой</w:t>
      </w:r>
      <w:r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ВК</w:t>
      </w:r>
      <w:r w:rsidR="00194478" w:rsidRPr="00E70A18">
        <w:rPr>
          <w:rFonts w:ascii="Times New Roman" w:hAnsi="Times New Roman" w:cs="Times New Roman"/>
          <w:lang w:val="ru-RU"/>
        </w:rPr>
        <w:t>.</w:t>
      </w:r>
    </w:p>
    <w:p w14:paraId="458F4AD4" w14:textId="77C8E8EB" w:rsidR="00194478" w:rsidRPr="00E70A18" w:rsidRDefault="007A62FE" w:rsidP="0019447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en-US"/>
        </w:rPr>
        <w:pict w14:anchorId="2C513F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27.9pt;margin-top:6.9pt;width:48pt;height:30.75pt;z-index:251662336;mso-position-horizontal-relative:text;mso-position-vertical-relative:text;mso-width-relative:page;mso-height-relative:page" filled="t" fillcolor="#ffc000">
            <v:imagedata r:id="rId9" o:title=""/>
            <w10:wrap type="square"/>
          </v:shape>
          <o:OLEObject Type="Embed" ProgID="Excel.Sheet.12" ShapeID="_x0000_s1030" DrawAspect="Icon" ObjectID="_1540643242" r:id="rId10"/>
        </w:pict>
      </w:r>
      <w:r>
        <w:rPr>
          <w:rFonts w:ascii="Times New Roman" w:hAnsi="Times New Roman" w:cs="Times New Roman"/>
          <w:noProof/>
        </w:rPr>
        <w:pict w14:anchorId="4401706D">
          <v:shape id="_x0000_s1026" type="#_x0000_t75" style="position:absolute;left:0;text-align:left;margin-left:76.1pt;margin-top:3.1pt;width:64.35pt;height:41.15pt;z-index:251658240;mso-position-horizontal-relative:text;mso-position-vertical-relative:text;mso-width-relative:page;mso-height-relative:page" filled="t" fillcolor="#92d050">
            <v:imagedata r:id="rId11" o:title=""/>
            <w10:wrap type="square"/>
          </v:shape>
          <o:OLEObject Type="Embed" ProgID="Word.Document.8" ShapeID="_x0000_s1026" DrawAspect="Icon" ObjectID="_1540643243" r:id="rId12">
            <o:FieldCodes>\s</o:FieldCodes>
          </o:OLEObject>
        </w:pict>
      </w:r>
    </w:p>
    <w:p w14:paraId="33A8FEEB" w14:textId="40A696C0" w:rsidR="002C3149" w:rsidRPr="00E70A18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28F69142" w14:textId="77777777" w:rsidR="008D07B8" w:rsidRPr="00E70A18" w:rsidRDefault="008D07B8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1E0547BD" w14:textId="77777777" w:rsidR="00194478" w:rsidRPr="00E70A18" w:rsidRDefault="00194478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761A9788" w14:textId="44458947" w:rsidR="0001250A" w:rsidRDefault="007F6239" w:rsidP="002F4CE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 xml:space="preserve">  Презентация</w:t>
      </w:r>
      <w:r w:rsidR="00CE2E53">
        <w:rPr>
          <w:rFonts w:ascii="Times New Roman" w:hAnsi="Times New Roman" w:cs="Times New Roman"/>
          <w:lang w:val="ru-RU"/>
        </w:rPr>
        <w:t xml:space="preserve"> Майка</w:t>
      </w:r>
      <w:r w:rsidR="0001250A">
        <w:rPr>
          <w:rFonts w:ascii="Times New Roman" w:hAnsi="Times New Roman" w:cs="Times New Roman"/>
          <w:lang w:val="en-US"/>
        </w:rPr>
        <w:t>:</w:t>
      </w:r>
    </w:p>
    <w:p w14:paraId="6F178027" w14:textId="77777777" w:rsidR="0001250A" w:rsidRDefault="0001250A" w:rsidP="002F4CE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n-US"/>
        </w:rPr>
      </w:pPr>
    </w:p>
    <w:p w14:paraId="51DEDE5F" w14:textId="1B28FAC0" w:rsidR="0001250A" w:rsidRPr="007F6239" w:rsidRDefault="007F6239" w:rsidP="002F4C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стала</w:t>
      </w:r>
      <w:r w:rsidRPr="007F623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полезным напоминанием о ключевых задачах управления </w:t>
      </w:r>
      <w:r w:rsidR="005413FB">
        <w:rPr>
          <w:rFonts w:ascii="Times New Roman" w:hAnsi="Times New Roman" w:cs="Times New Roman"/>
          <w:lang w:val="ru-RU"/>
        </w:rPr>
        <w:t>денежными средствами</w:t>
      </w:r>
      <w:r>
        <w:rPr>
          <w:rFonts w:ascii="Times New Roman" w:hAnsi="Times New Roman" w:cs="Times New Roman"/>
          <w:lang w:val="ru-RU"/>
        </w:rPr>
        <w:t xml:space="preserve">, преимуществах, проистекающих из эффективного управления </w:t>
      </w:r>
      <w:r w:rsidR="005413FB">
        <w:rPr>
          <w:rFonts w:ascii="Times New Roman" w:hAnsi="Times New Roman" w:cs="Times New Roman"/>
          <w:lang w:val="ru-RU"/>
        </w:rPr>
        <w:t>налич</w:t>
      </w:r>
      <w:r>
        <w:rPr>
          <w:rFonts w:ascii="Times New Roman" w:hAnsi="Times New Roman" w:cs="Times New Roman"/>
          <w:lang w:val="ru-RU"/>
        </w:rPr>
        <w:t xml:space="preserve">ностью, а также о том, что достижение конечной цели управления </w:t>
      </w:r>
      <w:r w:rsidR="005413FB">
        <w:rPr>
          <w:rFonts w:ascii="Times New Roman" w:hAnsi="Times New Roman" w:cs="Times New Roman"/>
          <w:lang w:val="ru-RU"/>
        </w:rPr>
        <w:t>денежными средствами</w:t>
      </w:r>
      <w:r>
        <w:rPr>
          <w:rFonts w:ascii="Times New Roman" w:hAnsi="Times New Roman" w:cs="Times New Roman"/>
          <w:lang w:val="ru-RU"/>
        </w:rPr>
        <w:t xml:space="preserve"> не происходит в отрыве от других задач, так как она направлена на поддержку налогово-бюджетной и денежной политики, а также управления долгом</w:t>
      </w:r>
      <w:r w:rsidR="0001250A" w:rsidRPr="007F6239">
        <w:rPr>
          <w:rFonts w:ascii="Times New Roman" w:hAnsi="Times New Roman" w:cs="Times New Roman"/>
          <w:lang w:val="ru-RU"/>
        </w:rPr>
        <w:t>;</w:t>
      </w:r>
    </w:p>
    <w:p w14:paraId="2EB2F54A" w14:textId="6C0290E6" w:rsidR="007F6239" w:rsidRPr="007F6239" w:rsidRDefault="007F6239" w:rsidP="002F4C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вернулась к вопросу о важности ЕКС как средства централизованного управления </w:t>
      </w:r>
      <w:r w:rsidR="005413FB">
        <w:rPr>
          <w:rFonts w:ascii="Times New Roman" w:hAnsi="Times New Roman" w:cs="Times New Roman"/>
          <w:lang w:val="ru-RU"/>
        </w:rPr>
        <w:t>денежными средствами</w:t>
      </w:r>
      <w:r>
        <w:rPr>
          <w:rFonts w:ascii="Times New Roman" w:hAnsi="Times New Roman" w:cs="Times New Roman"/>
          <w:lang w:val="ru-RU"/>
        </w:rPr>
        <w:t xml:space="preserve">. Проведение операций на едином банковском счёте, или </w:t>
      </w:r>
      <w:r w:rsidR="005413FB">
        <w:rPr>
          <w:rFonts w:ascii="Times New Roman" w:hAnsi="Times New Roman" w:cs="Times New Roman"/>
          <w:lang w:val="ru-RU"/>
        </w:rPr>
        <w:t>в цепочке</w:t>
      </w:r>
      <w:r>
        <w:rPr>
          <w:rFonts w:ascii="Times New Roman" w:hAnsi="Times New Roman" w:cs="Times New Roman"/>
          <w:lang w:val="ru-RU"/>
        </w:rPr>
        <w:t xml:space="preserve"> связанных между собой счетов, улучшает контроль и планирование, снижает административные издержки, и за счёт концентрации государственных наличных средств в одном месте открывает возможности для более эффективного управления ликвидностью и повышения устойчи</w:t>
      </w:r>
      <w:r w:rsidR="005413FB">
        <w:rPr>
          <w:rFonts w:ascii="Times New Roman" w:hAnsi="Times New Roman" w:cs="Times New Roman"/>
          <w:lang w:val="ru-RU"/>
        </w:rPr>
        <w:t>вости к финансовым потрясениям;</w:t>
      </w:r>
    </w:p>
    <w:p w14:paraId="30833173" w14:textId="7D0901CF" w:rsidR="0064525D" w:rsidRPr="005413FB" w:rsidRDefault="005413FB" w:rsidP="002F4C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подчеркнула мысль о том, что при наличии ЕКС управленцы могут лучше прогнозировать остатки на счету, и, следовательно, могут заниматься «грубой» или «тонкой» настройкой всего денежного потока, т.е. сглаживать этот поток, с</w:t>
      </w:r>
      <w:r w:rsidR="004206C6">
        <w:rPr>
          <w:rFonts w:ascii="Times New Roman" w:hAnsi="Times New Roman" w:cs="Times New Roman"/>
          <w:lang w:val="ru-RU"/>
        </w:rPr>
        <w:t>нижая волатильность сальдо.</w:t>
      </w:r>
      <w:proofErr w:type="gramEnd"/>
      <w:r w:rsidR="004206C6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Казначейские векселя (КВ), особенно краткосрочные (зачастую со сроком погашения в 1 месяц) обычно используются в качестве основного инструмента грубой настройки, в то время как тонкая настройка требует более активного управления с привлечением широкого диапазона инструментов</w:t>
      </w:r>
      <w:r w:rsidR="006D6287">
        <w:rPr>
          <w:rFonts w:ascii="Times New Roman" w:hAnsi="Times New Roman" w:cs="Times New Roman"/>
          <w:lang w:val="ru-RU"/>
        </w:rPr>
        <w:t xml:space="preserve"> краткосрочного погашения, в частности соглашений о продаже и обратном выкупе (</w:t>
      </w:r>
      <w:proofErr w:type="spellStart"/>
      <w:r w:rsidR="006D6287">
        <w:rPr>
          <w:rFonts w:ascii="Times New Roman" w:hAnsi="Times New Roman" w:cs="Times New Roman"/>
          <w:lang w:val="ru-RU"/>
        </w:rPr>
        <w:t>репо</w:t>
      </w:r>
      <w:proofErr w:type="spellEnd"/>
      <w:r w:rsidR="006D6287">
        <w:rPr>
          <w:rFonts w:ascii="Times New Roman" w:hAnsi="Times New Roman" w:cs="Times New Roman"/>
          <w:lang w:val="ru-RU"/>
        </w:rPr>
        <w:t>)</w:t>
      </w:r>
      <w:r w:rsidR="0064525D" w:rsidRPr="005413FB">
        <w:rPr>
          <w:rFonts w:ascii="Times New Roman" w:hAnsi="Times New Roman" w:cs="Times New Roman"/>
          <w:lang w:val="ru-RU"/>
        </w:rPr>
        <w:t>;</w:t>
      </w:r>
    </w:p>
    <w:p w14:paraId="12CFAA86" w14:textId="364F478C" w:rsidR="006D6287" w:rsidRPr="006D6287" w:rsidRDefault="006D6287" w:rsidP="002F4C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описала разные инструменты, чаще всего применяемые для настройки сальдо, как в области заимствования, так и капиталовложения.  Современный уровень управления денежными средствами не сводится к размещению долговых бумаг, но также предполагает активное инвестирование краткосрочных кассовых излишков;</w:t>
      </w:r>
    </w:p>
    <w:p w14:paraId="4C4740F7" w14:textId="47DEA77C" w:rsidR="00D5379B" w:rsidRPr="006D6287" w:rsidRDefault="006D6287" w:rsidP="002F4CE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обсудила концепцию управления рисками и выделила основные элементы рисков, касающихся управления денежными средствами</w:t>
      </w:r>
      <w:r w:rsidR="00A52006" w:rsidRPr="006D6287">
        <w:rPr>
          <w:rFonts w:ascii="Times New Roman" w:hAnsi="Times New Roman" w:cs="Times New Roman"/>
          <w:lang w:val="ru-RU"/>
        </w:rPr>
        <w:t>.</w:t>
      </w:r>
    </w:p>
    <w:p w14:paraId="6D3B4750" w14:textId="77777777" w:rsidR="00693852" w:rsidRPr="006D6287" w:rsidRDefault="00693852" w:rsidP="00693852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003FA42E" w14:textId="3EBC5DAB" w:rsidR="00A52006" w:rsidRPr="006D6287" w:rsidRDefault="006D6287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Ниже содержится вставка с полной презентацией</w:t>
      </w:r>
      <w:r w:rsidR="00693852" w:rsidRPr="006D6287">
        <w:rPr>
          <w:rFonts w:ascii="Times New Roman" w:hAnsi="Times New Roman" w:cs="Times New Roman"/>
          <w:lang w:val="ru-RU"/>
        </w:rPr>
        <w:t>.</w:t>
      </w:r>
    </w:p>
    <w:p w14:paraId="576985CD" w14:textId="71C68B30" w:rsidR="00194478" w:rsidRPr="006D6287" w:rsidRDefault="00194478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063EEE41" w14:textId="77777777" w:rsidR="00194478" w:rsidRPr="006D6287" w:rsidRDefault="00194478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3746F2DB" w14:textId="77777777" w:rsidR="00194478" w:rsidRPr="006D6287" w:rsidRDefault="00194478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37DF7AB9" w14:textId="77777777" w:rsidR="00194478" w:rsidRPr="006D6287" w:rsidRDefault="00194478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6B0DD19B" w14:textId="657E8FC5" w:rsidR="00194478" w:rsidRPr="006D6287" w:rsidRDefault="00EB005B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object w:dxaOrig="1513" w:dyaOrig="984" w14:anchorId="78837077">
          <v:shape id="_x0000_i1025" type="#_x0000_t75" style="width:75.6pt;height:49.2pt" o:ole="">
            <v:imagedata r:id="rId13" o:title=""/>
          </v:shape>
          <o:OLEObject Type="Embed" ProgID="PowerPoint.Show.12" ShapeID="_x0000_i1025" DrawAspect="Icon" ObjectID="_1540643241" r:id="rId14"/>
        </w:object>
      </w:r>
    </w:p>
    <w:p w14:paraId="18285DF4" w14:textId="7FA4F660" w:rsidR="00A52006" w:rsidRPr="00E70A18" w:rsidRDefault="00CE2E53" w:rsidP="002F4CEE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рамках м</w:t>
      </w:r>
      <w:r w:rsidR="006D6287">
        <w:rPr>
          <w:rFonts w:ascii="Times New Roman" w:hAnsi="Times New Roman" w:cs="Times New Roman"/>
          <w:lang w:val="ru-RU"/>
        </w:rPr>
        <w:t>ероприяти</w:t>
      </w:r>
      <w:r>
        <w:rPr>
          <w:rFonts w:ascii="Times New Roman" w:hAnsi="Times New Roman" w:cs="Times New Roman"/>
          <w:lang w:val="ru-RU"/>
        </w:rPr>
        <w:t>й</w:t>
      </w:r>
      <w:r w:rsidR="006D6287">
        <w:rPr>
          <w:rFonts w:ascii="Times New Roman" w:hAnsi="Times New Roman" w:cs="Times New Roman"/>
          <w:lang w:val="ru-RU"/>
        </w:rPr>
        <w:t>, проводимы</w:t>
      </w:r>
      <w:r>
        <w:rPr>
          <w:rFonts w:ascii="Times New Roman" w:hAnsi="Times New Roman" w:cs="Times New Roman"/>
          <w:lang w:val="ru-RU"/>
        </w:rPr>
        <w:t>х</w:t>
      </w:r>
      <w:r w:rsidR="006D6287">
        <w:rPr>
          <w:rFonts w:ascii="Times New Roman" w:hAnsi="Times New Roman" w:cs="Times New Roman"/>
          <w:lang w:val="ru-RU"/>
        </w:rPr>
        <w:t xml:space="preserve"> этой рабочей группой, и раньше в</w:t>
      </w:r>
      <w:r>
        <w:rPr>
          <w:rFonts w:ascii="Times New Roman" w:hAnsi="Times New Roman" w:cs="Times New Roman"/>
          <w:lang w:val="ru-RU"/>
        </w:rPr>
        <w:t>озникало</w:t>
      </w:r>
      <w:r w:rsidR="006D6287">
        <w:rPr>
          <w:rFonts w:ascii="Times New Roman" w:hAnsi="Times New Roman" w:cs="Times New Roman"/>
          <w:lang w:val="ru-RU"/>
        </w:rPr>
        <w:t xml:space="preserve"> множество </w:t>
      </w:r>
      <w:r w:rsidR="00E30CDD">
        <w:rPr>
          <w:rFonts w:ascii="Times New Roman" w:hAnsi="Times New Roman" w:cs="Times New Roman"/>
          <w:lang w:val="ru-RU"/>
        </w:rPr>
        <w:t>вопросов</w:t>
      </w:r>
      <w:r>
        <w:rPr>
          <w:rFonts w:ascii="Times New Roman" w:hAnsi="Times New Roman" w:cs="Times New Roman"/>
          <w:lang w:val="ru-RU"/>
        </w:rPr>
        <w:t xml:space="preserve">, а дискуссии проходили с </w:t>
      </w:r>
      <w:r w:rsidR="00E30CDD">
        <w:rPr>
          <w:rFonts w:ascii="Times New Roman" w:hAnsi="Times New Roman" w:cs="Times New Roman"/>
          <w:lang w:val="ru-RU"/>
        </w:rPr>
        <w:t>самой высокой активностью участников ВК.  Но это мероприятие превзошло все ранее отмеченные уровни активности</w:t>
      </w:r>
      <w:r w:rsidR="00E70A18">
        <w:rPr>
          <w:rFonts w:ascii="Times New Roman" w:hAnsi="Times New Roman" w:cs="Times New Roman"/>
          <w:lang w:val="ru-RU"/>
        </w:rPr>
        <w:t>, вызвав небывалый интерес у участников. Ниже приводятся в кратком виде некоторые ключевые вопросы и ответы, прозвучавшие в ходе дискуссии:</w:t>
      </w:r>
    </w:p>
    <w:p w14:paraId="72C25112" w14:textId="77777777" w:rsidR="00A52006" w:rsidRPr="00E70A18" w:rsidRDefault="00A52006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3088E9B2" w14:textId="00FA2224" w:rsidR="00462948" w:rsidRPr="00E70A18" w:rsidRDefault="00E70A18" w:rsidP="00E70A1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управление</w:t>
      </w:r>
      <w:r w:rsidRPr="00E70A1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рисками</w:t>
      </w:r>
      <w:r w:rsidRPr="00E70A1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</w:t>
      </w:r>
      <w:r w:rsidRPr="00E70A1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залоговое</w:t>
      </w:r>
      <w:r w:rsidRPr="00E70A18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обеспечени</w:t>
      </w:r>
      <w:proofErr w:type="gramStart"/>
      <w:r>
        <w:rPr>
          <w:rFonts w:ascii="Times New Roman" w:hAnsi="Times New Roman" w:cs="Times New Roman"/>
          <w:b/>
          <w:lang w:val="ru-RU"/>
        </w:rPr>
        <w:t>е</w:t>
      </w:r>
      <w:r w:rsidR="00A52006" w:rsidRPr="00E70A18">
        <w:rPr>
          <w:rFonts w:ascii="Times New Roman" w:hAnsi="Times New Roman" w:cs="Times New Roman"/>
          <w:lang w:val="ru-RU"/>
        </w:rPr>
        <w:t>–</w:t>
      </w:r>
      <w:proofErr w:type="gramEnd"/>
      <w:r w:rsidR="00A52006" w:rsidRPr="00E70A1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Майк предложил провести в будущем мероприятие по управлению рисками, в том числе операционными.  Что касается обеспечения, то все государственные займы должны быть обеспечены залогом.  Обычно в роли такого обеспечения выступают государственные ценные бумаги (они могут быть ценными бумагами центрального банка)</w:t>
      </w:r>
      <w:r w:rsidR="00462948" w:rsidRPr="00E70A18">
        <w:rPr>
          <w:rFonts w:ascii="Times New Roman" w:hAnsi="Times New Roman" w:cs="Times New Roman"/>
          <w:lang w:val="ru-RU"/>
        </w:rPr>
        <w:t>;</w:t>
      </w:r>
    </w:p>
    <w:p w14:paraId="65337580" w14:textId="2ED70DE3" w:rsidR="00693852" w:rsidRPr="005F7015" w:rsidRDefault="00E70A18" w:rsidP="005F701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как</w:t>
      </w:r>
      <w:r w:rsidRPr="005F701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рассчитать</w:t>
      </w:r>
      <w:r w:rsidRPr="005F7015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lang w:val="ru-RU"/>
        </w:rPr>
        <w:t>денежные</w:t>
      </w:r>
      <w:proofErr w:type="gramEnd"/>
      <w:r w:rsidRPr="005F701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запасы</w:t>
      </w:r>
      <w:r w:rsidR="00462948" w:rsidRPr="005F7015">
        <w:rPr>
          <w:rFonts w:ascii="Times New Roman" w:hAnsi="Times New Roman" w:cs="Times New Roman"/>
          <w:lang w:val="ru-RU"/>
        </w:rPr>
        <w:t>–</w:t>
      </w:r>
      <w:r>
        <w:rPr>
          <w:rFonts w:ascii="Times New Roman" w:hAnsi="Times New Roman" w:cs="Times New Roman"/>
          <w:lang w:val="ru-RU"/>
        </w:rPr>
        <w:t>Уровень</w:t>
      </w:r>
      <w:r w:rsidRPr="005F701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</w:t>
      </w:r>
      <w:r w:rsidR="005F7015">
        <w:rPr>
          <w:rFonts w:ascii="Times New Roman" w:hAnsi="Times New Roman" w:cs="Times New Roman"/>
          <w:lang w:val="ru-RU"/>
        </w:rPr>
        <w:t>зервных запасов определяется рядом факторов.  Сюда относится волатильность денежных потоков, возможность их прогнозирования и управления ими в соответствии с прогнозами (что зависит от рыночной ликвидности), скорости реагирования в случае непредвиденного оттока денежной массы и наличия «сетки безопасности» для стабильного функционирования финансовой системы.  Определяющую роль играют накопленные ошибки прогнозирования в течение определённого периода времени; резервы должны допускать максимальную накопленную ошибку прогнозирования в течение тог</w:t>
      </w:r>
      <w:r w:rsidR="00993931">
        <w:rPr>
          <w:rFonts w:ascii="Times New Roman" w:hAnsi="Times New Roman" w:cs="Times New Roman"/>
          <w:lang w:val="ru-RU"/>
        </w:rPr>
        <w:t>о</w:t>
      </w:r>
      <w:r w:rsidR="005F7015">
        <w:rPr>
          <w:rFonts w:ascii="Times New Roman" w:hAnsi="Times New Roman" w:cs="Times New Roman"/>
          <w:lang w:val="ru-RU"/>
        </w:rPr>
        <w:t xml:space="preserve"> периода, в течение которого избранная мера отреагирует на ситуацию (на это зачастую уходит около двух недель).  Необходимо также добавить дополнительный компонент в целя</w:t>
      </w:r>
      <w:r w:rsidR="00993931">
        <w:rPr>
          <w:rFonts w:ascii="Times New Roman" w:hAnsi="Times New Roman" w:cs="Times New Roman"/>
          <w:lang w:val="ru-RU"/>
        </w:rPr>
        <w:t>х</w:t>
      </w:r>
      <w:r w:rsidR="005F7015">
        <w:rPr>
          <w:rFonts w:ascii="Times New Roman" w:hAnsi="Times New Roman" w:cs="Times New Roman"/>
          <w:lang w:val="ru-RU"/>
        </w:rPr>
        <w:t xml:space="preserve"> учёта вероятного смятения на финансовых рынках</w:t>
      </w:r>
      <w:r w:rsidR="001E5B9A" w:rsidRPr="005F7015">
        <w:rPr>
          <w:rFonts w:ascii="Times New Roman" w:hAnsi="Times New Roman" w:cs="Times New Roman"/>
          <w:lang w:val="ru-RU"/>
        </w:rPr>
        <w:t xml:space="preserve">. </w:t>
      </w:r>
    </w:p>
    <w:p w14:paraId="2DAB5A22" w14:textId="6E33E539" w:rsidR="00462948" w:rsidRPr="00D87F45" w:rsidRDefault="004206C6" w:rsidP="00D87F45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Возможна</w:t>
      </w:r>
      <w:r w:rsidR="005F7015" w:rsidRPr="00D87F45">
        <w:rPr>
          <w:rFonts w:ascii="Times New Roman" w:hAnsi="Times New Roman" w:cs="Times New Roman"/>
          <w:b/>
          <w:lang w:val="ru-RU"/>
        </w:rPr>
        <w:t xml:space="preserve"> </w:t>
      </w:r>
      <w:r w:rsidR="005F7015">
        <w:rPr>
          <w:rFonts w:ascii="Times New Roman" w:hAnsi="Times New Roman" w:cs="Times New Roman"/>
          <w:b/>
          <w:lang w:val="ru-RU"/>
        </w:rPr>
        <w:t>ли</w:t>
      </w:r>
      <w:r w:rsidR="005F7015" w:rsidRPr="00D87F4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постановка задачи «</w:t>
      </w:r>
      <w:r w:rsidR="00D87F45">
        <w:rPr>
          <w:rFonts w:ascii="Times New Roman" w:hAnsi="Times New Roman" w:cs="Times New Roman"/>
          <w:b/>
          <w:lang w:val="ru-RU"/>
        </w:rPr>
        <w:t>достижение</w:t>
      </w:r>
      <w:r w:rsidR="00D87F45" w:rsidRPr="00D87F45">
        <w:rPr>
          <w:rFonts w:ascii="Times New Roman" w:hAnsi="Times New Roman" w:cs="Times New Roman"/>
          <w:b/>
          <w:lang w:val="ru-RU"/>
        </w:rPr>
        <w:t xml:space="preserve"> </w:t>
      </w:r>
      <w:r w:rsidR="00D87F45">
        <w:rPr>
          <w:rFonts w:ascii="Times New Roman" w:hAnsi="Times New Roman" w:cs="Times New Roman"/>
          <w:b/>
          <w:lang w:val="ru-RU"/>
        </w:rPr>
        <w:t>нулевого</w:t>
      </w:r>
      <w:r w:rsidR="00D87F45" w:rsidRPr="00D87F45">
        <w:rPr>
          <w:rFonts w:ascii="Times New Roman" w:hAnsi="Times New Roman" w:cs="Times New Roman"/>
          <w:b/>
          <w:lang w:val="ru-RU"/>
        </w:rPr>
        <w:t xml:space="preserve"> </w:t>
      </w:r>
      <w:r w:rsidR="00D87F45">
        <w:rPr>
          <w:rFonts w:ascii="Times New Roman" w:hAnsi="Times New Roman" w:cs="Times New Roman"/>
          <w:b/>
          <w:lang w:val="ru-RU"/>
        </w:rPr>
        <w:t>сальдо</w:t>
      </w:r>
      <w:r w:rsidR="00D87F45" w:rsidRPr="00D87F45">
        <w:rPr>
          <w:rFonts w:ascii="Times New Roman" w:hAnsi="Times New Roman" w:cs="Times New Roman"/>
          <w:b/>
          <w:lang w:val="ru-RU"/>
        </w:rPr>
        <w:t xml:space="preserve"> </w:t>
      </w:r>
      <w:r w:rsidR="00D87F45">
        <w:rPr>
          <w:rFonts w:ascii="Times New Roman" w:hAnsi="Times New Roman" w:cs="Times New Roman"/>
          <w:b/>
          <w:lang w:val="ru-RU"/>
        </w:rPr>
        <w:t>на</w:t>
      </w:r>
      <w:r w:rsidR="00D87F45" w:rsidRPr="00D87F45">
        <w:rPr>
          <w:rFonts w:ascii="Times New Roman" w:hAnsi="Times New Roman" w:cs="Times New Roman"/>
          <w:b/>
          <w:lang w:val="ru-RU"/>
        </w:rPr>
        <w:t xml:space="preserve"> </w:t>
      </w:r>
      <w:r w:rsidR="00D87F45">
        <w:rPr>
          <w:rFonts w:ascii="Times New Roman" w:hAnsi="Times New Roman" w:cs="Times New Roman"/>
          <w:b/>
          <w:lang w:val="ru-RU"/>
        </w:rPr>
        <w:t>ЕКС</w:t>
      </w:r>
      <w:r>
        <w:rPr>
          <w:rFonts w:ascii="Times New Roman" w:hAnsi="Times New Roman" w:cs="Times New Roman"/>
          <w:b/>
          <w:lang w:val="ru-RU"/>
        </w:rPr>
        <w:t>»</w:t>
      </w:r>
      <w:r w:rsidR="00693852" w:rsidRPr="00D87F45">
        <w:rPr>
          <w:rFonts w:ascii="Times New Roman" w:hAnsi="Times New Roman" w:cs="Times New Roman"/>
          <w:b/>
          <w:lang w:val="ru-RU"/>
        </w:rPr>
        <w:t>?</w:t>
      </w:r>
      <w:r w:rsidR="00693852" w:rsidRPr="00D87F45">
        <w:rPr>
          <w:rFonts w:ascii="Times New Roman" w:hAnsi="Times New Roman" w:cs="Times New Roman"/>
          <w:lang w:val="ru-RU"/>
        </w:rPr>
        <w:t xml:space="preserve"> </w:t>
      </w:r>
      <w:r w:rsidR="00D87F45">
        <w:rPr>
          <w:rFonts w:ascii="Times New Roman" w:hAnsi="Times New Roman" w:cs="Times New Roman"/>
          <w:lang w:val="ru-RU"/>
        </w:rPr>
        <w:t>Страны</w:t>
      </w:r>
      <w:r w:rsidR="00D87F45" w:rsidRPr="00D87F45">
        <w:rPr>
          <w:rFonts w:ascii="Times New Roman" w:hAnsi="Times New Roman" w:cs="Times New Roman"/>
          <w:lang w:val="ru-RU"/>
        </w:rPr>
        <w:t xml:space="preserve">, </w:t>
      </w:r>
      <w:r w:rsidR="00D87F45">
        <w:rPr>
          <w:rFonts w:ascii="Times New Roman" w:hAnsi="Times New Roman" w:cs="Times New Roman"/>
          <w:lang w:val="ru-RU"/>
        </w:rPr>
        <w:t>имеющие</w:t>
      </w:r>
      <w:r w:rsidR="00D87F45" w:rsidRPr="00D87F45">
        <w:rPr>
          <w:rFonts w:ascii="Times New Roman" w:hAnsi="Times New Roman" w:cs="Times New Roman"/>
          <w:lang w:val="ru-RU"/>
        </w:rPr>
        <w:t xml:space="preserve"> </w:t>
      </w:r>
      <w:r w:rsidR="00D87F45">
        <w:rPr>
          <w:rFonts w:ascii="Times New Roman" w:hAnsi="Times New Roman" w:cs="Times New Roman"/>
          <w:lang w:val="ru-RU"/>
        </w:rPr>
        <w:t>свободный</w:t>
      </w:r>
      <w:r w:rsidR="00D87F45" w:rsidRPr="00D87F45">
        <w:rPr>
          <w:rFonts w:ascii="Times New Roman" w:hAnsi="Times New Roman" w:cs="Times New Roman"/>
          <w:lang w:val="ru-RU"/>
        </w:rPr>
        <w:t xml:space="preserve"> </w:t>
      </w:r>
      <w:r w:rsidR="00D87F45">
        <w:rPr>
          <w:rFonts w:ascii="Times New Roman" w:hAnsi="Times New Roman" w:cs="Times New Roman"/>
          <w:lang w:val="ru-RU"/>
        </w:rPr>
        <w:t>доступ</w:t>
      </w:r>
      <w:r w:rsidR="00D87F45" w:rsidRPr="00D87F45">
        <w:rPr>
          <w:rFonts w:ascii="Times New Roman" w:hAnsi="Times New Roman" w:cs="Times New Roman"/>
          <w:lang w:val="ru-RU"/>
        </w:rPr>
        <w:t xml:space="preserve"> </w:t>
      </w:r>
      <w:r w:rsidR="00D87F45">
        <w:rPr>
          <w:rFonts w:ascii="Times New Roman" w:hAnsi="Times New Roman" w:cs="Times New Roman"/>
          <w:lang w:val="ru-RU"/>
        </w:rPr>
        <w:t>к</w:t>
      </w:r>
      <w:r w:rsidR="00D87F45" w:rsidRPr="00D87F45">
        <w:rPr>
          <w:rFonts w:ascii="Times New Roman" w:hAnsi="Times New Roman" w:cs="Times New Roman"/>
          <w:lang w:val="ru-RU"/>
        </w:rPr>
        <w:t xml:space="preserve"> </w:t>
      </w:r>
      <w:r w:rsidR="00D87F45">
        <w:rPr>
          <w:rFonts w:ascii="Times New Roman" w:hAnsi="Times New Roman" w:cs="Times New Roman"/>
          <w:lang w:val="ru-RU"/>
        </w:rPr>
        <w:t xml:space="preserve">ликвидности и обладающие сильными возможностями в прогнозировании, могут </w:t>
      </w:r>
      <w:r>
        <w:rPr>
          <w:rFonts w:ascii="Times New Roman" w:hAnsi="Times New Roman" w:cs="Times New Roman"/>
          <w:lang w:val="ru-RU"/>
        </w:rPr>
        <w:t xml:space="preserve">достичь и сохраняют сальдо на ЕКС </w:t>
      </w:r>
      <w:r w:rsidR="00D87F45">
        <w:rPr>
          <w:rFonts w:ascii="Times New Roman" w:hAnsi="Times New Roman" w:cs="Times New Roman"/>
          <w:lang w:val="ru-RU"/>
        </w:rPr>
        <w:t>на очень низком и постоянном уровне; в их число входит Франция, а также малые страны северной еврозоны: Швеция и Британия</w:t>
      </w:r>
      <w:r w:rsidR="00462948" w:rsidRPr="00D87F45">
        <w:rPr>
          <w:rFonts w:ascii="Times New Roman" w:hAnsi="Times New Roman" w:cs="Times New Roman"/>
          <w:lang w:val="ru-RU"/>
        </w:rPr>
        <w:t>.</w:t>
      </w:r>
    </w:p>
    <w:p w14:paraId="6A988FB7" w14:textId="57EDB743" w:rsidR="00155E6B" w:rsidRPr="009156D2" w:rsidRDefault="00D87F45" w:rsidP="009156D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Охват</w:t>
      </w:r>
      <w:r w:rsidRPr="00380C62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ЕКС</w:t>
      </w:r>
      <w:r w:rsidR="00462948" w:rsidRPr="00380C62">
        <w:rPr>
          <w:rFonts w:ascii="Times New Roman" w:hAnsi="Times New Roman" w:cs="Times New Roman"/>
          <w:b/>
          <w:lang w:val="ru-RU"/>
        </w:rPr>
        <w:t xml:space="preserve"> </w:t>
      </w:r>
      <w:r w:rsidR="0073470A" w:rsidRPr="00380C62">
        <w:rPr>
          <w:rFonts w:ascii="Times New Roman" w:hAnsi="Times New Roman" w:cs="Times New Roman"/>
          <w:lang w:val="ru-RU"/>
        </w:rPr>
        <w:t>–</w:t>
      </w:r>
      <w:r w:rsidR="00155E6B" w:rsidRPr="00380C62">
        <w:rPr>
          <w:rFonts w:ascii="Times New Roman" w:hAnsi="Times New Roman" w:cs="Times New Roman"/>
          <w:lang w:val="ru-RU"/>
        </w:rPr>
        <w:t xml:space="preserve"> </w:t>
      </w:r>
      <w:r w:rsidR="00380C62">
        <w:rPr>
          <w:rFonts w:ascii="Times New Roman" w:hAnsi="Times New Roman" w:cs="Times New Roman"/>
          <w:lang w:val="ru-RU"/>
        </w:rPr>
        <w:t>Хотя</w:t>
      </w:r>
      <w:r w:rsidR="00380C62" w:rsidRPr="00380C62">
        <w:rPr>
          <w:rFonts w:ascii="Times New Roman" w:hAnsi="Times New Roman" w:cs="Times New Roman"/>
          <w:lang w:val="ru-RU"/>
        </w:rPr>
        <w:t xml:space="preserve"> </w:t>
      </w:r>
      <w:r w:rsidR="00380C62">
        <w:rPr>
          <w:rFonts w:ascii="Times New Roman" w:hAnsi="Times New Roman" w:cs="Times New Roman"/>
          <w:lang w:val="ru-RU"/>
        </w:rPr>
        <w:t>сложно</w:t>
      </w:r>
      <w:r w:rsidR="00380C62" w:rsidRPr="00380C62">
        <w:rPr>
          <w:rFonts w:ascii="Times New Roman" w:hAnsi="Times New Roman" w:cs="Times New Roman"/>
          <w:lang w:val="ru-RU"/>
        </w:rPr>
        <w:t xml:space="preserve"> </w:t>
      </w:r>
      <w:r w:rsidR="00380C62">
        <w:rPr>
          <w:rFonts w:ascii="Times New Roman" w:hAnsi="Times New Roman" w:cs="Times New Roman"/>
          <w:lang w:val="ru-RU"/>
        </w:rPr>
        <w:t>давать</w:t>
      </w:r>
      <w:r w:rsidR="00380C62" w:rsidRPr="00380C62">
        <w:rPr>
          <w:rFonts w:ascii="Times New Roman" w:hAnsi="Times New Roman" w:cs="Times New Roman"/>
          <w:lang w:val="ru-RU"/>
        </w:rPr>
        <w:t xml:space="preserve"> </w:t>
      </w:r>
      <w:r w:rsidR="00380C62">
        <w:rPr>
          <w:rFonts w:ascii="Times New Roman" w:hAnsi="Times New Roman" w:cs="Times New Roman"/>
          <w:lang w:val="ru-RU"/>
        </w:rPr>
        <w:t xml:space="preserve">рецепты в этом вопросе, но примеры передовой практики показывают, что ЕКС обычно открыт для всех ведомств центрального правительства, в том числе внебюджетных и имеющих некоторую правовую самостоятельность.  Сюда относятся некоммерческие учреждения </w:t>
      </w:r>
      <w:r w:rsidR="009156D2">
        <w:rPr>
          <w:rFonts w:ascii="Times New Roman" w:hAnsi="Times New Roman" w:cs="Times New Roman"/>
          <w:lang w:val="ru-RU"/>
        </w:rPr>
        <w:t>и внебюджетные фонды. Международная практика содержит ряд примеров охвата государственных органов субнационального уровня: охват может зависеть от степени государственного контроля бюджетов органов управления более низкого уровня</w:t>
      </w:r>
      <w:r w:rsidR="001E5B9A" w:rsidRPr="009156D2">
        <w:rPr>
          <w:rFonts w:ascii="Times New Roman" w:hAnsi="Times New Roman" w:cs="Times New Roman"/>
          <w:lang w:val="ru-RU"/>
        </w:rPr>
        <w:t>.</w:t>
      </w:r>
    </w:p>
    <w:p w14:paraId="1DDDBC47" w14:textId="545076C1" w:rsidR="00A52006" w:rsidRPr="00441E5B" w:rsidRDefault="00441E5B" w:rsidP="00441E5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Надо</w:t>
      </w:r>
      <w:r w:rsidRPr="00441E5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ли</w:t>
      </w:r>
      <w:r w:rsidRPr="00441E5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подключать</w:t>
      </w:r>
      <w:r w:rsidRPr="00441E5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акционерные</w:t>
      </w:r>
      <w:r w:rsidRPr="00441E5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общества</w:t>
      </w:r>
      <w:r w:rsidRPr="00441E5B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или другие государственные предприятия</w:t>
      </w:r>
      <w:r w:rsidR="00155E6B" w:rsidRPr="00441E5B">
        <w:rPr>
          <w:rFonts w:ascii="Times New Roman" w:hAnsi="Times New Roman" w:cs="Times New Roman"/>
          <w:b/>
          <w:lang w:val="ru-RU"/>
        </w:rPr>
        <w:t>?</w:t>
      </w:r>
      <w:r w:rsidR="00155E6B" w:rsidRPr="00441E5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 целом, коммерческие организации требуют оперативной и управленческой гибкости и самостоятельности, и в систему ЕКС их не включают, особенно в тех случаях, когда они работают в высоко конкурентной среде. Но в тех случаях, когда </w:t>
      </w:r>
      <w:proofErr w:type="gramStart"/>
      <w:r>
        <w:rPr>
          <w:rFonts w:ascii="Times New Roman" w:hAnsi="Times New Roman" w:cs="Times New Roman"/>
          <w:lang w:val="ru-RU"/>
        </w:rPr>
        <w:t>они</w:t>
      </w:r>
      <w:proofErr w:type="gramEnd"/>
      <w:r>
        <w:rPr>
          <w:rFonts w:ascii="Times New Roman" w:hAnsi="Times New Roman" w:cs="Times New Roman"/>
          <w:lang w:val="ru-RU"/>
        </w:rPr>
        <w:t xml:space="preserve"> по сути являются подразделениями государственной власти, отвечающими за претворение в жизнь налогово-бюджетной политики, их следует подключать к ЕКС</w:t>
      </w:r>
      <w:r w:rsidR="001E5B9A" w:rsidRPr="00441E5B">
        <w:rPr>
          <w:rFonts w:ascii="Times New Roman" w:hAnsi="Times New Roman" w:cs="Times New Roman"/>
          <w:lang w:val="ru-RU"/>
        </w:rPr>
        <w:t>;</w:t>
      </w:r>
      <w:r w:rsidR="00462948" w:rsidRPr="00441E5B">
        <w:rPr>
          <w:rFonts w:ascii="Times New Roman" w:hAnsi="Times New Roman" w:cs="Times New Roman"/>
          <w:lang w:val="ru-RU"/>
        </w:rPr>
        <w:t xml:space="preserve">   </w:t>
      </w:r>
    </w:p>
    <w:p w14:paraId="4822BB32" w14:textId="1A7468A0" w:rsidR="00A52006" w:rsidRPr="00CB6FBD" w:rsidRDefault="00441E5B" w:rsidP="00CB6FB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Стоит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ли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Центральному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банку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инвестировать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средства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от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имени</w:t>
      </w:r>
      <w:r w:rsidRPr="004206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правительств</w:t>
      </w:r>
      <w:r w:rsidR="0073470A" w:rsidRPr="004206C6">
        <w:rPr>
          <w:rFonts w:ascii="Times New Roman" w:hAnsi="Times New Roman" w:cs="Times New Roman"/>
          <w:b/>
          <w:lang w:val="ru-RU"/>
        </w:rPr>
        <w:t xml:space="preserve">? – </w:t>
      </w:r>
      <w:r w:rsidR="004206C6" w:rsidRPr="004206C6">
        <w:rPr>
          <w:rFonts w:ascii="Times New Roman" w:hAnsi="Times New Roman" w:cs="Times New Roman"/>
          <w:lang w:val="ru-RU"/>
        </w:rPr>
        <w:t xml:space="preserve">В целом, </w:t>
      </w:r>
      <w:r w:rsidR="004206C6">
        <w:rPr>
          <w:rFonts w:ascii="Times New Roman" w:hAnsi="Times New Roman" w:cs="Times New Roman"/>
          <w:lang w:val="ru-RU"/>
        </w:rPr>
        <w:t>за денежные</w:t>
      </w:r>
      <w:r w:rsidR="004206C6" w:rsidRPr="004206C6">
        <w:rPr>
          <w:rFonts w:ascii="Times New Roman" w:hAnsi="Times New Roman" w:cs="Times New Roman"/>
          <w:lang w:val="ru-RU"/>
        </w:rPr>
        <w:t xml:space="preserve"> ин</w:t>
      </w:r>
      <w:r w:rsidR="004206C6">
        <w:rPr>
          <w:rFonts w:ascii="Times New Roman" w:hAnsi="Times New Roman" w:cs="Times New Roman"/>
          <w:lang w:val="ru-RU"/>
        </w:rPr>
        <w:t>вестиции</w:t>
      </w:r>
      <w:r w:rsidR="004206C6" w:rsidRPr="004206C6">
        <w:rPr>
          <w:rFonts w:ascii="Times New Roman" w:hAnsi="Times New Roman" w:cs="Times New Roman"/>
          <w:lang w:val="ru-RU"/>
        </w:rPr>
        <w:t xml:space="preserve"> </w:t>
      </w:r>
      <w:r w:rsidR="004206C6">
        <w:rPr>
          <w:rFonts w:ascii="Times New Roman" w:hAnsi="Times New Roman" w:cs="Times New Roman"/>
          <w:lang w:val="ru-RU"/>
        </w:rPr>
        <w:t xml:space="preserve">и заимствования отвечает правительство, а не центральный банк страны.  Были примеры, когда центральные банки брали на себя эту ответственность </w:t>
      </w:r>
      <w:r w:rsidR="00CB4F38">
        <w:rPr>
          <w:rFonts w:ascii="Times New Roman" w:hAnsi="Times New Roman" w:cs="Times New Roman"/>
          <w:lang w:val="ru-RU"/>
        </w:rPr>
        <w:t xml:space="preserve">только потому, что у правительственного аппарата не было сил это сделать; но и в этом случае необходимо дать ясно понять, что центральный банк в этом случае действует от лица правительства.  Как только у последнего появляются ресурсы </w:t>
      </w:r>
      <w:r w:rsidR="00CB4F38">
        <w:rPr>
          <w:rFonts w:ascii="Times New Roman" w:hAnsi="Times New Roman" w:cs="Times New Roman"/>
          <w:lang w:val="ru-RU"/>
        </w:rPr>
        <w:lastRenderedPageBreak/>
        <w:t xml:space="preserve">для выполнения этой работы, центральный банк должен передать ему эту ответственность. В отношении структурных кассовых излишков возникают разные вопросы, инвестирование которых обычно не входит в круг обязанностей управленца наличностью, отвечающего только за краткосрочные излишки (в пределах трёх месяцев).  Структурные излишки являются предметом отдельных механизмов распоряжения и управления, и их инвестирование </w:t>
      </w:r>
      <w:r w:rsidR="00CB6FBD">
        <w:rPr>
          <w:rFonts w:ascii="Times New Roman" w:hAnsi="Times New Roman" w:cs="Times New Roman"/>
          <w:lang w:val="ru-RU"/>
        </w:rPr>
        <w:t>в стратегические активы учитывает средне- и долгосрочные задачи, поставленные перед балансовым отчётом правительства.  В некоторых странах структурные излишки вкладываются через балансовую ведомость центрального банка (например, в виде стабилизационного фонда), но на счетах эти излишки отражаются отдельно</w:t>
      </w:r>
      <w:r w:rsidR="00504EE4" w:rsidRPr="00CB6FBD">
        <w:rPr>
          <w:rFonts w:ascii="Times New Roman" w:hAnsi="Times New Roman" w:cs="Times New Roman"/>
          <w:lang w:val="ru-RU"/>
        </w:rPr>
        <w:t>.</w:t>
      </w:r>
    </w:p>
    <w:p w14:paraId="430C253F" w14:textId="5EC0107A" w:rsidR="001E5B9A" w:rsidRPr="00DB09CC" w:rsidRDefault="00CB6FBD" w:rsidP="00DB09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Надо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ли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правительству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инвестировать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временные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кассовые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излишки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на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счета</w:t>
      </w:r>
      <w:r w:rsidRPr="00CB6FBD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центрального банка, например, в виде срочных депозитов</w:t>
      </w:r>
      <w:r w:rsidR="002A0173" w:rsidRPr="00CB6FBD">
        <w:rPr>
          <w:rFonts w:ascii="Times New Roman" w:hAnsi="Times New Roman" w:cs="Times New Roman"/>
          <w:b/>
          <w:lang w:val="ru-RU"/>
        </w:rPr>
        <w:t>?</w:t>
      </w:r>
      <w:r w:rsidR="002A0173" w:rsidRPr="00CB6FBD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CB6F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целом</w:t>
      </w:r>
      <w:r w:rsidRPr="00CB6F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такую</w:t>
      </w:r>
      <w:r w:rsidRPr="00CB6F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схему</w:t>
      </w:r>
      <w:r w:rsidRPr="00CB6F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обычно</w:t>
      </w:r>
      <w:r w:rsidRPr="00CB6F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CB6F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рекомендуют</w:t>
      </w:r>
      <w:r w:rsidRPr="00CB6FBD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 Она не гарантирует преимуществ в виде сглаживания денежных потоков за счёт возврата излишков в банковскую сферу.  Однако, при наличии структурных излишков ликвидности (например, из-за притока иностранной валюты, которую не удалось стерилизовать/обезопасить), можно допустить </w:t>
      </w:r>
      <w:r w:rsidR="00DB09CC">
        <w:rPr>
          <w:rFonts w:ascii="Times New Roman" w:hAnsi="Times New Roman" w:cs="Times New Roman"/>
          <w:lang w:val="ru-RU"/>
        </w:rPr>
        <w:t>вложение этих денег в центральном банке (по рыночным ставкам), чтобы избежать дальнейших проблем в денежной политике</w:t>
      </w:r>
      <w:r w:rsidR="002A0173" w:rsidRPr="00DB09CC">
        <w:rPr>
          <w:rFonts w:ascii="Times New Roman" w:hAnsi="Times New Roman" w:cs="Times New Roman"/>
          <w:lang w:val="ru-RU"/>
        </w:rPr>
        <w:t>.</w:t>
      </w:r>
    </w:p>
    <w:p w14:paraId="1A25CD6B" w14:textId="4AF09ED2" w:rsidR="0073470A" w:rsidRPr="00DB09CC" w:rsidRDefault="00DB09CC" w:rsidP="00DB09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Оперативный</w:t>
      </w:r>
      <w:r w:rsidRPr="00DB09CC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временной</w:t>
      </w:r>
      <w:r w:rsidRPr="00DB09CC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горизонт</w:t>
      </w:r>
      <w:r w:rsidRPr="00DB09CC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прогнозирования</w:t>
      </w:r>
      <w:r w:rsidRPr="00DB09CC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баланса</w:t>
      </w:r>
      <w:r w:rsidRPr="00DB09CC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ЕКС</w:t>
      </w:r>
      <w:r w:rsidRPr="00DB09CC">
        <w:rPr>
          <w:rFonts w:ascii="Times New Roman" w:hAnsi="Times New Roman" w:cs="Times New Roman"/>
          <w:b/>
          <w:lang w:val="ru-RU"/>
        </w:rPr>
        <w:t xml:space="preserve">  </w:t>
      </w:r>
      <w:r w:rsidR="0073470A" w:rsidRPr="00DB09CC">
        <w:rPr>
          <w:rFonts w:ascii="Times New Roman" w:hAnsi="Times New Roman" w:cs="Times New Roman"/>
          <w:b/>
          <w:lang w:val="ru-RU"/>
        </w:rPr>
        <w:t>–</w:t>
      </w:r>
      <w:r w:rsidR="0073470A"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идеале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страны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должны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стремиться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тому</w:t>
      </w:r>
      <w:r w:rsidRPr="00DB09C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чтобы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прогнозировать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остаток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ЕКС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три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месяца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вперёд, как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минимум</w:t>
      </w:r>
      <w:r w:rsidRPr="00DB09CC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 xml:space="preserve">причём делать это ежедневно, хотя на практике страны делают это сначала каждый месяц, потом каждую неделю, потом ежедневно, по мере нарастания возможностей.  Горизонт прогнозирования необходимо постоянно пересматривать, всё </w:t>
      </w:r>
      <w:proofErr w:type="gramStart"/>
      <w:r>
        <w:rPr>
          <w:rFonts w:ascii="Times New Roman" w:hAnsi="Times New Roman" w:cs="Times New Roman"/>
          <w:lang w:val="ru-RU"/>
        </w:rPr>
        <w:t>время</w:t>
      </w:r>
      <w:proofErr w:type="gramEnd"/>
      <w:r>
        <w:rPr>
          <w:rFonts w:ascii="Times New Roman" w:hAnsi="Times New Roman" w:cs="Times New Roman"/>
          <w:lang w:val="ru-RU"/>
        </w:rPr>
        <w:t xml:space="preserve"> добавляя по одной неделе или месяцу вперёд по мере истечения срока каждого отрезка времени</w:t>
      </w:r>
      <w:r w:rsidR="00155E6B" w:rsidRPr="00DB09CC">
        <w:rPr>
          <w:rFonts w:ascii="Times New Roman" w:hAnsi="Times New Roman" w:cs="Times New Roman"/>
          <w:lang w:val="ru-RU"/>
        </w:rPr>
        <w:t>.</w:t>
      </w:r>
      <w:r w:rsidR="0073470A" w:rsidRPr="00DB09CC">
        <w:rPr>
          <w:rFonts w:ascii="Times New Roman" w:hAnsi="Times New Roman" w:cs="Times New Roman"/>
          <w:lang w:val="ru-RU"/>
        </w:rPr>
        <w:t xml:space="preserve"> </w:t>
      </w:r>
    </w:p>
    <w:p w14:paraId="5B1373EF" w14:textId="77777777" w:rsidR="00D5379B" w:rsidRPr="00DB09CC" w:rsidRDefault="00D5379B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14538034" w14:textId="77777777" w:rsidR="00D5379B" w:rsidRPr="00DB09CC" w:rsidRDefault="00D5379B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7E96633" w14:textId="365E466A" w:rsidR="00CC4077" w:rsidRPr="00DB09CC" w:rsidRDefault="00DB09CC" w:rsidP="003332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завершении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сессии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вопросов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ответов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слово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дали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Марку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Силинсу</w:t>
      </w:r>
      <w:proofErr w:type="spellEnd"/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 комментариев</w:t>
      </w:r>
      <w:r w:rsidR="0033324E" w:rsidRPr="00DB09CC">
        <w:rPr>
          <w:rFonts w:ascii="Times New Roman" w:hAnsi="Times New Roman" w:cs="Times New Roman"/>
          <w:lang w:val="ru-RU"/>
        </w:rPr>
        <w:t xml:space="preserve">.  </w:t>
      </w:r>
    </w:p>
    <w:p w14:paraId="306F5A3B" w14:textId="77777777" w:rsidR="0033324E" w:rsidRPr="00DB09CC" w:rsidRDefault="0033324E" w:rsidP="003332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2CA7F11" w14:textId="46E4A3A9" w:rsidR="0033324E" w:rsidRPr="0033324E" w:rsidRDefault="00DB09CC" w:rsidP="00DB09CC">
      <w:pPr>
        <w:widowControl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ru-RU"/>
        </w:rPr>
        <w:t>Он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начал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слов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благодарности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адрес Майка за великолепную презентацию, и в адрес участников за продуманные вопросы и активное обсуждение.  Марк отметил ряд главных тезисов, поднятых в ходе ВК</w:t>
      </w:r>
      <w:r w:rsidR="0033324E">
        <w:rPr>
          <w:rFonts w:ascii="Times New Roman" w:hAnsi="Times New Roman" w:cs="Times New Roman"/>
          <w:lang w:val="en-US"/>
        </w:rPr>
        <w:t xml:space="preserve">: </w:t>
      </w:r>
    </w:p>
    <w:p w14:paraId="2E4976E2" w14:textId="77777777" w:rsidR="0033324E" w:rsidRPr="0033324E" w:rsidRDefault="0033324E" w:rsidP="0033324E">
      <w:pPr>
        <w:widowControl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lang w:val="en-US"/>
        </w:rPr>
      </w:pPr>
    </w:p>
    <w:p w14:paraId="536294BE" w14:textId="60A4B95D" w:rsidR="0033324E" w:rsidRPr="00DB09CC" w:rsidRDefault="00DB09CC" w:rsidP="00DB09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Совершенствование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управления</w:t>
      </w:r>
      <w:r w:rsidRPr="00DB09CC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ликвидностью</w:t>
      </w:r>
      <w:r w:rsidRPr="00DB09CC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вероятно, является постепенным процессом, так как возможности формируются с течением времени, особенно в области прогнозирования</w:t>
      </w:r>
      <w:r w:rsidR="00155E6B" w:rsidRPr="00DB09CC">
        <w:rPr>
          <w:rFonts w:ascii="Times New Roman" w:hAnsi="Times New Roman" w:cs="Times New Roman"/>
          <w:lang w:val="ru-RU"/>
        </w:rPr>
        <w:t>;</w:t>
      </w:r>
    </w:p>
    <w:p w14:paraId="2A6811CF" w14:textId="6ACE63A4" w:rsidR="00DB09CC" w:rsidRPr="00DB09CC" w:rsidRDefault="00DB09CC" w:rsidP="0033324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Тонкая настройка – это очень непростой процесс, пока не реализованный во многих странах </w:t>
      </w:r>
      <w:r>
        <w:rPr>
          <w:rFonts w:ascii="Times New Roman" w:hAnsi="Times New Roman" w:cs="Times New Roman"/>
          <w:lang w:val="en-US"/>
        </w:rPr>
        <w:t>PEMPAL</w:t>
      </w:r>
      <w:r>
        <w:rPr>
          <w:rFonts w:ascii="Times New Roman" w:hAnsi="Times New Roman" w:cs="Times New Roman"/>
          <w:lang w:val="ru-RU"/>
        </w:rPr>
        <w:t xml:space="preserve"> – и может оказаться пока недостижимой для всех стран; например, сегодня есть совсем немного стран, имеющих доступ к ликвидному рынку денег и </w:t>
      </w:r>
      <w:proofErr w:type="spellStart"/>
      <w:r>
        <w:rPr>
          <w:rFonts w:ascii="Times New Roman" w:hAnsi="Times New Roman" w:cs="Times New Roman"/>
          <w:lang w:val="ru-RU"/>
        </w:rPr>
        <w:t>репо</w:t>
      </w:r>
      <w:proofErr w:type="spellEnd"/>
      <w:r>
        <w:rPr>
          <w:rFonts w:ascii="Times New Roman" w:hAnsi="Times New Roman" w:cs="Times New Roman"/>
          <w:lang w:val="ru-RU"/>
        </w:rPr>
        <w:t>;</w:t>
      </w:r>
    </w:p>
    <w:p w14:paraId="07F1124C" w14:textId="0AD36360" w:rsidR="0033324E" w:rsidRPr="00DB09CC" w:rsidRDefault="00DB09CC" w:rsidP="0033324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 определении уровня охвата денежных операций на ЕКС и функции центрального правительства в управлении денежными средствами</w:t>
      </w:r>
      <w:r w:rsidR="00152732">
        <w:rPr>
          <w:rFonts w:ascii="Times New Roman" w:hAnsi="Times New Roman" w:cs="Times New Roman"/>
          <w:lang w:val="ru-RU"/>
        </w:rPr>
        <w:t>, основное внимание следует уделить преимуществам консолидации и тому, как распределить эти преимущества между участниками, как снизить риски, особенно риски недостаточного участия в управлении из-за выбора пассивной модели управления денежными средствами</w:t>
      </w:r>
      <w:r w:rsidR="0033324E" w:rsidRPr="00DB09CC">
        <w:rPr>
          <w:rFonts w:ascii="Times New Roman" w:hAnsi="Times New Roman" w:cs="Times New Roman"/>
          <w:lang w:val="ru-RU"/>
        </w:rPr>
        <w:t>;</w:t>
      </w:r>
      <w:r w:rsidR="0033324E" w:rsidRPr="0033324E">
        <w:rPr>
          <w:rFonts w:ascii="Times New Roman" w:hAnsi="Times New Roman" w:cs="Times New Roman"/>
          <w:lang w:val="en-US"/>
        </w:rPr>
        <w:t> </w:t>
      </w:r>
    </w:p>
    <w:p w14:paraId="341C74F0" w14:textId="7DEF5088" w:rsidR="0065693B" w:rsidRPr="00152732" w:rsidRDefault="00152732" w:rsidP="006569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Счета с нулевым балансом для расходования средств полезны с точки зрения предоставления оперативной самостоятельности в течение дня, обеспечивая централизацию кассовых остатков в течени</w:t>
      </w:r>
      <w:proofErr w:type="gramStart"/>
      <w:r>
        <w:rPr>
          <w:rFonts w:ascii="Times New Roman" w:hAnsi="Times New Roman" w:cs="Times New Roman"/>
          <w:lang w:val="ru-RU"/>
        </w:rPr>
        <w:t>и</w:t>
      </w:r>
      <w:proofErr w:type="gramEnd"/>
      <w:r>
        <w:rPr>
          <w:rFonts w:ascii="Times New Roman" w:hAnsi="Times New Roman" w:cs="Times New Roman"/>
          <w:lang w:val="ru-RU"/>
        </w:rPr>
        <w:t xml:space="preserve"> ночи</w:t>
      </w:r>
      <w:r w:rsidR="0065693B" w:rsidRPr="00152732">
        <w:rPr>
          <w:rFonts w:ascii="Times New Roman" w:hAnsi="Times New Roman" w:cs="Times New Roman"/>
          <w:lang w:val="ru-RU"/>
        </w:rPr>
        <w:t xml:space="preserve">; </w:t>
      </w:r>
    </w:p>
    <w:p w14:paraId="42B7398C" w14:textId="0B3C7777" w:rsidR="0033324E" w:rsidRPr="00152732" w:rsidRDefault="00152732" w:rsidP="006569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Модели могут быть полезны, но</w:t>
      </w:r>
      <w:r w:rsidR="00993931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по словам Майка, сочетание анализа прошлых потоков наличности и здравого суждения о происходящем в настоящее время зачастую бывает более полезно, чем заумное эконометрическое моделирование.  Очень важно также отслеживать полученные результаты, в том числе изучать причины расхождений между </w:t>
      </w:r>
      <w:r>
        <w:rPr>
          <w:rFonts w:ascii="Times New Roman" w:hAnsi="Times New Roman" w:cs="Times New Roman"/>
          <w:lang w:val="ru-RU"/>
        </w:rPr>
        <w:lastRenderedPageBreak/>
        <w:t>прогнозом и фактом и учитывать извлечённые уроки в будущих прогнозах.</w:t>
      </w:r>
    </w:p>
    <w:p w14:paraId="239F39E0" w14:textId="0FD46E17" w:rsidR="00655F53" w:rsidRPr="00152732" w:rsidRDefault="00152732" w:rsidP="0015273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Марк также привлёк внимание участников к двум публикациям Майка, </w:t>
      </w:r>
      <w:r w:rsidR="00C87CD6">
        <w:rPr>
          <w:rFonts w:ascii="Times New Roman" w:hAnsi="Times New Roman" w:cs="Times New Roman"/>
          <w:lang w:val="ru-RU"/>
        </w:rPr>
        <w:t>одна из них касается отношений</w:t>
      </w:r>
      <w:r>
        <w:rPr>
          <w:rFonts w:ascii="Times New Roman" w:hAnsi="Times New Roman" w:cs="Times New Roman"/>
          <w:lang w:val="ru-RU"/>
        </w:rPr>
        <w:t xml:space="preserve"> с центральным банком (этот вопрос поднимался в течение сегодняшней сессии) – эту работу можно найти по адресу </w:t>
      </w:r>
      <w:r w:rsidR="005747C8" w:rsidRPr="00765E4D">
        <w:rPr>
          <w:color w:val="31849B" w:themeColor="accent5" w:themeShade="BF"/>
        </w:rPr>
        <w:t>www</w:t>
      </w:r>
      <w:r w:rsidR="005747C8" w:rsidRPr="00152732">
        <w:rPr>
          <w:color w:val="31849B" w:themeColor="accent5" w:themeShade="BF"/>
          <w:lang w:val="ru-RU"/>
        </w:rPr>
        <w:t>.</w:t>
      </w:r>
      <w:proofErr w:type="spellStart"/>
      <w:r w:rsidR="005747C8" w:rsidRPr="00765E4D">
        <w:rPr>
          <w:color w:val="31849B" w:themeColor="accent5" w:themeShade="BF"/>
        </w:rPr>
        <w:t>imf</w:t>
      </w:r>
      <w:proofErr w:type="spellEnd"/>
      <w:r w:rsidR="005747C8" w:rsidRPr="00152732">
        <w:rPr>
          <w:color w:val="31849B" w:themeColor="accent5" w:themeShade="BF"/>
          <w:lang w:val="ru-RU"/>
        </w:rPr>
        <w:t>.</w:t>
      </w:r>
      <w:r w:rsidR="005747C8" w:rsidRPr="00765E4D">
        <w:rPr>
          <w:color w:val="31849B" w:themeColor="accent5" w:themeShade="BF"/>
        </w:rPr>
        <w:t>org</w:t>
      </w:r>
      <w:r w:rsidR="005747C8" w:rsidRPr="00152732">
        <w:rPr>
          <w:color w:val="31849B" w:themeColor="accent5" w:themeShade="BF"/>
          <w:lang w:val="ru-RU"/>
        </w:rPr>
        <w:t>/</w:t>
      </w:r>
      <w:r w:rsidR="005747C8" w:rsidRPr="00765E4D">
        <w:rPr>
          <w:color w:val="31849B" w:themeColor="accent5" w:themeShade="BF"/>
        </w:rPr>
        <w:t>external</w:t>
      </w:r>
      <w:r w:rsidR="005747C8" w:rsidRPr="00152732">
        <w:rPr>
          <w:color w:val="31849B" w:themeColor="accent5" w:themeShade="BF"/>
          <w:lang w:val="ru-RU"/>
        </w:rPr>
        <w:t>/</w:t>
      </w:r>
      <w:r w:rsidR="005747C8" w:rsidRPr="00765E4D">
        <w:rPr>
          <w:color w:val="31849B" w:themeColor="accent5" w:themeShade="BF"/>
        </w:rPr>
        <w:t>pubs</w:t>
      </w:r>
      <w:r w:rsidR="005747C8" w:rsidRPr="00152732">
        <w:rPr>
          <w:color w:val="31849B" w:themeColor="accent5" w:themeShade="BF"/>
          <w:lang w:val="ru-RU"/>
        </w:rPr>
        <w:t>/</w:t>
      </w:r>
      <w:proofErr w:type="spellStart"/>
      <w:r w:rsidR="005747C8" w:rsidRPr="00765E4D">
        <w:rPr>
          <w:color w:val="31849B" w:themeColor="accent5" w:themeShade="BF"/>
        </w:rPr>
        <w:t>ft</w:t>
      </w:r>
      <w:proofErr w:type="spellEnd"/>
      <w:r w:rsidR="005747C8" w:rsidRPr="00152732">
        <w:rPr>
          <w:color w:val="31849B" w:themeColor="accent5" w:themeShade="BF"/>
          <w:lang w:val="ru-RU"/>
        </w:rPr>
        <w:t>/</w:t>
      </w:r>
      <w:proofErr w:type="spellStart"/>
      <w:r w:rsidR="005747C8" w:rsidRPr="00765E4D">
        <w:rPr>
          <w:color w:val="31849B" w:themeColor="accent5" w:themeShade="BF"/>
        </w:rPr>
        <w:t>tnm</w:t>
      </w:r>
      <w:proofErr w:type="spellEnd"/>
      <w:r w:rsidR="005747C8" w:rsidRPr="00152732">
        <w:rPr>
          <w:color w:val="31849B" w:themeColor="accent5" w:themeShade="BF"/>
          <w:lang w:val="ru-RU"/>
        </w:rPr>
        <w:t>/2012/</w:t>
      </w:r>
      <w:proofErr w:type="spellStart"/>
      <w:r w:rsidR="005747C8" w:rsidRPr="00765E4D">
        <w:rPr>
          <w:color w:val="31849B" w:themeColor="accent5" w:themeShade="BF"/>
        </w:rPr>
        <w:t>tnm</w:t>
      </w:r>
      <w:proofErr w:type="spellEnd"/>
      <w:r w:rsidR="005747C8" w:rsidRPr="00152732">
        <w:rPr>
          <w:color w:val="31849B" w:themeColor="accent5" w:themeShade="BF"/>
          <w:lang w:val="ru-RU"/>
        </w:rPr>
        <w:t>1202.</w:t>
      </w:r>
      <w:r w:rsidR="005747C8" w:rsidRPr="00765E4D">
        <w:rPr>
          <w:color w:val="31849B" w:themeColor="accent5" w:themeShade="BF"/>
        </w:rPr>
        <w:t>pdf</w:t>
      </w:r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;</w:t>
      </w:r>
      <w:r w:rsidR="00D60C50" w:rsidRPr="00152732">
        <w:rPr>
          <w:rFonts w:ascii="Times New Roman" w:hAnsi="Times New Roman" w:cs="Times New Roman"/>
          <w:lang w:val="ru-RU"/>
        </w:rPr>
        <w:t xml:space="preserve"> </w:t>
      </w:r>
    </w:p>
    <w:p w14:paraId="3AE54800" w14:textId="1CC36D33" w:rsidR="0033324E" w:rsidRPr="00152732" w:rsidRDefault="00152732" w:rsidP="00655F53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360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Ещё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одна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работа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касается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взаимодействия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управления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денежными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средствами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другими</w:t>
      </w:r>
      <w:r w:rsidRPr="00152732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направлениями финансовой политики, её можно найти по ссылке </w:t>
      </w:r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www</w:t>
      </w:r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.</w:t>
      </w:r>
      <w:proofErr w:type="spellStart"/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imf</w:t>
      </w:r>
      <w:proofErr w:type="spellEnd"/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.</w:t>
      </w:r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org</w:t>
      </w:r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/</w:t>
      </w:r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external</w:t>
      </w:r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/</w:t>
      </w:r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pubs</w:t>
      </w:r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/</w:t>
      </w:r>
      <w:proofErr w:type="spellStart"/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ft</w:t>
      </w:r>
      <w:proofErr w:type="spellEnd"/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/</w:t>
      </w:r>
      <w:proofErr w:type="spellStart"/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tnm</w:t>
      </w:r>
      <w:proofErr w:type="spellEnd"/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/2010/</w:t>
      </w:r>
      <w:proofErr w:type="spellStart"/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tnm</w:t>
      </w:r>
      <w:proofErr w:type="spellEnd"/>
      <w:r w:rsidR="00D60C50" w:rsidRPr="00152732">
        <w:rPr>
          <w:rFonts w:ascii="Times New Roman" w:hAnsi="Times New Roman" w:cs="Times New Roman"/>
          <w:color w:val="31849B" w:themeColor="accent5" w:themeShade="BF"/>
          <w:lang w:val="ru-RU"/>
        </w:rPr>
        <w:t>1013.</w:t>
      </w:r>
      <w:r w:rsidR="00D60C50" w:rsidRPr="00765E4D">
        <w:rPr>
          <w:rFonts w:ascii="Times New Roman" w:hAnsi="Times New Roman" w:cs="Times New Roman"/>
          <w:color w:val="31849B" w:themeColor="accent5" w:themeShade="BF"/>
          <w:lang w:val="en-US"/>
        </w:rPr>
        <w:t>pdf</w:t>
      </w:r>
      <w:r w:rsidR="009F3D69" w:rsidRPr="00152732">
        <w:rPr>
          <w:rFonts w:ascii="Times New Roman" w:hAnsi="Times New Roman" w:cs="Times New Roman"/>
          <w:lang w:val="ru-RU"/>
        </w:rPr>
        <w:t>)</w:t>
      </w:r>
      <w:r w:rsidR="0065693B" w:rsidRPr="00152732">
        <w:rPr>
          <w:rFonts w:ascii="Times New Roman" w:hAnsi="Times New Roman" w:cs="Times New Roman"/>
          <w:lang w:val="ru-RU"/>
        </w:rPr>
        <w:t xml:space="preserve">. </w:t>
      </w:r>
      <w:proofErr w:type="gramEnd"/>
    </w:p>
    <w:p w14:paraId="1B7F593E" w14:textId="77777777" w:rsidR="0065693B" w:rsidRPr="00152732" w:rsidRDefault="0065693B" w:rsidP="0065693B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360"/>
        <w:rPr>
          <w:rFonts w:ascii="Times New Roman" w:hAnsi="Times New Roman" w:cs="Times New Roman"/>
          <w:lang w:val="ru-RU"/>
        </w:rPr>
      </w:pPr>
    </w:p>
    <w:p w14:paraId="2798DFEA" w14:textId="30DFF629" w:rsidR="00C663CD" w:rsidRDefault="00C663CD" w:rsidP="002F4C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Ион</w:t>
      </w:r>
      <w:r w:rsidRPr="00C663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Кику завершил дискуссию, пригласив каждую страну сделать предложени</w:t>
      </w:r>
      <w:r w:rsidR="00CE2E53">
        <w:rPr>
          <w:rFonts w:ascii="Times New Roman" w:hAnsi="Times New Roman" w:cs="Times New Roman"/>
          <w:lang w:val="ru-RU"/>
        </w:rPr>
        <w:t>я по тематике</w:t>
      </w:r>
      <w:r>
        <w:rPr>
          <w:rFonts w:ascii="Times New Roman" w:hAnsi="Times New Roman" w:cs="Times New Roman"/>
          <w:lang w:val="ru-RU"/>
        </w:rPr>
        <w:t xml:space="preserve"> тем будущих мероприятий.  В плане мероприятий рабочей группы есть место для других ВК, типа сегодняшней, а также для очного совещания, которое пока планируется на весну 2017 г. Федеральное казначейство России сообщило ресурсной команде перед ВК о принципиальном согласии принять такое совещание в конце марта – начале апреля.  Представители Федерального казначейства, присутствовавшие на ВК, подтвердили, что этот вопрос обсуждался с </w:t>
      </w:r>
      <w:proofErr w:type="gramStart"/>
      <w:r>
        <w:rPr>
          <w:rFonts w:ascii="Times New Roman" w:hAnsi="Times New Roman" w:cs="Times New Roman"/>
          <w:lang w:val="ru-RU"/>
        </w:rPr>
        <w:t>руководством</w:t>
      </w:r>
      <w:proofErr w:type="gramEnd"/>
      <w:r>
        <w:rPr>
          <w:rFonts w:ascii="Times New Roman" w:hAnsi="Times New Roman" w:cs="Times New Roman"/>
          <w:lang w:val="ru-RU"/>
        </w:rPr>
        <w:t xml:space="preserve"> и было получено общее согласие руководителей высшего звена. </w:t>
      </w:r>
      <w:proofErr w:type="gramStart"/>
      <w:r>
        <w:rPr>
          <w:rFonts w:ascii="Times New Roman" w:hAnsi="Times New Roman" w:cs="Times New Roman"/>
          <w:lang w:val="ru-RU"/>
        </w:rPr>
        <w:t>Группа ещё раз обсудила программу такого мероприятия, в которой должно быть место для ознакомления с опытом России по разным аспектам управления денежными средствами в виде докладов экспертов по теме, а затем должны быть сессии, во время которых другие страны поделятся своим опытом и поднимут вопросы первоочередного интереса для большинства членов группы.</w:t>
      </w:r>
      <w:proofErr w:type="gramEnd"/>
      <w:r>
        <w:rPr>
          <w:rFonts w:ascii="Times New Roman" w:hAnsi="Times New Roman" w:cs="Times New Roman"/>
          <w:lang w:val="ru-RU"/>
        </w:rPr>
        <w:t xml:space="preserve">  Принимающая сторона уточнит даты этого мероприятия позднее, после чего ресурсная команда приступит к работе над концепцией совещания и попросит членов группы дать свои предложения по темам для обсуждения.</w:t>
      </w:r>
    </w:p>
    <w:p w14:paraId="4D7C32F2" w14:textId="77777777" w:rsidR="00C663CD" w:rsidRPr="00C663CD" w:rsidRDefault="00C663CD" w:rsidP="002F4C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1D3CC8AC" w14:textId="218A961A" w:rsidR="00194478" w:rsidRPr="00993931" w:rsidRDefault="00993931" w:rsidP="002F4CEE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Члены группы договорились провести ещё одну видеоконференцию в середине февраля 2017 года в рамках подготовки к совещанию в Москве, во время которой будет тематическая часть (тема будет сообщена ближе к дате проведения ВК), а затем будут обсуждаться организационные моменты предстоящего очного мероприятия</w:t>
      </w:r>
      <w:r w:rsidR="00194478" w:rsidRPr="00993931">
        <w:rPr>
          <w:rFonts w:ascii="Times New Roman" w:hAnsi="Times New Roman"/>
          <w:lang w:val="ru-RU"/>
        </w:rPr>
        <w:t xml:space="preserve">.     </w:t>
      </w:r>
    </w:p>
    <w:p w14:paraId="76E453CA" w14:textId="77777777" w:rsidR="0033324E" w:rsidRPr="00993931" w:rsidRDefault="0033324E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60678769" w14:textId="0904E507" w:rsidR="00A42EC0" w:rsidRPr="00993931" w:rsidRDefault="00A42EC0" w:rsidP="001A61AD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A42EC0" w:rsidRPr="00993931" w:rsidSect="00131F9B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E9F4E" w14:textId="77777777" w:rsidR="007A62FE" w:rsidRDefault="007A62FE" w:rsidP="001A61AD">
      <w:r>
        <w:separator/>
      </w:r>
    </w:p>
  </w:endnote>
  <w:endnote w:type="continuationSeparator" w:id="0">
    <w:p w14:paraId="2AADBEFD" w14:textId="77777777" w:rsidR="007A62FE" w:rsidRDefault="007A62FE" w:rsidP="001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DC68C" w14:textId="77777777" w:rsidR="007A62FE" w:rsidRDefault="007A62FE" w:rsidP="001A61AD">
      <w:r>
        <w:separator/>
      </w:r>
    </w:p>
  </w:footnote>
  <w:footnote w:type="continuationSeparator" w:id="0">
    <w:p w14:paraId="52F55BAF" w14:textId="77777777" w:rsidR="007A62FE" w:rsidRDefault="007A62FE" w:rsidP="001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4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6C1972"/>
    <w:multiLevelType w:val="hybridMultilevel"/>
    <w:tmpl w:val="D3AC1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14864"/>
    <w:multiLevelType w:val="hybridMultilevel"/>
    <w:tmpl w:val="2D8A4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B15D0"/>
    <w:multiLevelType w:val="hybridMultilevel"/>
    <w:tmpl w:val="F6640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030C39"/>
    <w:multiLevelType w:val="hybridMultilevel"/>
    <w:tmpl w:val="A56A5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D46E7E"/>
    <w:multiLevelType w:val="hybridMultilevel"/>
    <w:tmpl w:val="46A806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C8907C2"/>
    <w:multiLevelType w:val="hybridMultilevel"/>
    <w:tmpl w:val="81EC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E1AEE"/>
    <w:multiLevelType w:val="hybridMultilevel"/>
    <w:tmpl w:val="8B140E6E"/>
    <w:lvl w:ilvl="0" w:tplc="17AA3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A29C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0A51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9A8F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E48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080A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4A86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0291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0019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7CB626EC"/>
    <w:multiLevelType w:val="hybridMultilevel"/>
    <w:tmpl w:val="35F2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kUser">
    <w15:presenceInfo w15:providerId="None" w15:userId="Desk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8C"/>
    <w:rsid w:val="00004B4A"/>
    <w:rsid w:val="0001250A"/>
    <w:rsid w:val="00013FBD"/>
    <w:rsid w:val="00063A87"/>
    <w:rsid w:val="000B4037"/>
    <w:rsid w:val="000E0A59"/>
    <w:rsid w:val="00131F9B"/>
    <w:rsid w:val="00152732"/>
    <w:rsid w:val="00155E6B"/>
    <w:rsid w:val="00194478"/>
    <w:rsid w:val="001A61AD"/>
    <w:rsid w:val="001A7312"/>
    <w:rsid w:val="001D029E"/>
    <w:rsid w:val="001E5B9A"/>
    <w:rsid w:val="001F41E4"/>
    <w:rsid w:val="00223E57"/>
    <w:rsid w:val="002365D8"/>
    <w:rsid w:val="0026110F"/>
    <w:rsid w:val="002A0173"/>
    <w:rsid w:val="002B62DA"/>
    <w:rsid w:val="002C3149"/>
    <w:rsid w:val="002D63FF"/>
    <w:rsid w:val="002F4CEE"/>
    <w:rsid w:val="0033324E"/>
    <w:rsid w:val="00380C62"/>
    <w:rsid w:val="003C4A1B"/>
    <w:rsid w:val="004206C6"/>
    <w:rsid w:val="004306D9"/>
    <w:rsid w:val="004314E1"/>
    <w:rsid w:val="00441E5B"/>
    <w:rsid w:val="00462948"/>
    <w:rsid w:val="00463810"/>
    <w:rsid w:val="0046643B"/>
    <w:rsid w:val="004927F1"/>
    <w:rsid w:val="004A01D9"/>
    <w:rsid w:val="004D183F"/>
    <w:rsid w:val="004E30F6"/>
    <w:rsid w:val="004E7116"/>
    <w:rsid w:val="004F2FAE"/>
    <w:rsid w:val="004F57B3"/>
    <w:rsid w:val="00504EE4"/>
    <w:rsid w:val="005413FB"/>
    <w:rsid w:val="005747C8"/>
    <w:rsid w:val="00587FFA"/>
    <w:rsid w:val="005918CE"/>
    <w:rsid w:val="005A2295"/>
    <w:rsid w:val="005B1427"/>
    <w:rsid w:val="005F7015"/>
    <w:rsid w:val="006036D6"/>
    <w:rsid w:val="006104FB"/>
    <w:rsid w:val="0064525D"/>
    <w:rsid w:val="006454A1"/>
    <w:rsid w:val="00655F53"/>
    <w:rsid w:val="0065693B"/>
    <w:rsid w:val="00693852"/>
    <w:rsid w:val="006A1C76"/>
    <w:rsid w:val="006C45A6"/>
    <w:rsid w:val="006C5D60"/>
    <w:rsid w:val="006D6287"/>
    <w:rsid w:val="006F7D31"/>
    <w:rsid w:val="0073470A"/>
    <w:rsid w:val="00765E4D"/>
    <w:rsid w:val="007722D9"/>
    <w:rsid w:val="007959BA"/>
    <w:rsid w:val="007A62FE"/>
    <w:rsid w:val="007D24BB"/>
    <w:rsid w:val="007F6239"/>
    <w:rsid w:val="00834BD6"/>
    <w:rsid w:val="00874591"/>
    <w:rsid w:val="00874901"/>
    <w:rsid w:val="00876C11"/>
    <w:rsid w:val="008D07B8"/>
    <w:rsid w:val="008E727F"/>
    <w:rsid w:val="009156D2"/>
    <w:rsid w:val="00925592"/>
    <w:rsid w:val="00991341"/>
    <w:rsid w:val="00993931"/>
    <w:rsid w:val="009F3D69"/>
    <w:rsid w:val="009F51D5"/>
    <w:rsid w:val="00A42EC0"/>
    <w:rsid w:val="00A45744"/>
    <w:rsid w:val="00A52006"/>
    <w:rsid w:val="00A6112E"/>
    <w:rsid w:val="00A73DA9"/>
    <w:rsid w:val="00A9158C"/>
    <w:rsid w:val="00A950D3"/>
    <w:rsid w:val="00AB30AC"/>
    <w:rsid w:val="00AD3C0B"/>
    <w:rsid w:val="00B31A84"/>
    <w:rsid w:val="00B428D2"/>
    <w:rsid w:val="00B437F1"/>
    <w:rsid w:val="00B750A9"/>
    <w:rsid w:val="00B769C8"/>
    <w:rsid w:val="00B76B8E"/>
    <w:rsid w:val="00B821D8"/>
    <w:rsid w:val="00B929B5"/>
    <w:rsid w:val="00BC4225"/>
    <w:rsid w:val="00BC5CA0"/>
    <w:rsid w:val="00BF0082"/>
    <w:rsid w:val="00C3439F"/>
    <w:rsid w:val="00C663CD"/>
    <w:rsid w:val="00C87CD6"/>
    <w:rsid w:val="00CB4F38"/>
    <w:rsid w:val="00CB6FBD"/>
    <w:rsid w:val="00CC4077"/>
    <w:rsid w:val="00CE2E53"/>
    <w:rsid w:val="00CF540B"/>
    <w:rsid w:val="00D057B5"/>
    <w:rsid w:val="00D323C1"/>
    <w:rsid w:val="00D51551"/>
    <w:rsid w:val="00D5379B"/>
    <w:rsid w:val="00D60C50"/>
    <w:rsid w:val="00D70110"/>
    <w:rsid w:val="00D87F45"/>
    <w:rsid w:val="00DB09CC"/>
    <w:rsid w:val="00DB0AC5"/>
    <w:rsid w:val="00DD208C"/>
    <w:rsid w:val="00E15FE7"/>
    <w:rsid w:val="00E30CDD"/>
    <w:rsid w:val="00E56EFE"/>
    <w:rsid w:val="00E57B4D"/>
    <w:rsid w:val="00E70A18"/>
    <w:rsid w:val="00EB005B"/>
    <w:rsid w:val="00EB0FF1"/>
    <w:rsid w:val="00EC3FDA"/>
    <w:rsid w:val="00F6767D"/>
    <w:rsid w:val="00FD1461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47ADF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1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5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1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C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5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Word_97_-_2003_Document1.doc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PowerPoint_Presentation2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4AC3-9506-4EFC-95FF-55A8FA0F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 Chicu</cp:lastModifiedBy>
  <cp:revision>3</cp:revision>
  <dcterms:created xsi:type="dcterms:W3CDTF">2016-11-14T13:36:00Z</dcterms:created>
  <dcterms:modified xsi:type="dcterms:W3CDTF">2016-11-14T13:41:00Z</dcterms:modified>
</cp:coreProperties>
</file>