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FDD" w:rsidRDefault="00B36FDD" w:rsidP="00B36FDD">
      <w:pPr>
        <w:spacing w:after="0" w:line="240" w:lineRule="auto"/>
        <w:jc w:val="center"/>
        <w:rPr>
          <w:b/>
          <w:sz w:val="26"/>
          <w:szCs w:val="26"/>
        </w:rPr>
      </w:pPr>
      <w:r>
        <w:rPr>
          <w:b/>
          <w:sz w:val="26"/>
          <w:szCs w:val="26"/>
        </w:rPr>
        <w:t xml:space="preserve">PEMPAL-ova Zajednica prakse za riznicu </w:t>
      </w:r>
    </w:p>
    <w:p w:rsidR="00B36FDD" w:rsidRPr="00665BB6" w:rsidRDefault="00B36FDD" w:rsidP="00B36FDD">
      <w:pPr>
        <w:spacing w:after="0" w:line="240" w:lineRule="auto"/>
        <w:jc w:val="center"/>
        <w:rPr>
          <w:b/>
          <w:i/>
          <w:color w:val="0070C0"/>
          <w:sz w:val="24"/>
          <w:szCs w:val="24"/>
        </w:rPr>
      </w:pPr>
      <w:r>
        <w:rPr>
          <w:b/>
          <w:sz w:val="26"/>
          <w:szCs w:val="26"/>
        </w:rPr>
        <w:t>Sastanak tematske skupine za računovodstvo i izvještavanje u javnom sektoru</w:t>
      </w:r>
    </w:p>
    <w:p w:rsidR="00B36FDD" w:rsidRPr="00665BB6" w:rsidRDefault="00B36FDD" w:rsidP="00B36FDD">
      <w:pPr>
        <w:spacing w:line="240" w:lineRule="auto"/>
        <w:jc w:val="center"/>
        <w:rPr>
          <w:rFonts w:ascii="Arial" w:eastAsia="Times New Roman" w:hAnsi="Arial" w:cs="Arial"/>
          <w:b/>
          <w:color w:val="365F91"/>
          <w:sz w:val="28"/>
          <w:szCs w:val="24"/>
        </w:rPr>
      </w:pPr>
      <w:r>
        <w:rPr>
          <w:color w:val="000000"/>
          <w:sz w:val="24"/>
          <w:szCs w:val="24"/>
        </w:rPr>
        <w:t>12. – 13. travnja 2018</w:t>
      </w:r>
      <w:r>
        <w:rPr>
          <w:sz w:val="24"/>
          <w:szCs w:val="24"/>
        </w:rPr>
        <w:t>.</w:t>
      </w:r>
      <w:bookmarkStart w:id="0" w:name="_GoBack"/>
      <w:bookmarkEnd w:id="0"/>
    </w:p>
    <w:p w:rsidR="00B36FDD" w:rsidRPr="00665BB6" w:rsidRDefault="00B0491D" w:rsidP="00B36FDD">
      <w:pPr>
        <w:spacing w:line="240" w:lineRule="auto"/>
        <w:jc w:val="center"/>
        <w:rPr>
          <w:rFonts w:ascii="Times New Roman" w:eastAsia="Times New Roman" w:hAnsi="Times New Roman" w:cs="Times New Roman"/>
          <w:sz w:val="24"/>
          <w:szCs w:val="24"/>
        </w:rPr>
      </w:pPr>
      <w:r w:rsidRPr="00B0491D">
        <w:rPr>
          <w:noProof/>
          <w:lang w:eastAsia="hr-HR"/>
        </w:rPr>
        <w:drawing>
          <wp:anchor distT="0" distB="0" distL="114300" distR="114300" simplePos="0" relativeHeight="251679744" behindDoc="1" locked="0" layoutInCell="1" allowOverlap="1" wp14:anchorId="63AD28DF">
            <wp:simplePos x="0" y="0"/>
            <wp:positionH relativeFrom="margin">
              <wp:align>left</wp:align>
            </wp:positionH>
            <wp:positionV relativeFrom="paragraph">
              <wp:posOffset>330200</wp:posOffset>
            </wp:positionV>
            <wp:extent cx="2185035" cy="1403350"/>
            <wp:effectExtent l="0" t="0" r="5715" b="6350"/>
            <wp:wrapTight wrapText="bothSides">
              <wp:wrapPolygon edited="0">
                <wp:start x="0" y="0"/>
                <wp:lineTo x="0" y="21405"/>
                <wp:lineTo x="21468" y="21405"/>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5035" cy="1403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28"/>
          <w:szCs w:val="24"/>
        </w:rPr>
        <w:t>Baku, Azerbajdžan</w:t>
      </w:r>
    </w:p>
    <w:p w:rsidR="00B36FDD" w:rsidRDefault="00973F65" w:rsidP="00B36FDD">
      <w:pPr>
        <w:spacing w:after="240" w:line="240" w:lineRule="auto"/>
        <w:jc w:val="both"/>
        <w:rPr>
          <w:rFonts w:ascii="Times New Roman" w:hAnsi="Times New Roman" w:cs="Times New Roman"/>
          <w:sz w:val="24"/>
          <w:szCs w:val="24"/>
        </w:rPr>
      </w:pPr>
      <w:r>
        <w:rPr>
          <w:rFonts w:ascii="Times New Roman" w:hAnsi="Times New Roman"/>
          <w:sz w:val="24"/>
          <w:szCs w:val="24"/>
        </w:rPr>
        <w:t xml:space="preserve">Tematska skupina PEMPAL-ove Zajednice prakse za riznicu (TCOP) posvećena računovodstvu i izvještavanju u javnom sektoru održala je 12. – 13. travnja sastanak u Bakuu, u Azerbajdžanu. Glavni cilj sastanka bio je održati zajedničku raspravu s TCOP-ovom tematskom skupinom za upotrebu IT-a u poslovanju riznice na temu pristupa automatizaciji računovodstva i financijskog izvještavanja na razini potrošačke jedinice. Tematsku skupinu za računovodstvo i izvještavanje predstavljalo je 35 sudionika iz 12 zemalja (Albanija, Azerbajdžan, Bjelarus, Hrvatska, Gruzija, Kazahstan, Kirgiska Republika, Makedonija, Moldova, Ruska Federacija, Turska i Ukrajina).  </w:t>
      </w:r>
    </w:p>
    <w:p w:rsidR="00B36FDD" w:rsidRPr="00665BB6" w:rsidRDefault="00B36FDD" w:rsidP="00B36FDD">
      <w:pPr>
        <w:spacing w:after="240" w:line="240" w:lineRule="auto"/>
        <w:jc w:val="both"/>
        <w:rPr>
          <w:rFonts w:ascii="Times New Roman" w:hAnsi="Times New Roman" w:cs="Times New Roman"/>
          <w:sz w:val="24"/>
          <w:szCs w:val="24"/>
        </w:rPr>
      </w:pPr>
      <w:r>
        <w:rPr>
          <w:rFonts w:ascii="Times New Roman" w:hAnsi="Times New Roman"/>
          <w:sz w:val="24"/>
          <w:szCs w:val="24"/>
        </w:rPr>
        <w:t xml:space="preserve">Organizaciji skupa pridonio je tim Svjetske banke koji uključuje Elenu Nikulinu, voditeljicu tima za PEMPAL, g. Cema Denera, vodećeg stručnjaka za upravljanje, gđu Irynu Shcherbynu, stručnjakinju za javni sektor i g. Marka Silinsa, PEMPAL-ova savjetnika. Logističku podršku pružilo je Tajništvo PEMPAL-a sa sjedištem u uredu Svjetske banke u Moskvi. </w:t>
      </w:r>
    </w:p>
    <w:p w:rsidR="00CC075E" w:rsidRDefault="00B0491D" w:rsidP="00CC075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80768" behindDoc="1" locked="0" layoutInCell="1" allowOverlap="1" wp14:anchorId="05A10CE1">
            <wp:simplePos x="0" y="0"/>
            <wp:positionH relativeFrom="margin">
              <wp:align>left</wp:align>
            </wp:positionH>
            <wp:positionV relativeFrom="paragraph">
              <wp:posOffset>3175</wp:posOffset>
            </wp:positionV>
            <wp:extent cx="4251960" cy="2260600"/>
            <wp:effectExtent l="0" t="0" r="0" b="6350"/>
            <wp:wrapTight wrapText="bothSides">
              <wp:wrapPolygon edited="0">
                <wp:start x="0" y="0"/>
                <wp:lineTo x="0" y="21479"/>
                <wp:lineTo x="21484" y="21479"/>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1960" cy="2260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Sastanak je otvorio zamjenik ministra financija </w:t>
      </w:r>
      <w:r>
        <w:rPr>
          <w:rFonts w:ascii="Times New Roman" w:hAnsi="Times New Roman"/>
          <w:b/>
          <w:sz w:val="24"/>
          <w:szCs w:val="24"/>
        </w:rPr>
        <w:t>g. Azer Bayramov</w:t>
      </w:r>
      <w:r>
        <w:rPr>
          <w:rFonts w:ascii="Times New Roman" w:hAnsi="Times New Roman"/>
          <w:sz w:val="24"/>
          <w:szCs w:val="24"/>
        </w:rPr>
        <w:t xml:space="preserve"> poželjevši dobrodošlicu sudionicima na zajedničkom skupu tematske skupine za IT i tematske skupine za računovodstvo i izvještavanje u javnom sektoru.  Zahvalio je državnim dužnosnicima iz drugih zemalja koji su došli podijeliti svoje iskustvo. Spomenuo je i izazove s kojima su se organizatori suočili jer se skup održavao u isto vrijeme kad i predsjednički izbori. Zamjenik ministra objavio je i da je predsjednik ponovno pobijedio na izborima te dobio glasove velike većine, što znači da će njegova zemlja i dalje biti usmjerena na uspostavljeni program reformi koji uključuje upravljanje javnim financijama (PFM). Zamjenik ministra zahvalio je i PEMPAL-u na prilikama koje je ta mreža pružila Azerbajdžanu, upoznavajući ih s dobrom praksom.  Naglasio je kako je vlada imala izravne koristi od lekcija PEMPAL-a prilikom planiranja svojih reformi.</w:t>
      </w:r>
    </w:p>
    <w:p w:rsidR="00CC075E" w:rsidRDefault="00CC075E" w:rsidP="00CC075E">
      <w:pPr>
        <w:spacing w:after="0" w:line="240" w:lineRule="auto"/>
        <w:jc w:val="both"/>
        <w:rPr>
          <w:rFonts w:ascii="Times New Roman" w:hAnsi="Times New Roman" w:cs="Times New Roman"/>
          <w:sz w:val="24"/>
          <w:szCs w:val="24"/>
          <w:lang w:val="en-GB"/>
        </w:rPr>
      </w:pPr>
    </w:p>
    <w:p w:rsidR="00CC075E" w:rsidRDefault="00CC075E" w:rsidP="00CC075E">
      <w:pPr>
        <w:spacing w:after="0" w:line="240" w:lineRule="auto"/>
        <w:jc w:val="both"/>
        <w:rPr>
          <w:rFonts w:ascii="Times New Roman" w:hAnsi="Times New Roman" w:cs="Times New Roman"/>
          <w:sz w:val="24"/>
          <w:szCs w:val="24"/>
        </w:rPr>
      </w:pPr>
      <w:r>
        <w:rPr>
          <w:rFonts w:ascii="Times New Roman" w:hAnsi="Times New Roman"/>
          <w:b/>
          <w:sz w:val="24"/>
          <w:szCs w:val="24"/>
        </w:rPr>
        <w:t>G. Ziyad Samedzade</w:t>
      </w:r>
      <w:r>
        <w:rPr>
          <w:rFonts w:ascii="Times New Roman" w:hAnsi="Times New Roman"/>
          <w:sz w:val="24"/>
          <w:szCs w:val="24"/>
        </w:rPr>
        <w:t xml:space="preserve">, zastupnik u azerbajdžanskom parlamentu, održao je sljedeći govor i poželio dobrodošlicu dužnosnicima u Bakuu. Govorio je o stabilnosti koju je Azerbajdžan iskusio i snažnom gospodarskom rastu unatoč fluktuaciji cijena nafte. Čestitao je Ministarstvu </w:t>
      </w:r>
      <w:r>
        <w:rPr>
          <w:rFonts w:ascii="Times New Roman" w:hAnsi="Times New Roman"/>
          <w:sz w:val="24"/>
          <w:szCs w:val="24"/>
        </w:rPr>
        <w:lastRenderedPageBreak/>
        <w:t xml:space="preserve">financija na njihovu iznimnom doprinosu Azerbajdžanu. Govorio je i o važnosti transparentnosti i efikasne upotrebe državnih sredstava. Parlament i Ministarstvo financija imaju vrlo dobar odnos. Cilj plana reformi koji se provodi u Azerbajdžanu jest postupno unaprijediti sustav PFM-a. Zahvalio je i Svjetskoj banci i kolegama iz PEMPAL-a na njihovoj podršci i suradnji.   </w:t>
      </w:r>
    </w:p>
    <w:p w:rsidR="00CC075E" w:rsidRDefault="00CC075E" w:rsidP="00CC075E">
      <w:pPr>
        <w:spacing w:after="0" w:line="240" w:lineRule="auto"/>
        <w:jc w:val="both"/>
        <w:rPr>
          <w:rFonts w:ascii="Times New Roman" w:hAnsi="Times New Roman" w:cs="Times New Roman"/>
          <w:sz w:val="24"/>
          <w:szCs w:val="24"/>
          <w:lang w:val="en-GB"/>
        </w:rPr>
      </w:pPr>
    </w:p>
    <w:p w:rsidR="00CC075E" w:rsidRDefault="00CC075E" w:rsidP="00CC075E">
      <w:pPr>
        <w:spacing w:after="0" w:line="240" w:lineRule="auto"/>
        <w:jc w:val="both"/>
        <w:rPr>
          <w:rFonts w:ascii="Times New Roman" w:hAnsi="Times New Roman" w:cs="Times New Roman"/>
          <w:sz w:val="24"/>
          <w:szCs w:val="24"/>
        </w:rPr>
      </w:pPr>
      <w:r>
        <w:rPr>
          <w:rFonts w:ascii="Times New Roman" w:hAnsi="Times New Roman"/>
          <w:b/>
          <w:sz w:val="24"/>
          <w:szCs w:val="24"/>
        </w:rPr>
        <w:t>G. Naveed Naqvi</w:t>
      </w:r>
      <w:r>
        <w:rPr>
          <w:rFonts w:ascii="Times New Roman" w:hAnsi="Times New Roman"/>
          <w:sz w:val="24"/>
          <w:szCs w:val="24"/>
        </w:rPr>
        <w:t xml:space="preserve">, voditelj ureda Svjetske banke, također je poželio dobrodošlicu dužnosnicima i zahvalio TCOP-u što je odlučio održati sastanak u Bakuu. Govorio je o uspjehu PEMPAL-a i činjenici da ta mreža postoji već više od 10 godina. Taj je model preuzet u ostalim regijama, uključujući jugoistočnu Aziju i Latinsku Ameriku. Svjetska banka je sretna što je strateški partner PEMPAL-u. Naglasio je i važnost IT-a te posebno razvoj ISFU-a u zemljama. Nužno je proračunskim institucijama omogućiti pristup internetu kako bi se osigurala učinkovita upotreba tih sustava. </w:t>
      </w:r>
    </w:p>
    <w:p w:rsidR="00CC075E" w:rsidRDefault="00CC075E" w:rsidP="00CC075E">
      <w:pPr>
        <w:spacing w:after="0" w:line="240" w:lineRule="auto"/>
        <w:jc w:val="both"/>
        <w:rPr>
          <w:rFonts w:ascii="Times New Roman" w:hAnsi="Times New Roman" w:cs="Times New Roman"/>
          <w:sz w:val="24"/>
          <w:szCs w:val="24"/>
          <w:lang w:val="en-GB"/>
        </w:rPr>
      </w:pPr>
    </w:p>
    <w:p w:rsidR="00CC075E" w:rsidRDefault="00CC075E" w:rsidP="00CC075E">
      <w:pPr>
        <w:spacing w:after="0" w:line="240" w:lineRule="auto"/>
        <w:jc w:val="both"/>
        <w:rPr>
          <w:rFonts w:ascii="Times New Roman" w:hAnsi="Times New Roman" w:cs="Times New Roman"/>
          <w:sz w:val="24"/>
          <w:szCs w:val="24"/>
        </w:rPr>
      </w:pPr>
      <w:r>
        <w:rPr>
          <w:rFonts w:ascii="Times New Roman" w:hAnsi="Times New Roman"/>
          <w:b/>
          <w:sz w:val="24"/>
          <w:szCs w:val="24"/>
        </w:rPr>
        <w:t>Gđa Angela Voronin</w:t>
      </w:r>
      <w:r>
        <w:rPr>
          <w:rFonts w:ascii="Times New Roman" w:hAnsi="Times New Roman"/>
          <w:sz w:val="24"/>
          <w:szCs w:val="24"/>
        </w:rPr>
        <w:t>, predsjednica TCOP-a i glavna rizničarka Moldove, čestitala je domaćinima na predsjedničkim izborima i poželjela im sve najbolje u budućnosti. Naglasila je kako se azerbajdžanska riznica velikodušno ponudila biti domaćinom ovog četverodnevnog sastanka dviju tematskih skupina u Bakuu. Tematske skupine za IT i računovodstvo imaju jasna područja zajedničkih interesa pa je ovo bila dobra prilika da se okupe i rasprave o tim pitanjima. Izvještavanje i računovodstvo ovise o visokokvalitetnom IKT-u i sustavi podrške moraju biti optimalni kako bi osigurali integritet cjelokupnog sustava PFM-a.</w:t>
      </w:r>
    </w:p>
    <w:p w:rsidR="00CC075E" w:rsidRDefault="00CC075E" w:rsidP="00CC075E">
      <w:pPr>
        <w:spacing w:after="0" w:line="240" w:lineRule="auto"/>
        <w:jc w:val="both"/>
        <w:rPr>
          <w:rFonts w:ascii="Times New Roman" w:hAnsi="Times New Roman" w:cs="Times New Roman"/>
          <w:sz w:val="24"/>
          <w:szCs w:val="24"/>
          <w:lang w:val="en-GB"/>
        </w:rPr>
      </w:pPr>
    </w:p>
    <w:p w:rsidR="00CC075E" w:rsidRDefault="00A721FA" w:rsidP="00CC075E">
      <w:pPr>
        <w:spacing w:after="0" w:line="240" w:lineRule="auto"/>
        <w:jc w:val="both"/>
        <w:rPr>
          <w:rFonts w:ascii="Times New Roman" w:hAnsi="Times New Roman" w:cs="Times New Roman"/>
          <w:sz w:val="24"/>
          <w:szCs w:val="24"/>
        </w:rPr>
      </w:pPr>
      <w:r>
        <w:rPr>
          <w:rFonts w:ascii="Times New Roman" w:hAnsi="Times New Roman"/>
          <w:b/>
          <w:noProof/>
          <w:sz w:val="24"/>
          <w:szCs w:val="24"/>
          <w:lang w:eastAsia="hr-HR"/>
        </w:rPr>
        <w:drawing>
          <wp:anchor distT="0" distB="0" distL="114300" distR="114300" simplePos="0" relativeHeight="251681792" behindDoc="0" locked="0" layoutInCell="1" allowOverlap="1" wp14:anchorId="2BBB7441" wp14:editId="5167A13A">
            <wp:simplePos x="0" y="0"/>
            <wp:positionH relativeFrom="column">
              <wp:posOffset>-171450</wp:posOffset>
            </wp:positionH>
            <wp:positionV relativeFrom="paragraph">
              <wp:posOffset>2071370</wp:posOffset>
            </wp:positionV>
            <wp:extent cx="3095625" cy="2292985"/>
            <wp:effectExtent l="0" t="0" r="9525" b="0"/>
            <wp:wrapSquare wrapText="bothSides"/>
            <wp:docPr id="10" name="Picture 10" descr="\\server-i01\Podaci\ARHIV - PODACI\aa FIRME\WB HR\2018\1443-18\slik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i01\Podaci\ARHIV - PODACI\aa FIRME\WB HR\2018\1443-18\slik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75E">
        <w:rPr>
          <w:rFonts w:ascii="Times New Roman" w:hAnsi="Times New Roman"/>
          <w:sz w:val="24"/>
          <w:szCs w:val="24"/>
        </w:rPr>
        <w:t xml:space="preserve">Uvodni su govori završeni riječima </w:t>
      </w:r>
      <w:r w:rsidR="00CC075E">
        <w:rPr>
          <w:rFonts w:ascii="Times New Roman" w:hAnsi="Times New Roman"/>
          <w:b/>
          <w:sz w:val="24"/>
          <w:szCs w:val="24"/>
        </w:rPr>
        <w:t>gđe Elene Nikuline</w:t>
      </w:r>
      <w:r w:rsidR="00CC075E">
        <w:rPr>
          <w:rFonts w:ascii="Times New Roman" w:hAnsi="Times New Roman"/>
          <w:sz w:val="24"/>
          <w:szCs w:val="24"/>
        </w:rPr>
        <w:t xml:space="preserve">, voditeljice tima PEMPAL-a iz Svjetske banke, koja je isto tako poželjela dobrodošlicu sudionicima i delegatima u ime tima Svjetske banke. Poželjela je dobrodošlicu i sudionicima iz tematske skupine za računovodstvo koji su se danas okupili na sastanku. Ukratko je iznijela sažetak rezultata od protekla dva dana kad je tematska skupina za IT imala svoj sastanak. Rasprave su bile raznolike i zanimljive, a dotakle su se i teme najnovije tehnologije u ASAN-u i Središnjoj banci Azerbajdžana. Gđa Nikulina zahvalila je i MF-u na njihovoj podršci te čestitala kolegama na izbornim rezultatima. Podsjetila je i sve prisutne na važnost datuma sastanka koji se održavao 12. travnja na dan kada je čovjek prvi puta letio u svemir. Napredak u tehnologiji omogućio je da se to dogodi. Većinu je posla sada moguće obaviti u zemljama PEMPAL-a zbog napretka u tehnologiji. To će biti središnja tema rasprava tijekom sljedeća dva dana. </w:t>
      </w:r>
    </w:p>
    <w:p w:rsidR="00CC075E" w:rsidRDefault="00CC075E" w:rsidP="00CC075E">
      <w:pPr>
        <w:spacing w:after="0" w:line="240" w:lineRule="auto"/>
        <w:jc w:val="both"/>
        <w:rPr>
          <w:rFonts w:ascii="Times New Roman" w:hAnsi="Times New Roman" w:cs="Times New Roman"/>
          <w:sz w:val="24"/>
          <w:szCs w:val="24"/>
          <w:lang w:val="en-GB"/>
        </w:rPr>
      </w:pPr>
    </w:p>
    <w:p w:rsidR="00CC075E" w:rsidRDefault="003E2969" w:rsidP="00CC075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b/>
          <w:sz w:val="24"/>
          <w:szCs w:val="24"/>
        </w:rPr>
        <w:t>Cem Dener,</w:t>
      </w:r>
      <w:r>
        <w:rPr>
          <w:rFonts w:ascii="Times New Roman" w:hAnsi="Times New Roman"/>
          <w:sz w:val="24"/>
          <w:szCs w:val="24"/>
        </w:rPr>
        <w:t xml:space="preserve"> vodeći stručnjak za javni sektor iz Svjetske banke, održao je glavno izlaganje dana zajedničkog sastanka na temu „</w:t>
      </w:r>
      <w:r>
        <w:rPr>
          <w:rFonts w:ascii="Times New Roman" w:hAnsi="Times New Roman"/>
          <w:i/>
          <w:sz w:val="24"/>
          <w:szCs w:val="24"/>
        </w:rPr>
        <w:t>Trendovi u širenju obuhvata informacijskih sustava za financijsko upravljanje</w:t>
      </w:r>
      <w:r>
        <w:rPr>
          <w:rFonts w:ascii="Times New Roman" w:hAnsi="Times New Roman"/>
          <w:sz w:val="24"/>
          <w:szCs w:val="24"/>
        </w:rPr>
        <w:t xml:space="preserve">”. Tijekom proteklih 15 godina u većini se zemalja sudionica prešlo s ručne obrade podataka na potpunu automatizaciju. Tehnološke se reforme sada brzo odvijaju i sve je veći interes za istraživanjem upotrebe distributivnih tehnologija kako bi se složeni izazovi riješili brzo i ekonomično. Prvo je definirao razliku između ISFU-a i IISFU-a. Temeljni </w:t>
      </w:r>
      <w:r>
        <w:rPr>
          <w:rFonts w:ascii="Times New Roman" w:hAnsi="Times New Roman"/>
          <w:sz w:val="24"/>
          <w:szCs w:val="24"/>
        </w:rPr>
        <w:lastRenderedPageBreak/>
        <w:t>informacijski sustavi za financijsko upravljanje (ISFU) mogu se općenito definirati kao skup automatiziranih rješenja s pomoću kojih vlade mogu planirati, izvršavati i pratiti proračun. Integrirani ISFU (ili IISFU) kombinira temeljne module ISFU-a (OLTP) sa snažnim kapacitetima pohrane podataka (skladište podataka) i višedimenzionalnim alatima za analizu podataka (OLAP) za učinkovito planiranje, donošenje odluka, pružanje usluga i praćenje učinka. Današnji je trend razmatrati IISFU u sklopu cjelokupnog državnog okvira za e-upravu, gdje IISFU komunicira s ostalim državnim sustavima kako bi se unaprijedio postupak donošenja odluka, praćenje učinka, objave na internetu i pružanja usluga.</w:t>
      </w:r>
    </w:p>
    <w:p w:rsidR="00CC075E" w:rsidRDefault="00CC075E" w:rsidP="00CC075E">
      <w:pPr>
        <w:autoSpaceDE w:val="0"/>
        <w:autoSpaceDN w:val="0"/>
        <w:adjustRightInd w:val="0"/>
        <w:spacing w:after="0" w:line="240" w:lineRule="auto"/>
        <w:rPr>
          <w:rFonts w:ascii="Times New Roman" w:hAnsi="Times New Roman" w:cs="Times New Roman"/>
          <w:sz w:val="24"/>
          <w:szCs w:val="24"/>
          <w:lang w:val="en-GB"/>
        </w:rPr>
      </w:pPr>
    </w:p>
    <w:p w:rsidR="00CC075E" w:rsidRDefault="00CC075E" w:rsidP="00CC075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sz w:val="24"/>
          <w:szCs w:val="24"/>
        </w:rPr>
        <w:t>Većina zemalja može sada prikupljati, pohraniti i upravljati podacima PFM-a. Idući je trend potpuni obuhvat državnih podataka (sve transakcije prihoda i rashoda) te osiguranje pouzdanog i sigurnog pristupa otvorenim podacima. IISFU kao zajednička platforma osigurava dostupnost središnje baze podataka i dinamičnih alata za upit svim korisnicima, eliminira fragmentaciju informacijskih sustava i baza podataka koja se može dogoditi putem nepovezanih distribucijskih sustava. Još je jedan trend razvoj međusobne povezanosti sustava. Internetska aplikacijska programska sučelja (API) sada se upotrebljavaju za automatizaciju razmjene podataka među državnim sustavima / bazama podataka na temelju protokola za sigurnu razmjenu podataka i koriste se infrastrukturom vladinog uslužnog središta otvorenog izvora, čime se otklanja potreba za skupim sučeljima za razmjenu vlasničkih podataka.</w:t>
      </w:r>
    </w:p>
    <w:p w:rsidR="00CC075E" w:rsidRDefault="00CC075E" w:rsidP="00CC075E">
      <w:pPr>
        <w:autoSpaceDE w:val="0"/>
        <w:autoSpaceDN w:val="0"/>
        <w:adjustRightInd w:val="0"/>
        <w:spacing w:after="0" w:line="240" w:lineRule="auto"/>
        <w:rPr>
          <w:rFonts w:ascii="Times New Roman" w:hAnsi="Times New Roman" w:cs="Times New Roman"/>
          <w:sz w:val="24"/>
          <w:szCs w:val="24"/>
          <w:lang w:val="en-GB"/>
        </w:rPr>
      </w:pPr>
    </w:p>
    <w:p w:rsidR="00CC075E" w:rsidRDefault="00CC075E" w:rsidP="00B0491D">
      <w:pPr>
        <w:autoSpaceDE w:val="0"/>
        <w:autoSpaceDN w:val="0"/>
        <w:adjustRightInd w:val="0"/>
        <w:spacing w:after="0" w:line="300" w:lineRule="atLeast"/>
        <w:jc w:val="both"/>
        <w:rPr>
          <w:rFonts w:ascii="Times New Roman" w:hAnsi="Times New Roman" w:cs="Times New Roman"/>
          <w:sz w:val="24"/>
          <w:szCs w:val="24"/>
        </w:rPr>
      </w:pPr>
      <w:r>
        <w:rPr>
          <w:rFonts w:ascii="Times New Roman" w:hAnsi="Times New Roman"/>
          <w:sz w:val="24"/>
          <w:szCs w:val="24"/>
        </w:rPr>
        <w:t xml:space="preserve">Glavni izazovi za projekte IISFU-a većinom nisu tehnički. Učinkovito rukovodstvo i upravljanje promjenama potrebni su za prelazak na digitalnu kulturu te za unaprjeđenje pružanja usluga na internetu. Ključno je osigurati (primjenjivati) upotrebu IISFU-a za dnevnu evidenciju svih proračunskih transakcija jer se time omogućuje pristup pouzdanim podacima za analizu. Također je u trendu upotrebljavati </w:t>
      </w:r>
      <w:r>
        <w:rPr>
          <w:rFonts w:ascii="Times New Roman" w:hAnsi="Times New Roman"/>
          <w:i/>
          <w:sz w:val="24"/>
          <w:szCs w:val="24"/>
        </w:rPr>
        <w:t>web</w:t>
      </w:r>
      <w:r>
        <w:rPr>
          <w:rFonts w:ascii="Times New Roman" w:hAnsi="Times New Roman"/>
          <w:sz w:val="24"/>
          <w:szCs w:val="24"/>
        </w:rPr>
        <w:t xml:space="preserve">-portale za objavu proračunskih rezultata i osigurati pristup podacima za unutarnju/vanjsku analizu. </w:t>
      </w:r>
    </w:p>
    <w:p w:rsidR="00CC075E" w:rsidRDefault="00CC075E" w:rsidP="00CC075E">
      <w:pPr>
        <w:autoSpaceDE w:val="0"/>
        <w:autoSpaceDN w:val="0"/>
        <w:adjustRightInd w:val="0"/>
        <w:spacing w:after="0" w:line="300" w:lineRule="atLeast"/>
        <w:jc w:val="both"/>
        <w:rPr>
          <w:rFonts w:ascii="Times New Roman" w:hAnsi="Times New Roman" w:cs="Times New Roman"/>
          <w:sz w:val="24"/>
          <w:szCs w:val="24"/>
          <w:lang w:val="en-GB"/>
        </w:rPr>
      </w:pPr>
    </w:p>
    <w:p w:rsidR="00CC075E" w:rsidRDefault="00CC075E" w:rsidP="00CC075E">
      <w:pPr>
        <w:autoSpaceDE w:val="0"/>
        <w:autoSpaceDN w:val="0"/>
        <w:adjustRightInd w:val="0"/>
        <w:spacing w:after="0" w:line="300" w:lineRule="atLeast"/>
        <w:jc w:val="both"/>
        <w:rPr>
          <w:rFonts w:ascii="Times New Roman" w:hAnsi="Times New Roman" w:cs="Times New Roman"/>
          <w:sz w:val="24"/>
          <w:szCs w:val="24"/>
        </w:rPr>
      </w:pPr>
      <w:r>
        <w:rPr>
          <w:rFonts w:ascii="Times New Roman" w:hAnsi="Times New Roman"/>
          <w:sz w:val="24"/>
          <w:szCs w:val="24"/>
        </w:rPr>
        <w:t xml:space="preserve">Gornji slajd pokazuje kako zemlja može postupno proširiti obuhvat za konsolidirano izvještavanje. Ključno je obvezno upotrebljavati jedinstveni računski plan. Malo je zemalja to uspjelo ostvariti. </w:t>
      </w:r>
    </w:p>
    <w:p w:rsidR="00CC075E" w:rsidRDefault="00CC075E" w:rsidP="00CC075E">
      <w:pPr>
        <w:autoSpaceDE w:val="0"/>
        <w:autoSpaceDN w:val="0"/>
        <w:adjustRightInd w:val="0"/>
        <w:spacing w:after="0" w:line="300" w:lineRule="atLeast"/>
        <w:rPr>
          <w:rFonts w:ascii="Times New Roman" w:hAnsi="Times New Roman" w:cs="Times New Roman"/>
          <w:sz w:val="24"/>
          <w:szCs w:val="24"/>
          <w:lang w:val="en-GB"/>
        </w:rPr>
      </w:pPr>
    </w:p>
    <w:p w:rsidR="00CC075E" w:rsidRPr="00864C98" w:rsidRDefault="00CC075E" w:rsidP="00CC075E">
      <w:pPr>
        <w:autoSpaceDE w:val="0"/>
        <w:autoSpaceDN w:val="0"/>
        <w:adjustRightInd w:val="0"/>
        <w:spacing w:after="0" w:line="300" w:lineRule="atLeast"/>
        <w:rPr>
          <w:rFonts w:ascii="Times New Roman" w:hAnsi="Times New Roman" w:cs="Times New Roman"/>
          <w:sz w:val="24"/>
          <w:szCs w:val="24"/>
        </w:rPr>
      </w:pPr>
      <w:r>
        <w:rPr>
          <w:rFonts w:ascii="Times New Roman" w:hAnsi="Times New Roman"/>
          <w:sz w:val="24"/>
          <w:szCs w:val="24"/>
        </w:rPr>
        <w:t>Tablica u nastavku prikazuje kako su različite zemlje konfigurirale svoje ISFU-e i dostupan pristup potrošačkim jedinicama.</w:t>
      </w:r>
    </w:p>
    <w:p w:rsidR="00CC075E" w:rsidRPr="00A853B2" w:rsidRDefault="00CC075E" w:rsidP="00CC075E">
      <w:pPr>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4"/>
        </w:rPr>
        <w:t xml:space="preserve">  </w:t>
      </w:r>
    </w:p>
    <w:tbl>
      <w:tblPr>
        <w:tblW w:w="5000" w:type="pct"/>
        <w:tblBorders>
          <w:top w:val="nil"/>
          <w:left w:val="nil"/>
          <w:right w:val="nil"/>
        </w:tblBorders>
        <w:tblLook w:val="0000" w:firstRow="0" w:lastRow="0" w:firstColumn="0" w:lastColumn="0" w:noHBand="0" w:noVBand="0"/>
      </w:tblPr>
      <w:tblGrid>
        <w:gridCol w:w="999"/>
        <w:gridCol w:w="5654"/>
        <w:gridCol w:w="2923"/>
      </w:tblGrid>
      <w:tr w:rsidR="00CC075E" w:rsidRPr="008F5B36" w:rsidTr="00931322">
        <w:tc>
          <w:tcPr>
            <w:tcW w:w="410" w:type="pct"/>
            <w:tcBorders>
              <w:top w:val="single" w:sz="8" w:space="0" w:color="FFFFFF"/>
              <w:left w:val="single" w:sz="8" w:space="0" w:color="FFFFFF"/>
              <w:bottom w:val="single" w:sz="32" w:space="0" w:color="FFFFFF"/>
              <w:right w:val="single" w:sz="8" w:space="0" w:color="FFFFFF"/>
            </w:tcBorders>
            <w:shd w:val="clear" w:color="auto" w:fill="0018C0"/>
            <w:tcMar>
              <w:top w:w="192" w:type="nil"/>
              <w:left w:w="96" w:type="nil"/>
              <w:bottom w:w="96" w:type="nil"/>
              <w:right w:w="192" w:type="nil"/>
            </w:tcMar>
            <w:vAlign w:val="cente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b/>
                <w:bCs/>
                <w:szCs w:val="24"/>
              </w:rPr>
              <w:t>Skupina</w:t>
            </w:r>
          </w:p>
        </w:tc>
        <w:tc>
          <w:tcPr>
            <w:tcW w:w="3008" w:type="pct"/>
            <w:tcBorders>
              <w:top w:val="single" w:sz="8" w:space="0" w:color="FFFFFF"/>
              <w:left w:val="single" w:sz="8" w:space="0" w:color="FFFFFF"/>
              <w:bottom w:val="single" w:sz="32" w:space="0" w:color="FFFFFF"/>
              <w:right w:val="single" w:sz="8" w:space="0" w:color="FFFFFF"/>
            </w:tcBorders>
            <w:shd w:val="clear" w:color="auto" w:fill="0018C0"/>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b/>
                <w:bCs/>
                <w:szCs w:val="24"/>
              </w:rPr>
              <w:t>Širenje ISFU-a u svrhu pružanja podrške potrošačkim jedinicama</w:t>
            </w:r>
          </w:p>
        </w:tc>
        <w:tc>
          <w:tcPr>
            <w:tcW w:w="1582" w:type="pct"/>
            <w:tcBorders>
              <w:top w:val="single" w:sz="8" w:space="0" w:color="FFFFFF"/>
              <w:left w:val="single" w:sz="8" w:space="0" w:color="FFFFFF"/>
              <w:bottom w:val="single" w:sz="32" w:space="0" w:color="FFFFFF"/>
              <w:right w:val="single" w:sz="8" w:space="0" w:color="FFFFFF"/>
            </w:tcBorders>
            <w:shd w:val="clear" w:color="auto" w:fill="0018C0"/>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b/>
                <w:bCs/>
                <w:szCs w:val="24"/>
              </w:rPr>
              <w:t>Odabrani slučajevi zemalja*</w:t>
            </w:r>
          </w:p>
        </w:tc>
      </w:tr>
      <w:tr w:rsidR="00CC075E" w:rsidRPr="008F5B36" w:rsidTr="00931322">
        <w:tblPrEx>
          <w:tblBorders>
            <w:top w:val="none" w:sz="0" w:space="0" w:color="auto"/>
          </w:tblBorders>
        </w:tblPrEx>
        <w:tc>
          <w:tcPr>
            <w:tcW w:w="410" w:type="pct"/>
            <w:tcBorders>
              <w:top w:val="single" w:sz="32" w:space="0" w:color="FFFFFF"/>
              <w:left w:val="single" w:sz="8" w:space="0" w:color="FFFFFF"/>
              <w:bottom w:val="single" w:sz="8" w:space="0" w:color="FFFFFF"/>
              <w:right w:val="single" w:sz="8" w:space="0" w:color="FFFFFF"/>
            </w:tcBorders>
            <w:shd w:val="clear" w:color="auto" w:fill="C6CEE2"/>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szCs w:val="24"/>
              </w:rPr>
              <w:t>A</w:t>
            </w:r>
          </w:p>
        </w:tc>
        <w:tc>
          <w:tcPr>
            <w:tcW w:w="3008" w:type="pct"/>
            <w:tcBorders>
              <w:top w:val="single" w:sz="32" w:space="0" w:color="FFFFFF"/>
              <w:left w:val="single" w:sz="8" w:space="0" w:color="FFFFFF"/>
              <w:bottom w:val="single" w:sz="8" w:space="0" w:color="FFFFFF"/>
              <w:right w:val="single" w:sz="8" w:space="0" w:color="FFFFFF"/>
            </w:tcBorders>
            <w:shd w:val="clear" w:color="auto" w:fill="C6CEE2"/>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b/>
                <w:szCs w:val="24"/>
              </w:rPr>
              <w:t xml:space="preserve">Centraliziran zajednički ISFU </w:t>
            </w:r>
            <w:r>
              <w:rPr>
                <w:rFonts w:ascii="Times New Roman" w:hAnsi="Times New Roman"/>
                <w:szCs w:val="24"/>
              </w:rPr>
              <w:t>na internetu koji omogućuje izravan pristup svim PJ-ovima (javni podaci u oblaku/internet)</w:t>
            </w:r>
          </w:p>
        </w:tc>
        <w:tc>
          <w:tcPr>
            <w:tcW w:w="1582" w:type="pct"/>
            <w:tcBorders>
              <w:top w:val="single" w:sz="32" w:space="0" w:color="FFFFFF"/>
              <w:left w:val="single" w:sz="8" w:space="0" w:color="FFFFFF"/>
              <w:bottom w:val="single" w:sz="8" w:space="0" w:color="FFFFFF"/>
              <w:right w:val="single" w:sz="8" w:space="0" w:color="FFFFFF"/>
            </w:tcBorders>
            <w:shd w:val="clear" w:color="auto" w:fill="C6CEE2"/>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szCs w:val="24"/>
              </w:rPr>
              <w:t>Gruzija, Estonija</w:t>
            </w:r>
          </w:p>
        </w:tc>
      </w:tr>
      <w:tr w:rsidR="00CC075E" w:rsidRPr="008F5B36" w:rsidTr="00931322">
        <w:tblPrEx>
          <w:tblBorders>
            <w:top w:val="none" w:sz="0" w:space="0" w:color="auto"/>
          </w:tblBorders>
        </w:tblPrEx>
        <w:tc>
          <w:tcPr>
            <w:tcW w:w="410" w:type="pct"/>
            <w:tcBorders>
              <w:top w:val="single" w:sz="8" w:space="0" w:color="FFFFFF"/>
              <w:left w:val="single" w:sz="8" w:space="0" w:color="FFFFFF"/>
              <w:bottom w:val="single" w:sz="8" w:space="0" w:color="FFFFFF"/>
              <w:right w:val="single" w:sz="8" w:space="0" w:color="FFFFFF"/>
            </w:tcBorders>
            <w:shd w:val="clear" w:color="auto" w:fill="E4E8F1"/>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szCs w:val="24"/>
              </w:rPr>
              <w:t>B</w:t>
            </w:r>
          </w:p>
        </w:tc>
        <w:tc>
          <w:tcPr>
            <w:tcW w:w="3008" w:type="pct"/>
            <w:tcBorders>
              <w:top w:val="single" w:sz="8" w:space="0" w:color="FFFFFF"/>
              <w:left w:val="single" w:sz="8" w:space="0" w:color="FFFFFF"/>
              <w:bottom w:val="single" w:sz="8" w:space="0" w:color="FFFFFF"/>
              <w:right w:val="single" w:sz="8" w:space="0" w:color="FFFFFF"/>
            </w:tcBorders>
            <w:shd w:val="clear" w:color="auto" w:fill="E4E8F1"/>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b/>
                <w:i/>
                <w:szCs w:val="24"/>
              </w:rPr>
              <w:t>Web</w:t>
            </w:r>
            <w:r>
              <w:rPr>
                <w:rFonts w:ascii="Times New Roman" w:hAnsi="Times New Roman"/>
                <w:b/>
                <w:szCs w:val="24"/>
              </w:rPr>
              <w:t>-portal</w:t>
            </w:r>
            <w:r>
              <w:rPr>
                <w:rFonts w:ascii="Times New Roman" w:hAnsi="Times New Roman"/>
                <w:szCs w:val="24"/>
              </w:rPr>
              <w:t xml:space="preserve"> povezan s centraliziranim </w:t>
            </w:r>
            <w:r>
              <w:rPr>
                <w:rFonts w:ascii="Times New Roman" w:hAnsi="Times New Roman"/>
                <w:b/>
                <w:szCs w:val="24"/>
              </w:rPr>
              <w:t>ISFU-om</w:t>
            </w:r>
            <w:r>
              <w:rPr>
                <w:rFonts w:ascii="Times New Roman" w:hAnsi="Times New Roman"/>
                <w:szCs w:val="24"/>
              </w:rPr>
              <w:t xml:space="preserve"> kojim se omogućuje (besplatan) pristup PJ-ovima (javni podaci u oblaku/internet)</w:t>
            </w:r>
          </w:p>
        </w:tc>
        <w:tc>
          <w:tcPr>
            <w:tcW w:w="1582" w:type="pct"/>
            <w:tcBorders>
              <w:top w:val="single" w:sz="8" w:space="0" w:color="FFFFFF"/>
              <w:left w:val="single" w:sz="8" w:space="0" w:color="FFFFFF"/>
              <w:bottom w:val="single" w:sz="8" w:space="0" w:color="FFFFFF"/>
              <w:right w:val="single" w:sz="8" w:space="0" w:color="FFFFFF"/>
            </w:tcBorders>
            <w:shd w:val="clear" w:color="auto" w:fill="E4E8F1"/>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szCs w:val="24"/>
              </w:rPr>
              <w:t xml:space="preserve">Albanija, Francuska, J. Koreja, Brazil, Vijetnam </w:t>
            </w:r>
          </w:p>
        </w:tc>
      </w:tr>
      <w:tr w:rsidR="00CC075E" w:rsidRPr="008F5B36" w:rsidTr="00931322">
        <w:tc>
          <w:tcPr>
            <w:tcW w:w="410" w:type="pct"/>
            <w:tcBorders>
              <w:top w:val="single" w:sz="8" w:space="0" w:color="FFFFFF"/>
              <w:left w:val="single" w:sz="8" w:space="0" w:color="FFFFFF"/>
              <w:bottom w:val="single" w:sz="8" w:space="0" w:color="FFFFFF"/>
              <w:right w:val="single" w:sz="8" w:space="0" w:color="FFFFFF"/>
            </w:tcBorders>
            <w:shd w:val="clear" w:color="auto" w:fill="C6CEE2"/>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szCs w:val="24"/>
              </w:rPr>
              <w:t>C</w:t>
            </w:r>
          </w:p>
        </w:tc>
        <w:tc>
          <w:tcPr>
            <w:tcW w:w="3008" w:type="pct"/>
            <w:tcBorders>
              <w:top w:val="single" w:sz="8" w:space="0" w:color="FFFFFF"/>
              <w:left w:val="single" w:sz="8" w:space="0" w:color="FFFFFF"/>
              <w:bottom w:val="single" w:sz="8" w:space="0" w:color="FFFFFF"/>
              <w:right w:val="single" w:sz="8" w:space="0" w:color="FFFFFF"/>
            </w:tcBorders>
            <w:shd w:val="clear" w:color="auto" w:fill="C6CEE2"/>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b/>
                <w:szCs w:val="24"/>
              </w:rPr>
              <w:t xml:space="preserve">Decentralizirani i nepovezani sustavi PJ-ova </w:t>
            </w:r>
            <w:r>
              <w:rPr>
                <w:rFonts w:ascii="Times New Roman" w:hAnsi="Times New Roman"/>
                <w:szCs w:val="24"/>
              </w:rPr>
              <w:t>koji razmjenjuju podatke s centraliziranim ISFU-om (sučelje/ručno)</w:t>
            </w:r>
          </w:p>
        </w:tc>
        <w:tc>
          <w:tcPr>
            <w:tcW w:w="1582" w:type="pct"/>
            <w:tcBorders>
              <w:top w:val="single" w:sz="8" w:space="0" w:color="FFFFFF"/>
              <w:left w:val="single" w:sz="8" w:space="0" w:color="FFFFFF"/>
              <w:bottom w:val="single" w:sz="8" w:space="0" w:color="FFFFFF"/>
              <w:right w:val="single" w:sz="8" w:space="0" w:color="FFFFFF"/>
            </w:tcBorders>
            <w:shd w:val="clear" w:color="auto" w:fill="C6CEE2"/>
            <w:tcMar>
              <w:top w:w="192" w:type="nil"/>
              <w:left w:w="96" w:type="nil"/>
              <w:bottom w:w="96" w:type="nil"/>
              <w:right w:w="192" w:type="nil"/>
            </w:tcMar>
          </w:tcPr>
          <w:p w:rsidR="00CC075E" w:rsidRPr="008F5B36" w:rsidRDefault="00CC075E" w:rsidP="00931322">
            <w:pPr>
              <w:spacing w:before="40" w:after="40" w:line="240" w:lineRule="auto"/>
              <w:rPr>
                <w:rFonts w:ascii="Times New Roman" w:hAnsi="Times New Roman" w:cs="Times New Roman"/>
                <w:szCs w:val="24"/>
              </w:rPr>
            </w:pPr>
            <w:r>
              <w:rPr>
                <w:rFonts w:ascii="Times New Roman" w:hAnsi="Times New Roman"/>
                <w:szCs w:val="24"/>
              </w:rPr>
              <w:t>Moldova, Poljska, Kina</w:t>
            </w:r>
          </w:p>
        </w:tc>
      </w:tr>
    </w:tbl>
    <w:p w:rsidR="00CC075E" w:rsidRDefault="00CC075E" w:rsidP="00CC075E">
      <w:pPr>
        <w:spacing w:after="0" w:line="240" w:lineRule="auto"/>
        <w:rPr>
          <w:rFonts w:ascii="Times New Roman" w:hAnsi="Times New Roman" w:cs="Times New Roman"/>
          <w:sz w:val="24"/>
          <w:szCs w:val="24"/>
          <w:lang w:val="en-GB"/>
        </w:rPr>
      </w:pPr>
    </w:p>
    <w:p w:rsidR="00CC075E" w:rsidRPr="009A1A6F" w:rsidRDefault="00A721FA" w:rsidP="00CC075E">
      <w:pPr>
        <w:spacing w:after="0" w:line="240" w:lineRule="auto"/>
        <w:ind w:right="20"/>
        <w:jc w:val="both"/>
        <w:rPr>
          <w:rFonts w:ascii="Times New Roman" w:hAnsi="Times New Roman" w:cs="Times New Roman"/>
          <w:sz w:val="24"/>
          <w:szCs w:val="24"/>
        </w:rPr>
      </w:pPr>
      <w:r>
        <w:rPr>
          <w:rFonts w:ascii="Times New Roman" w:hAnsi="Times New Roman"/>
          <w:noProof/>
          <w:sz w:val="24"/>
          <w:szCs w:val="24"/>
          <w:lang w:eastAsia="hr-HR"/>
        </w:rPr>
        <w:drawing>
          <wp:anchor distT="0" distB="0" distL="114300" distR="114300" simplePos="0" relativeHeight="251682816" behindDoc="0" locked="0" layoutInCell="1" allowOverlap="1" wp14:anchorId="0842AD38" wp14:editId="00FC0009">
            <wp:simplePos x="0" y="0"/>
            <wp:positionH relativeFrom="column">
              <wp:posOffset>0</wp:posOffset>
            </wp:positionH>
            <wp:positionV relativeFrom="paragraph">
              <wp:posOffset>0</wp:posOffset>
            </wp:positionV>
            <wp:extent cx="3235811" cy="2412000"/>
            <wp:effectExtent l="0" t="0" r="3175" b="7620"/>
            <wp:wrapSquare wrapText="bothSides"/>
            <wp:docPr id="12" name="Picture 12" descr="\\server-i01\Podaci\ARHIV - PODACI\aa FIRME\WB HR\2018\1443-18\slik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i01\Podaci\ARHIV - PODACI\aa FIRME\WB HR\2018\1443-18\slika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5811" cy="24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69">
        <w:rPr>
          <w:rFonts w:ascii="Times New Roman" w:hAnsi="Times New Roman"/>
          <w:sz w:val="24"/>
          <w:szCs w:val="24"/>
        </w:rPr>
        <w:t xml:space="preserve">G. Dener je potom opisao prednosti i nedostatke svake opcije koji su izneseni na sljedećem slajdu. Prema njegovom mišljenju, treća opcija, distribuirani sustavi, najmanje je poželjna jer predstavlja značajne izazove za integraciju i usklađivanje podataka. Vjerojatno bi izazvala i najveće ukupne troškove u svakom sustavu koji se neovisno instalira. </w:t>
      </w:r>
    </w:p>
    <w:p w:rsidR="00CC075E" w:rsidRPr="00902FC1" w:rsidRDefault="00CC075E" w:rsidP="00CC075E">
      <w:pPr>
        <w:spacing w:after="0" w:line="240" w:lineRule="auto"/>
        <w:jc w:val="both"/>
        <w:rPr>
          <w:rFonts w:ascii="Times New Roman" w:hAnsi="Times New Roman" w:cs="Times New Roman"/>
          <w:sz w:val="24"/>
          <w:szCs w:val="24"/>
        </w:rPr>
      </w:pPr>
      <w:r>
        <w:rPr>
          <w:rFonts w:ascii="Times New Roman" w:hAnsi="Times New Roman"/>
          <w:sz w:val="24"/>
          <w:szCs w:val="24"/>
        </w:rPr>
        <w:t xml:space="preserve">G. Dener je završio svoje izlaganje definiranjem kako provesti stratešku analizu da bi se donijela odluka o tome koji je pristup najbolje primijeniti za provedbu ISFU-a. </w:t>
      </w:r>
    </w:p>
    <w:p w:rsidR="00CC075E" w:rsidRPr="00902FC1" w:rsidRDefault="00CC075E" w:rsidP="00CC075E">
      <w:pPr>
        <w:pStyle w:val="ListParagraph"/>
        <w:numPr>
          <w:ilvl w:val="0"/>
          <w:numId w:val="1"/>
        </w:num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sz w:val="24"/>
          <w:szCs w:val="24"/>
        </w:rPr>
        <w:t>Pokrenuti inventuru kako bi se razjasnilo trenutačno stanje praksi PFM-a, kapaciteti i informacijski sustavi u PJ-ovima.</w:t>
      </w:r>
    </w:p>
    <w:p w:rsidR="00CC075E" w:rsidRDefault="00CC075E" w:rsidP="00CC075E">
      <w:pPr>
        <w:pStyle w:val="ListParagraph"/>
        <w:numPr>
          <w:ilvl w:val="0"/>
          <w:numId w:val="1"/>
        </w:num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sz w:val="24"/>
          <w:szCs w:val="24"/>
        </w:rPr>
        <w:t xml:space="preserve">Raspraviti o mogućim opcijama za automatizaciju funkcija PFM-a PJ-ova i povezanosti s centraliziranim sustavima i ključnim dionicima (vidi gore navedene tri opcije);  </w:t>
      </w:r>
    </w:p>
    <w:p w:rsidR="00CC075E" w:rsidRPr="00902FC1" w:rsidRDefault="00CC075E" w:rsidP="00CC075E">
      <w:pPr>
        <w:pStyle w:val="ListParagraph"/>
        <w:numPr>
          <w:ilvl w:val="0"/>
          <w:numId w:val="1"/>
        </w:num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sz w:val="24"/>
          <w:szCs w:val="24"/>
        </w:rPr>
        <w:t>Razviti realističan plan modernizacije i povezivanja postojećih/novih sustava PFM-a, u skladu s očekivanjima MOA/PJ-ova i</w:t>
      </w:r>
    </w:p>
    <w:p w:rsidR="00CC075E" w:rsidRPr="00902FC1" w:rsidRDefault="00CC075E" w:rsidP="00A721F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sz w:val="24"/>
          <w:szCs w:val="24"/>
        </w:rPr>
        <w:t xml:space="preserve">Krenuti s pilotnim provedbama kako bi se istražile mogućnosti </w:t>
      </w:r>
      <w:r>
        <w:rPr>
          <w:rFonts w:ascii="Times New Roman" w:hAnsi="Times New Roman"/>
          <w:i/>
          <w:sz w:val="24"/>
          <w:szCs w:val="24"/>
        </w:rPr>
        <w:t>online</w:t>
      </w:r>
      <w:r>
        <w:rPr>
          <w:rFonts w:ascii="Times New Roman" w:hAnsi="Times New Roman"/>
          <w:sz w:val="24"/>
          <w:szCs w:val="24"/>
        </w:rPr>
        <w:t xml:space="preserve"> rješenja (kombinacija tradicionalnog i agilnog pristupa).</w:t>
      </w:r>
      <w:r w:rsidR="00A721FA" w:rsidRPr="00A721F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C075E" w:rsidRDefault="00CC075E" w:rsidP="00CC075E">
      <w:pPr>
        <w:spacing w:after="0" w:line="240" w:lineRule="auto"/>
        <w:jc w:val="both"/>
        <w:rPr>
          <w:rFonts w:ascii="Times New Roman" w:hAnsi="Times New Roman" w:cs="Times New Roman"/>
          <w:sz w:val="24"/>
          <w:szCs w:val="24"/>
          <w:lang w:val="en-GB"/>
        </w:rPr>
      </w:pPr>
    </w:p>
    <w:p w:rsidR="00CC075E" w:rsidRPr="00735C7D" w:rsidRDefault="00A721FA" w:rsidP="00CC075E">
      <w:pPr>
        <w:spacing w:after="0" w:line="240" w:lineRule="auto"/>
        <w:jc w:val="both"/>
        <w:rPr>
          <w:rFonts w:ascii="Times New Roman" w:hAnsi="Times New Roman" w:cs="Times New Roman"/>
          <w:sz w:val="24"/>
          <w:szCs w:val="24"/>
        </w:rPr>
      </w:pPr>
      <w:r>
        <w:rPr>
          <w:rFonts w:ascii="Times New Roman" w:hAnsi="Times New Roman"/>
          <w:noProof/>
          <w:sz w:val="24"/>
          <w:szCs w:val="24"/>
          <w:lang w:eastAsia="hr-HR"/>
        </w:rPr>
        <w:drawing>
          <wp:anchor distT="0" distB="0" distL="114300" distR="114300" simplePos="0" relativeHeight="251683840" behindDoc="0" locked="0" layoutInCell="1" allowOverlap="1" wp14:anchorId="5B5DC501" wp14:editId="375BA270">
            <wp:simplePos x="0" y="0"/>
            <wp:positionH relativeFrom="column">
              <wp:posOffset>-455295</wp:posOffset>
            </wp:positionH>
            <wp:positionV relativeFrom="paragraph">
              <wp:posOffset>313055</wp:posOffset>
            </wp:positionV>
            <wp:extent cx="3275965" cy="2458720"/>
            <wp:effectExtent l="0" t="0" r="635" b="0"/>
            <wp:wrapSquare wrapText="bothSides"/>
            <wp:docPr id="15" name="Picture 15" descr="\\server-i01\Podaci\ARHIV - PODACI\aa FIRME\WB HR\2018\1443-18\slik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i01\Podaci\ARHIV - PODACI\aa FIRME\WB HR\2018\1443-18\slika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596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75E">
        <w:rPr>
          <w:rFonts w:ascii="Times New Roman" w:hAnsi="Times New Roman"/>
          <w:sz w:val="24"/>
          <w:szCs w:val="24"/>
        </w:rPr>
        <w:t xml:space="preserve">Drugi dio jutra bio je posvećen izlaganjima pojedinih zemalja. Prvo izlaganje održali su domaćini. </w:t>
      </w:r>
      <w:r w:rsidR="00CC075E">
        <w:rPr>
          <w:rFonts w:ascii="Times New Roman" w:hAnsi="Times New Roman"/>
          <w:b/>
          <w:sz w:val="24"/>
          <w:szCs w:val="24"/>
        </w:rPr>
        <w:t>Nazim Gazimzade</w:t>
      </w:r>
      <w:r w:rsidR="00CC075E">
        <w:rPr>
          <w:rFonts w:ascii="Times New Roman" w:hAnsi="Times New Roman"/>
          <w:sz w:val="24"/>
          <w:szCs w:val="24"/>
        </w:rPr>
        <w:t>, voditelj IT-a iz državne riznice Azerbajdžana održao je prezentaciju pod nazivom „</w:t>
      </w:r>
      <w:r w:rsidR="00CC075E">
        <w:rPr>
          <w:rFonts w:ascii="Times New Roman" w:hAnsi="Times New Roman"/>
          <w:i/>
          <w:sz w:val="24"/>
          <w:szCs w:val="24"/>
        </w:rPr>
        <w:t>Poslovni slučaj za web-portal, proces odabira i ostvarena korist</w:t>
      </w:r>
      <w:r w:rsidR="00CC075E">
        <w:rPr>
          <w:rFonts w:ascii="Times New Roman" w:hAnsi="Times New Roman"/>
          <w:sz w:val="24"/>
          <w:szCs w:val="24"/>
        </w:rPr>
        <w:t xml:space="preserve">”. Razmotrena je opcija distribucije SAP-a proračunskim subjektima, ali je isključena zbog visokih troškova licence. Azerbajdžan je razmišljao i o gotovim softverskim paketima treće strane za potrošačke jedinice, ali to se pokazalo kompliciranim jer većina sustava COTS nije nudila azerbjadžanski jezik kao opciju. Konačna je odluka bila da će razviti interno rješenje upotrebljavajući </w:t>
      </w:r>
      <w:r w:rsidR="00CC075E">
        <w:rPr>
          <w:rFonts w:ascii="Times New Roman" w:hAnsi="Times New Roman"/>
          <w:i/>
          <w:sz w:val="24"/>
          <w:szCs w:val="24"/>
        </w:rPr>
        <w:t>Open Source</w:t>
      </w:r>
      <w:r w:rsidR="00CC075E">
        <w:rPr>
          <w:rFonts w:ascii="Times New Roman" w:hAnsi="Times New Roman"/>
          <w:sz w:val="24"/>
          <w:szCs w:val="24"/>
        </w:rPr>
        <w:t xml:space="preserve"> što je smanjilo troškove. To je bilo prilagođeno rješenje koje je uključivalo lokalni jezik.</w:t>
      </w:r>
    </w:p>
    <w:p w:rsidR="00CC075E" w:rsidRDefault="00CC075E" w:rsidP="00CC075E">
      <w:pPr>
        <w:spacing w:after="0" w:line="240" w:lineRule="auto"/>
        <w:jc w:val="both"/>
        <w:rPr>
          <w:rFonts w:ascii="Times New Roman" w:hAnsi="Times New Roman" w:cs="Times New Roman"/>
          <w:sz w:val="24"/>
          <w:szCs w:val="24"/>
          <w:lang w:val="en-GB"/>
        </w:rPr>
      </w:pPr>
    </w:p>
    <w:p w:rsidR="00CC075E" w:rsidRPr="00A853B2" w:rsidRDefault="00A721FA" w:rsidP="00CC075E">
      <w:pPr>
        <w:spacing w:after="0" w:line="240" w:lineRule="auto"/>
        <w:jc w:val="both"/>
        <w:rPr>
          <w:rFonts w:ascii="Times New Roman" w:hAnsi="Times New Roman" w:cs="Times New Roman"/>
          <w:sz w:val="24"/>
          <w:szCs w:val="24"/>
        </w:rPr>
      </w:pPr>
      <w:r>
        <w:rPr>
          <w:rFonts w:ascii="Times New Roman" w:hAnsi="Times New Roman"/>
          <w:noProof/>
          <w:sz w:val="24"/>
          <w:szCs w:val="24"/>
          <w:lang w:eastAsia="hr-HR"/>
        </w:rPr>
        <w:lastRenderedPageBreak/>
        <w:drawing>
          <wp:anchor distT="0" distB="0" distL="114300" distR="114300" simplePos="0" relativeHeight="251684864" behindDoc="0" locked="0" layoutInCell="1" allowOverlap="1" wp14:anchorId="1EB58328" wp14:editId="34754855">
            <wp:simplePos x="0" y="0"/>
            <wp:positionH relativeFrom="column">
              <wp:posOffset>2257425</wp:posOffset>
            </wp:positionH>
            <wp:positionV relativeFrom="paragraph">
              <wp:posOffset>-76200</wp:posOffset>
            </wp:positionV>
            <wp:extent cx="4391660" cy="2442845"/>
            <wp:effectExtent l="0" t="0" r="8890" b="0"/>
            <wp:wrapSquare wrapText="bothSides"/>
            <wp:docPr id="16" name="Picture 16" descr="\\server-i01\Podaci\ARHIV - PODACI\aa FIRME\WB HR\2018\1443-18\slik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i01\Podaci\ARHIV - PODACI\aa FIRME\WB HR\2018\1443-18\slika 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166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75E">
        <w:rPr>
          <w:rFonts w:ascii="Times New Roman" w:hAnsi="Times New Roman"/>
          <w:b/>
          <w:sz w:val="24"/>
          <w:szCs w:val="24"/>
        </w:rPr>
        <w:t>G. Guram Shvangiradze</w:t>
      </w:r>
      <w:r w:rsidR="00CC075E">
        <w:rPr>
          <w:rFonts w:ascii="Times New Roman" w:hAnsi="Times New Roman"/>
          <w:sz w:val="24"/>
          <w:szCs w:val="24"/>
        </w:rPr>
        <w:t>, glavni analitičar Odjela za istraživanje i analizu sustava, LEPL, Financijsko-analitičke službe iz Gruzije, održao je sljedeće izlaganje o „</w:t>
      </w:r>
      <w:r w:rsidR="00CC075E">
        <w:rPr>
          <w:rFonts w:ascii="Times New Roman" w:hAnsi="Times New Roman"/>
          <w:i/>
          <w:sz w:val="24"/>
          <w:szCs w:val="24"/>
        </w:rPr>
        <w:t>Provedbi obračunske metode računovodstva</w:t>
      </w:r>
      <w:r w:rsidR="00CC075E">
        <w:rPr>
          <w:rFonts w:ascii="Times New Roman" w:hAnsi="Times New Roman"/>
          <w:sz w:val="24"/>
          <w:szCs w:val="24"/>
        </w:rPr>
        <w:t xml:space="preserve">”.  Izlaganje je započelo najnovijim informacijama o gruzijskom sustavu e-riznice koji sada ima 5000 korisnika u 1614 proračunskih subjekata i godišnje obrađuje milijun platnih naloga. Proračunski subjekti trenutačno se služe softverskim aplikacijama treće strane kako bi izvršavali računovodstvene i druge funkcije koje ne podupire sustav e-riznice. Cilj je da se sve tijekom vremena postupno prenese na e-riznicu i da se svake godine smanji ovisnost o aplikacijama treće strane (sljedeći slajd). Rezultat te transformacije bit će izrada integriranog sustava financijskog upravljanja u Gruziji. Gruzija upotrebljava skladište podataka kako bi osigurala brz i jednostavan pristup korisničkim izvještajima bez utjecaja na operativne tablice u ISFU-u.  </w:t>
      </w:r>
    </w:p>
    <w:p w:rsidR="00CC075E" w:rsidRDefault="00A721FA" w:rsidP="00CC075E">
      <w:pPr>
        <w:spacing w:after="0" w:line="240" w:lineRule="auto"/>
        <w:jc w:val="both"/>
        <w:rPr>
          <w:rFonts w:ascii="Times New Roman" w:hAnsi="Times New Roman" w:cs="Times New Roman"/>
          <w:sz w:val="24"/>
          <w:szCs w:val="24"/>
          <w:lang w:val="en-GB"/>
        </w:rPr>
      </w:pPr>
      <w:r>
        <w:rPr>
          <w:rFonts w:ascii="Times New Roman" w:hAnsi="Times New Roman"/>
          <w:noProof/>
          <w:sz w:val="24"/>
          <w:szCs w:val="24"/>
          <w:lang w:eastAsia="hr-HR"/>
        </w:rPr>
        <w:drawing>
          <wp:anchor distT="0" distB="0" distL="114300" distR="114300" simplePos="0" relativeHeight="251685888" behindDoc="0" locked="0" layoutInCell="1" allowOverlap="1" wp14:anchorId="47989A18" wp14:editId="445C64B5">
            <wp:simplePos x="0" y="0"/>
            <wp:positionH relativeFrom="column">
              <wp:posOffset>-342900</wp:posOffset>
            </wp:positionH>
            <wp:positionV relativeFrom="paragraph">
              <wp:posOffset>123825</wp:posOffset>
            </wp:positionV>
            <wp:extent cx="3995420" cy="2250440"/>
            <wp:effectExtent l="0" t="0" r="5080" b="0"/>
            <wp:wrapSquare wrapText="bothSides"/>
            <wp:docPr id="17" name="Picture 17" descr="\\server-i01\Podaci\ARHIV - PODACI\aa FIRME\WB HR\2018\1443-18\slik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i01\Podaci\ARHIV - PODACI\aa FIRME\WB HR\2018\1443-18\slika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5420"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75E" w:rsidRPr="006B5D0C" w:rsidRDefault="00CC075E" w:rsidP="00CC075E">
      <w:pPr>
        <w:spacing w:after="0" w:line="240" w:lineRule="auto"/>
        <w:jc w:val="both"/>
        <w:rPr>
          <w:rFonts w:ascii="Times New Roman" w:hAnsi="Times New Roman" w:cs="Times New Roman"/>
          <w:sz w:val="24"/>
          <w:szCs w:val="24"/>
        </w:rPr>
      </w:pPr>
      <w:r>
        <w:rPr>
          <w:rFonts w:ascii="Times New Roman" w:hAnsi="Times New Roman"/>
          <w:sz w:val="24"/>
          <w:szCs w:val="24"/>
        </w:rPr>
        <w:t xml:space="preserve">Treće izlaganje održala je gđa </w:t>
      </w:r>
      <w:r>
        <w:rPr>
          <w:rFonts w:ascii="Times New Roman" w:hAnsi="Times New Roman"/>
          <w:b/>
          <w:sz w:val="24"/>
          <w:szCs w:val="24"/>
        </w:rPr>
        <w:t>Tatiana Railean</w:t>
      </w:r>
      <w:r>
        <w:rPr>
          <w:rFonts w:ascii="Times New Roman" w:hAnsi="Times New Roman"/>
          <w:sz w:val="24"/>
          <w:szCs w:val="24"/>
        </w:rPr>
        <w:t xml:space="preserve"> iz Moldove, vodeća stručnjakinja iz metodološkog odjela državne riznice, na temu „</w:t>
      </w:r>
      <w:r>
        <w:rPr>
          <w:rFonts w:ascii="Times New Roman" w:hAnsi="Times New Roman"/>
          <w:i/>
          <w:sz w:val="24"/>
          <w:szCs w:val="24"/>
        </w:rPr>
        <w:t>Automatizacija računovodstva i izvještavanja na razini proračunskih korisnika</w:t>
      </w:r>
      <w:r>
        <w:rPr>
          <w:rFonts w:ascii="Times New Roman" w:hAnsi="Times New Roman"/>
          <w:sz w:val="24"/>
          <w:szCs w:val="24"/>
        </w:rPr>
        <w:t xml:space="preserve">”. Softver 1S odabran je 2008. kao temelj za izgradnju platforme za računovodstveni sustav proračunskih korisnika (vidi sljedeći slajd). Ažuriran je 2016. kako bi uključivao integrirani računski plan i proračunske klasifikacije. Softver je sada implementiran u svim proračunskim subjektima. 1S ima sučelja u informacijskom sustavu Trez2 (moldovin ISFU) i informacijskom sustavu državne porezne službe.  U budućnosti se planira proširiti obuhvat kako bi se financijski izvještaji mogli podnositi s bilo kojeg mjesta bilo kad.    </w:t>
      </w:r>
    </w:p>
    <w:p w:rsidR="00CC075E" w:rsidRDefault="00CC075E" w:rsidP="00CC075E">
      <w:pPr>
        <w:spacing w:after="0" w:line="240" w:lineRule="auto"/>
        <w:jc w:val="both"/>
        <w:rPr>
          <w:rFonts w:ascii="Times New Roman" w:hAnsi="Times New Roman" w:cs="Times New Roman"/>
          <w:sz w:val="24"/>
          <w:szCs w:val="24"/>
          <w:lang w:val="en-GB"/>
        </w:rPr>
      </w:pPr>
    </w:p>
    <w:p w:rsidR="00CC075E" w:rsidRDefault="00CC075E" w:rsidP="00CC075E">
      <w:pPr>
        <w:spacing w:after="0" w:line="240" w:lineRule="auto"/>
        <w:jc w:val="both"/>
        <w:rPr>
          <w:rFonts w:ascii="Times New Roman" w:hAnsi="Times New Roman" w:cs="Times New Roman"/>
          <w:sz w:val="24"/>
          <w:szCs w:val="24"/>
        </w:rPr>
      </w:pPr>
      <w:r>
        <w:rPr>
          <w:rFonts w:ascii="Times New Roman" w:hAnsi="Times New Roman"/>
          <w:sz w:val="24"/>
          <w:szCs w:val="24"/>
        </w:rPr>
        <w:t>Poslijepodne su sastavljene tri manje grupe koje su raspravljale o specifičnim područjima vezanim uz IT i računovodstvo.  Svaka je zemlja u grupi morala odgovoriti na četiri pitanja u pogledu aranžmana za automatizaciju i konsolidaciju financijskog izvještavanja Rezultati ankete uključeni su u tablicu u nastavku.</w:t>
      </w:r>
    </w:p>
    <w:p w:rsidR="00CC075E" w:rsidRDefault="00CC075E" w:rsidP="00CC075E">
      <w:pPr>
        <w:spacing w:after="0" w:line="240" w:lineRule="auto"/>
        <w:jc w:val="both"/>
        <w:rPr>
          <w:rFonts w:ascii="Times New Roman" w:hAnsi="Times New Roman" w:cs="Times New Roman"/>
          <w:sz w:val="24"/>
          <w:szCs w:val="24"/>
          <w:lang w:val="en-GB"/>
        </w:rPr>
      </w:pPr>
    </w:p>
    <w:p w:rsidR="00CC075E" w:rsidRDefault="00CC075E" w:rsidP="00CC075E">
      <w:pPr>
        <w:spacing w:after="0" w:line="240" w:lineRule="auto"/>
        <w:jc w:val="both"/>
        <w:rPr>
          <w:rFonts w:ascii="Times New Roman" w:hAnsi="Times New Roman" w:cs="Times New Roman"/>
          <w:sz w:val="24"/>
          <w:szCs w:val="24"/>
          <w:lang w:val="en-GB"/>
        </w:rPr>
      </w:pPr>
    </w:p>
    <w:p w:rsidR="00CC075E" w:rsidRDefault="00CC075E" w:rsidP="00CC075E">
      <w:pPr>
        <w:spacing w:after="0" w:line="240" w:lineRule="auto"/>
        <w:jc w:val="both"/>
        <w:rPr>
          <w:rFonts w:ascii="Times New Roman" w:hAnsi="Times New Roman" w:cs="Times New Roman"/>
          <w:sz w:val="24"/>
          <w:szCs w:val="24"/>
          <w:lang w:val="en-GB"/>
        </w:rPr>
      </w:pPr>
    </w:p>
    <w:p w:rsidR="00CC075E" w:rsidRDefault="00CC075E" w:rsidP="00CC075E">
      <w:pPr>
        <w:spacing w:after="0" w:line="240" w:lineRule="auto"/>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8288"/>
        <w:gridCol w:w="1288"/>
      </w:tblGrid>
      <w:tr w:rsidR="00CC075E" w:rsidTr="00931322">
        <w:tc>
          <w:tcPr>
            <w:tcW w:w="0" w:type="auto"/>
            <w:shd w:val="clear" w:color="auto" w:fill="A6A6A6" w:themeFill="background1" w:themeFillShade="A6"/>
          </w:tcPr>
          <w:p w:rsidR="00CC075E" w:rsidRPr="00670963" w:rsidRDefault="00CC075E" w:rsidP="00931322">
            <w:pPr>
              <w:spacing w:after="0" w:line="240" w:lineRule="auto"/>
              <w:jc w:val="both"/>
              <w:rPr>
                <w:rFonts w:ascii="Times New Roman" w:hAnsi="Times New Roman" w:cs="Times New Roman"/>
                <w:b/>
                <w:bCs/>
                <w:sz w:val="20"/>
              </w:rPr>
            </w:pPr>
            <w:r>
              <w:rPr>
                <w:rFonts w:ascii="Times New Roman" w:hAnsi="Times New Roman"/>
                <w:b/>
                <w:bCs/>
                <w:sz w:val="20"/>
              </w:rPr>
              <w:t xml:space="preserve">Pitanja </w:t>
            </w:r>
          </w:p>
        </w:tc>
        <w:tc>
          <w:tcPr>
            <w:tcW w:w="0" w:type="auto"/>
            <w:shd w:val="clear" w:color="auto" w:fill="A6A6A6" w:themeFill="background1" w:themeFillShade="A6"/>
          </w:tcPr>
          <w:p w:rsidR="00CC075E" w:rsidRPr="00670963" w:rsidRDefault="00CC075E" w:rsidP="00931322">
            <w:pPr>
              <w:spacing w:after="0" w:line="240" w:lineRule="auto"/>
              <w:jc w:val="both"/>
              <w:rPr>
                <w:rFonts w:ascii="Times New Roman" w:hAnsi="Times New Roman" w:cs="Times New Roman"/>
                <w:b/>
                <w:sz w:val="20"/>
              </w:rPr>
            </w:pPr>
            <w:r>
              <w:rPr>
                <w:rFonts w:ascii="Times New Roman" w:hAnsi="Times New Roman"/>
                <w:b/>
                <w:sz w:val="20"/>
              </w:rPr>
              <w:t>Br. ispitanika</w:t>
            </w:r>
          </w:p>
        </w:tc>
      </w:tr>
      <w:tr w:rsidR="00CC075E" w:rsidTr="00931322">
        <w:tc>
          <w:tcPr>
            <w:tcW w:w="0" w:type="auto"/>
            <w:gridSpan w:val="2"/>
          </w:tcPr>
          <w:p w:rsidR="00CC075E" w:rsidRPr="00670963" w:rsidRDefault="00CC075E" w:rsidP="00931322">
            <w:pPr>
              <w:spacing w:after="0" w:line="240" w:lineRule="auto"/>
              <w:jc w:val="both"/>
              <w:rPr>
                <w:rFonts w:ascii="Times New Roman" w:hAnsi="Times New Roman" w:cs="Times New Roman"/>
                <w:b/>
                <w:sz w:val="20"/>
              </w:rPr>
            </w:pPr>
            <w:r>
              <w:rPr>
                <w:rFonts w:ascii="Times New Roman" w:hAnsi="Times New Roman"/>
                <w:b/>
                <w:bCs/>
                <w:sz w:val="20"/>
              </w:rPr>
              <w:t>Proračunske organizacije obavljaju poslove računovodstva i financijskog izvještavanja putem:</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središnjeg ISFU-a MF-a/riznice</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3.</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standardnog softvera koji osigurava ili preporučuje MF/riznica</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6.</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nestandardnog softvera</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12.</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drugo (opišite)</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2.</w:t>
            </w:r>
          </w:p>
        </w:tc>
      </w:tr>
      <w:tr w:rsidR="00CC075E" w:rsidTr="00931322">
        <w:tc>
          <w:tcPr>
            <w:tcW w:w="0" w:type="auto"/>
            <w:gridSpan w:val="2"/>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
                <w:bCs/>
                <w:sz w:val="20"/>
              </w:rPr>
              <w:t>Proračunske organizacije podnose financijske izvještaje</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izravno putem središnjeg ISFU-a MF-a/riznice</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7.</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 xml:space="preserve">putem </w:t>
            </w:r>
            <w:r>
              <w:rPr>
                <w:rFonts w:ascii="Times New Roman" w:hAnsi="Times New Roman"/>
                <w:bCs/>
                <w:i/>
                <w:sz w:val="20"/>
              </w:rPr>
              <w:t>web</w:t>
            </w:r>
            <w:r>
              <w:rPr>
                <w:rFonts w:ascii="Times New Roman" w:hAnsi="Times New Roman"/>
                <w:bCs/>
                <w:sz w:val="20"/>
              </w:rPr>
              <w:t>-portala MF-a/riznice</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4.</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 xml:space="preserve">upotrebom drugog e-formata </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6.</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 xml:space="preserve">fizičkim putem </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9.</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 xml:space="preserve">Ostalo </w:t>
            </w:r>
          </w:p>
        </w:tc>
        <w:tc>
          <w:tcPr>
            <w:tcW w:w="0" w:type="auto"/>
          </w:tcPr>
          <w:p w:rsidR="00CC075E" w:rsidRPr="00670963" w:rsidRDefault="00CC075E" w:rsidP="00931322">
            <w:pPr>
              <w:spacing w:after="0" w:line="240" w:lineRule="auto"/>
              <w:jc w:val="both"/>
              <w:rPr>
                <w:rFonts w:ascii="Times New Roman" w:hAnsi="Times New Roman" w:cs="Times New Roman"/>
                <w:sz w:val="20"/>
                <w:lang w:val="en-GB"/>
              </w:rPr>
            </w:pPr>
          </w:p>
        </w:tc>
      </w:tr>
      <w:tr w:rsidR="00CC075E" w:rsidTr="00931322">
        <w:tc>
          <w:tcPr>
            <w:tcW w:w="0" w:type="auto"/>
            <w:gridSpan w:val="2"/>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
                <w:bCs/>
                <w:sz w:val="20"/>
              </w:rPr>
              <w:t>Financijski se izvještaji podnose:</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od proračunskih organizacija niže razine izravno do MF-a/riznice</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4.</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od proračunskih organizacije niže razine do sljedeće administrativne razine (npr. rajon, oblast itd. koja potom šalje izvještaje središnjici)</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11.</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 xml:space="preserve">nekim drugim redoslijedom  </w:t>
            </w:r>
          </w:p>
        </w:tc>
        <w:tc>
          <w:tcPr>
            <w:tcW w:w="0" w:type="auto"/>
          </w:tcPr>
          <w:p w:rsidR="00CC075E" w:rsidRPr="00670963" w:rsidRDefault="00CC075E" w:rsidP="00931322">
            <w:pPr>
              <w:spacing w:after="0" w:line="240" w:lineRule="auto"/>
              <w:jc w:val="both"/>
              <w:rPr>
                <w:rFonts w:ascii="Times New Roman" w:hAnsi="Times New Roman" w:cs="Times New Roman"/>
                <w:sz w:val="20"/>
                <w:lang w:val="en-GB"/>
              </w:rPr>
            </w:pP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ne podnose sve razine proračunskih organizacija financijske izvještaje</w:t>
            </w:r>
          </w:p>
        </w:tc>
        <w:tc>
          <w:tcPr>
            <w:tcW w:w="0" w:type="auto"/>
          </w:tcPr>
          <w:p w:rsidR="00CC075E" w:rsidRPr="00670963" w:rsidRDefault="00CC075E" w:rsidP="00931322">
            <w:pPr>
              <w:spacing w:after="0" w:line="240" w:lineRule="auto"/>
              <w:jc w:val="both"/>
              <w:rPr>
                <w:rFonts w:ascii="Times New Roman" w:hAnsi="Times New Roman" w:cs="Times New Roman"/>
                <w:sz w:val="20"/>
                <w:lang w:val="en-GB"/>
              </w:rPr>
            </w:pPr>
          </w:p>
        </w:tc>
      </w:tr>
      <w:tr w:rsidR="00CC075E" w:rsidTr="00931322">
        <w:tc>
          <w:tcPr>
            <w:tcW w:w="0" w:type="auto"/>
            <w:gridSpan w:val="2"/>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
                <w:bCs/>
                <w:sz w:val="20"/>
              </w:rPr>
              <w:t>Konsolidacija financijskih izvještaja</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Automatizirana u središnjem ISFU-u MF-a/riznice</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5.</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Automatizirana u središnjem ISFU-u MF-a/riznice</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3.</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Djelomično automatizirana; potrebni su dodatni ručni zahvati</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3.</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Putem tablica, baza podataka</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2.</w:t>
            </w:r>
          </w:p>
        </w:tc>
      </w:tr>
      <w:tr w:rsidR="00CC075E" w:rsidTr="00931322">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bCs/>
                <w:sz w:val="20"/>
              </w:rPr>
              <w:t>drugo (opišite)</w:t>
            </w:r>
          </w:p>
        </w:tc>
        <w:tc>
          <w:tcPr>
            <w:tcW w:w="0" w:type="auto"/>
          </w:tcPr>
          <w:p w:rsidR="00CC075E" w:rsidRPr="00670963" w:rsidRDefault="00CC075E" w:rsidP="00931322">
            <w:pPr>
              <w:spacing w:after="0" w:line="240" w:lineRule="auto"/>
              <w:jc w:val="both"/>
              <w:rPr>
                <w:rFonts w:ascii="Times New Roman" w:hAnsi="Times New Roman" w:cs="Times New Roman"/>
                <w:sz w:val="20"/>
              </w:rPr>
            </w:pPr>
            <w:r>
              <w:rPr>
                <w:rFonts w:ascii="Times New Roman" w:hAnsi="Times New Roman"/>
                <w:sz w:val="20"/>
              </w:rPr>
              <w:t>1.</w:t>
            </w:r>
          </w:p>
        </w:tc>
      </w:tr>
    </w:tbl>
    <w:p w:rsidR="00CC075E" w:rsidRDefault="00CC075E" w:rsidP="00CC075E">
      <w:pPr>
        <w:spacing w:after="0" w:line="240" w:lineRule="auto"/>
        <w:jc w:val="both"/>
        <w:rPr>
          <w:rFonts w:ascii="Times New Roman" w:hAnsi="Times New Roman" w:cs="Times New Roman"/>
          <w:sz w:val="24"/>
          <w:szCs w:val="24"/>
          <w:lang w:val="en-GB"/>
        </w:rPr>
      </w:pPr>
    </w:p>
    <w:p w:rsidR="00CC075E" w:rsidRDefault="00CC075E" w:rsidP="00CC075E">
      <w:pPr>
        <w:spacing w:after="0" w:line="240" w:lineRule="auto"/>
        <w:jc w:val="both"/>
        <w:rPr>
          <w:rFonts w:ascii="Times New Roman" w:hAnsi="Times New Roman" w:cs="Times New Roman"/>
          <w:sz w:val="24"/>
          <w:szCs w:val="24"/>
        </w:rPr>
      </w:pPr>
      <w:r>
        <w:rPr>
          <w:rFonts w:ascii="Times New Roman" w:hAnsi="Times New Roman"/>
          <w:sz w:val="24"/>
          <w:szCs w:val="24"/>
        </w:rPr>
        <w:t xml:space="preserve">Svih 12 zemalja odgovorilo je na pitanja, iako nije svaka zemlja dala odgovor na svako pitanje i ponekad su zemlje navele više od jednog odgovora. Općenito gledajući, svaka zemlja ima djelomično automatiziran proces izvještavanja. Sedam ih se služi ISFU-om, a devet još uvijek djelomično upotrebljava ručnu obradu. Stoga većina zemalja radi izvještaje o proračunu na gotovinskoj osnovi u ISFU-u, ali podnose konsolidirane financijske izvještaje kombinacijom upotrebe softvera treće strane i ručne obrade. To podrazumijeva da ostaje dosta prostora za daljnju automatizaciju sustava u tom području. </w:t>
      </w:r>
    </w:p>
    <w:p w:rsidR="00CC075E" w:rsidRDefault="00CC075E" w:rsidP="00CC075E">
      <w:pPr>
        <w:spacing w:after="0" w:line="240" w:lineRule="auto"/>
        <w:jc w:val="both"/>
        <w:rPr>
          <w:rFonts w:ascii="Times New Roman" w:hAnsi="Times New Roman" w:cs="Times New Roman"/>
          <w:sz w:val="24"/>
          <w:szCs w:val="24"/>
          <w:lang w:val="en-GB"/>
        </w:rPr>
      </w:pPr>
    </w:p>
    <w:p w:rsidR="00CC075E" w:rsidRDefault="00CC075E" w:rsidP="00CC075E">
      <w:pPr>
        <w:spacing w:after="0" w:line="240" w:lineRule="auto"/>
        <w:jc w:val="both"/>
        <w:rPr>
          <w:rFonts w:ascii="Times New Roman" w:hAnsi="Times New Roman" w:cs="Times New Roman"/>
          <w:sz w:val="24"/>
          <w:szCs w:val="24"/>
        </w:rPr>
      </w:pPr>
      <w:r>
        <w:rPr>
          <w:rFonts w:ascii="Times New Roman" w:hAnsi="Times New Roman"/>
          <w:sz w:val="24"/>
          <w:szCs w:val="24"/>
        </w:rPr>
        <w:t xml:space="preserve">Sudionici su morali raspraviti i o planovima za daljnju automatizaciju računovodstva i izvještavanja na razini proračunskih organizacija te izvijestiti o tome. Ključni zaključci rasprava prikazani su u prvom okviru u nastavku. U drugom okviru nalazi se sažetak ključnih rješenja za izazove u provedbi automatiziranih alata za konsolidirano izvještavanje. </w:t>
      </w:r>
    </w:p>
    <w:p w:rsidR="00CC075E" w:rsidRDefault="00CC075E" w:rsidP="00CC075E">
      <w:pPr>
        <w:spacing w:after="0" w:line="240" w:lineRule="auto"/>
        <w:jc w:val="center"/>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9010"/>
      </w:tblGrid>
      <w:tr w:rsidR="00CC075E" w:rsidTr="00931322">
        <w:trPr>
          <w:trHeight w:val="3392"/>
        </w:trPr>
        <w:tc>
          <w:tcPr>
            <w:tcW w:w="9010" w:type="dxa"/>
            <w:shd w:val="clear" w:color="auto" w:fill="A6A6A6" w:themeFill="background1" w:themeFillShade="A6"/>
          </w:tcPr>
          <w:p w:rsidR="00CC075E" w:rsidRDefault="00CC075E" w:rsidP="00931322">
            <w:pPr>
              <w:spacing w:after="0" w:line="240" w:lineRule="auto"/>
              <w:jc w:val="center"/>
              <w:rPr>
                <w:rFonts w:ascii="Times New Roman" w:hAnsi="Times New Roman" w:cs="Times New Roman"/>
              </w:rPr>
            </w:pPr>
            <w:r>
              <w:rPr>
                <w:rFonts w:ascii="Times New Roman" w:hAnsi="Times New Roman"/>
              </w:rPr>
              <w:lastRenderedPageBreak/>
              <w:t>Okvir 1. – Razvoj automatizacije računovodstva</w:t>
            </w:r>
          </w:p>
          <w:p w:rsidR="00CC075E" w:rsidRPr="00CA781E" w:rsidRDefault="00CC075E" w:rsidP="00CC075E">
            <w:pPr>
              <w:pStyle w:val="ListParagraph"/>
              <w:numPr>
                <w:ilvl w:val="0"/>
                <w:numId w:val="4"/>
              </w:numPr>
              <w:spacing w:after="0" w:line="240" w:lineRule="auto"/>
              <w:ind w:left="357" w:hanging="357"/>
              <w:rPr>
                <w:rFonts w:ascii="Times New Roman" w:hAnsi="Times New Roman" w:cs="Times New Roman"/>
              </w:rPr>
            </w:pPr>
            <w:r>
              <w:rPr>
                <w:rFonts w:ascii="Times New Roman" w:hAnsi="Times New Roman"/>
              </w:rPr>
              <w:t xml:space="preserve">Centralizacija računovodstva u MF-u  </w:t>
            </w:r>
          </w:p>
          <w:p w:rsidR="00CC075E" w:rsidRPr="00CA781E" w:rsidRDefault="00CC075E" w:rsidP="00CC075E">
            <w:pPr>
              <w:pStyle w:val="ListParagraph"/>
              <w:numPr>
                <w:ilvl w:val="0"/>
                <w:numId w:val="4"/>
              </w:numPr>
              <w:spacing w:after="0" w:line="240" w:lineRule="auto"/>
              <w:ind w:left="357" w:hanging="357"/>
              <w:rPr>
                <w:rFonts w:ascii="Times New Roman" w:hAnsi="Times New Roman" w:cs="Times New Roman"/>
              </w:rPr>
            </w:pPr>
            <w:r>
              <w:rPr>
                <w:rFonts w:ascii="Times New Roman" w:hAnsi="Times New Roman"/>
              </w:rPr>
              <w:t>Izrada novog ISFU-a kojim bi se osigurala automatizacija</w:t>
            </w:r>
          </w:p>
          <w:p w:rsidR="00CC075E" w:rsidRPr="00CA781E" w:rsidRDefault="00CC075E" w:rsidP="00CC075E">
            <w:pPr>
              <w:pStyle w:val="ListParagraph"/>
              <w:numPr>
                <w:ilvl w:val="0"/>
                <w:numId w:val="4"/>
              </w:numPr>
              <w:spacing w:after="0" w:line="240" w:lineRule="auto"/>
              <w:ind w:left="357" w:hanging="357"/>
              <w:rPr>
                <w:rFonts w:ascii="Times New Roman" w:hAnsi="Times New Roman" w:cs="Times New Roman"/>
              </w:rPr>
            </w:pPr>
            <w:r>
              <w:rPr>
                <w:rFonts w:ascii="Times New Roman" w:hAnsi="Times New Roman"/>
              </w:rPr>
              <w:t>Automatizacija računovodstva (širenje obuhvata) na razini proračunske organizacije</w:t>
            </w:r>
          </w:p>
          <w:p w:rsidR="00CC075E" w:rsidRPr="00CA781E" w:rsidRDefault="00CC075E" w:rsidP="00CC075E">
            <w:pPr>
              <w:pStyle w:val="ListParagraph"/>
              <w:numPr>
                <w:ilvl w:val="0"/>
                <w:numId w:val="4"/>
              </w:numPr>
              <w:spacing w:after="0" w:line="240" w:lineRule="auto"/>
              <w:ind w:left="357" w:hanging="357"/>
              <w:rPr>
                <w:rFonts w:ascii="Times New Roman" w:hAnsi="Times New Roman" w:cs="Times New Roman"/>
              </w:rPr>
            </w:pPr>
            <w:r>
              <w:rPr>
                <w:rFonts w:ascii="Times New Roman" w:hAnsi="Times New Roman"/>
              </w:rPr>
              <w:t xml:space="preserve">Izrada jedinstvenog softvera za računovodstvo i financijsko izvještavanje (postat će obvezan)  </w:t>
            </w:r>
          </w:p>
          <w:p w:rsidR="00CC075E" w:rsidRPr="00CA781E" w:rsidRDefault="00CC075E" w:rsidP="00CC075E">
            <w:pPr>
              <w:pStyle w:val="ListParagraph"/>
              <w:numPr>
                <w:ilvl w:val="0"/>
                <w:numId w:val="4"/>
              </w:numPr>
              <w:spacing w:after="0" w:line="240" w:lineRule="auto"/>
              <w:ind w:left="357" w:hanging="357"/>
              <w:rPr>
                <w:rFonts w:ascii="Times New Roman" w:hAnsi="Times New Roman" w:cs="Times New Roman"/>
              </w:rPr>
            </w:pPr>
            <w:r>
              <w:rPr>
                <w:rFonts w:ascii="Times New Roman" w:hAnsi="Times New Roman"/>
              </w:rPr>
              <w:t xml:space="preserve">Ukupna pokrivenost svih transakcija u sustavu (do 2020.), bilježenje svih transakcija prihoda u jedinstvenom sustavu riznice (analitička obrada do 2018.)  </w:t>
            </w:r>
          </w:p>
          <w:p w:rsidR="00CC075E" w:rsidRPr="00CA781E" w:rsidRDefault="00CC075E" w:rsidP="00CC075E">
            <w:pPr>
              <w:pStyle w:val="ListParagraph"/>
              <w:numPr>
                <w:ilvl w:val="0"/>
                <w:numId w:val="4"/>
              </w:numPr>
              <w:spacing w:after="0" w:line="240" w:lineRule="auto"/>
              <w:ind w:left="357" w:hanging="357"/>
              <w:rPr>
                <w:rFonts w:ascii="Times New Roman" w:hAnsi="Times New Roman" w:cs="Times New Roman"/>
              </w:rPr>
            </w:pPr>
            <w:r>
              <w:rPr>
                <w:rFonts w:ascii="Times New Roman" w:hAnsi="Times New Roman"/>
              </w:rPr>
              <w:t>Eksternalizacija računovodstvenih usluga</w:t>
            </w:r>
          </w:p>
          <w:p w:rsidR="00CC075E" w:rsidRDefault="00CC075E" w:rsidP="00CC075E">
            <w:pPr>
              <w:pStyle w:val="ListParagraph"/>
              <w:numPr>
                <w:ilvl w:val="0"/>
                <w:numId w:val="4"/>
              </w:numPr>
              <w:spacing w:after="0" w:line="240" w:lineRule="auto"/>
              <w:ind w:left="357" w:hanging="357"/>
              <w:rPr>
                <w:rFonts w:ascii="Times New Roman" w:hAnsi="Times New Roman" w:cs="Times New Roman"/>
              </w:rPr>
            </w:pPr>
            <w:r>
              <w:rPr>
                <w:rFonts w:ascii="Times New Roman" w:hAnsi="Times New Roman"/>
              </w:rPr>
              <w:t>Izrada jedinstvenog proračunskog računovodstvenog rješenja u oblaku za integraciju s ISFU-om</w:t>
            </w:r>
          </w:p>
          <w:p w:rsidR="00CC075E" w:rsidRPr="00CA781E"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 xml:space="preserve">Jedinstveni računski plan; računovodstvo na razini proračunske organizacije koje upotrebljava jedinstven softverski paket. </w:t>
            </w:r>
          </w:p>
          <w:p w:rsidR="00CC075E" w:rsidRPr="00FC6D69"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Centralizacija tehnološke službe, prijenos ovlasti na riznicu – unutar tri godine</w:t>
            </w:r>
          </w:p>
          <w:p w:rsidR="00CC075E" w:rsidRPr="00CA781E"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Upotreba krajnjih rezultata obračunske tehnike za planiranje i procjenu fiskalnih rizika uz istodobno upotrebljavanje planiranja proračuna na gotovinskoj osnovi. Proširenje obuhvata riznice izvan javne uprave</w:t>
            </w:r>
          </w:p>
          <w:p w:rsidR="00CC075E" w:rsidRPr="00CA781E"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Izrada računovodstvenog modela koji će biti integriran s ostalim resursima</w:t>
            </w:r>
          </w:p>
          <w:p w:rsidR="00CC075E" w:rsidRPr="00CA781E"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Prijelaz na standardni računovodstveni softver</w:t>
            </w:r>
          </w:p>
          <w:p w:rsidR="00CC075E" w:rsidRPr="00CA781E"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Osiguravanje uvjeta za eksternalizaciju računovodstva u proračunskim organizacijama, uklanjanje podnošenja izvještaja u papirnatom obliku</w:t>
            </w:r>
          </w:p>
          <w:p w:rsidR="00CC075E" w:rsidRPr="00CA781E"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Organizacija centralizirane izgradnje kapaciteta javnih financija za sve dionike.</w:t>
            </w:r>
          </w:p>
          <w:p w:rsidR="00CC075E" w:rsidRPr="00CA781E"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Prijelaz na modificrano obračunsko računovodstvo, integracija gotovinske osnove za pripremu proračuna i izvršenje te modificiranog obračunskog računovodstva</w:t>
            </w:r>
          </w:p>
          <w:p w:rsidR="00CC075E" w:rsidRPr="00CA781E"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Proširenje obuhvata sustava riznice. Portal putem kojeg potrošačke jedinice imaju pristup informacijama za izvršavanje svojih funkcija</w:t>
            </w:r>
          </w:p>
          <w:p w:rsidR="00CC075E" w:rsidRPr="002F3C7B" w:rsidRDefault="00CC075E" w:rsidP="00CC075E">
            <w:pPr>
              <w:pStyle w:val="ListParagraph"/>
              <w:numPr>
                <w:ilvl w:val="0"/>
                <w:numId w:val="4"/>
              </w:numPr>
              <w:spacing w:line="240" w:lineRule="auto"/>
              <w:ind w:left="357" w:hanging="357"/>
              <w:rPr>
                <w:rFonts w:ascii="Times New Roman" w:hAnsi="Times New Roman" w:cs="Times New Roman"/>
              </w:rPr>
            </w:pPr>
            <w:r>
              <w:rPr>
                <w:rFonts w:ascii="Times New Roman" w:hAnsi="Times New Roman"/>
              </w:rPr>
              <w:t>Potpuna integracija IT sustava različitih resornih ministarstava i novi središnji računovodstveni sustav</w:t>
            </w:r>
          </w:p>
        </w:tc>
      </w:tr>
    </w:tbl>
    <w:p w:rsidR="00CC075E" w:rsidRPr="001C61EF" w:rsidRDefault="00CC075E" w:rsidP="00CC075E">
      <w:pPr>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9010"/>
      </w:tblGrid>
      <w:tr w:rsidR="00CC075E" w:rsidTr="00931322">
        <w:tc>
          <w:tcPr>
            <w:tcW w:w="9010" w:type="dxa"/>
            <w:shd w:val="clear" w:color="auto" w:fill="A6A6A6" w:themeFill="background1" w:themeFillShade="A6"/>
          </w:tcPr>
          <w:p w:rsidR="00CC075E" w:rsidRDefault="00CC075E" w:rsidP="00931322">
            <w:pPr>
              <w:spacing w:after="0" w:line="240" w:lineRule="auto"/>
              <w:jc w:val="center"/>
              <w:rPr>
                <w:rFonts w:ascii="Times New Roman" w:hAnsi="Times New Roman" w:cs="Times New Roman"/>
              </w:rPr>
            </w:pPr>
            <w:r>
              <w:rPr>
                <w:rFonts w:ascii="Times New Roman" w:hAnsi="Times New Roman"/>
              </w:rPr>
              <w:t>Okvir 2. – Rješenja</w:t>
            </w:r>
          </w:p>
          <w:p w:rsidR="00CC075E" w:rsidRPr="002F3C7B" w:rsidRDefault="00CC075E" w:rsidP="00CC075E">
            <w:pPr>
              <w:numPr>
                <w:ilvl w:val="1"/>
                <w:numId w:val="5"/>
              </w:numPr>
              <w:tabs>
                <w:tab w:val="num" w:pos="1440"/>
              </w:tabs>
              <w:spacing w:after="0" w:line="240" w:lineRule="auto"/>
              <w:ind w:left="360"/>
              <w:rPr>
                <w:rFonts w:ascii="Times New Roman" w:hAnsi="Times New Roman" w:cs="Times New Roman"/>
              </w:rPr>
            </w:pPr>
            <w:r>
              <w:rPr>
                <w:rFonts w:ascii="Times New Roman" w:hAnsi="Times New Roman"/>
              </w:rPr>
              <w:t>Izrada jedinstvenog postupka, uz prethodno usklađivanje postupaka i uvođenje e-radnog postupka (u slučaju centralizacije)</w:t>
            </w:r>
          </w:p>
          <w:p w:rsidR="00CC075E" w:rsidRPr="002F3C7B" w:rsidRDefault="00CC075E" w:rsidP="00CC075E">
            <w:pPr>
              <w:numPr>
                <w:ilvl w:val="1"/>
                <w:numId w:val="5"/>
              </w:numPr>
              <w:tabs>
                <w:tab w:val="num" w:pos="1440"/>
              </w:tabs>
              <w:spacing w:after="0" w:line="240" w:lineRule="auto"/>
              <w:ind w:left="360"/>
              <w:rPr>
                <w:rFonts w:ascii="Times New Roman" w:hAnsi="Times New Roman" w:cs="Times New Roman"/>
              </w:rPr>
            </w:pPr>
            <w:r>
              <w:rPr>
                <w:rFonts w:ascii="Times New Roman" w:hAnsi="Times New Roman"/>
              </w:rPr>
              <w:t>Provođenje načela jedinstvenog unosa podataka</w:t>
            </w:r>
          </w:p>
          <w:p w:rsidR="00CC075E" w:rsidRPr="002F3C7B" w:rsidRDefault="00CC075E" w:rsidP="00CC075E">
            <w:pPr>
              <w:numPr>
                <w:ilvl w:val="1"/>
                <w:numId w:val="5"/>
              </w:numPr>
              <w:tabs>
                <w:tab w:val="num" w:pos="1440"/>
              </w:tabs>
              <w:spacing w:after="0" w:line="240" w:lineRule="auto"/>
              <w:ind w:left="360"/>
              <w:rPr>
                <w:rFonts w:ascii="Times New Roman" w:hAnsi="Times New Roman" w:cs="Times New Roman"/>
              </w:rPr>
            </w:pPr>
            <w:r>
              <w:rPr>
                <w:rFonts w:ascii="Times New Roman" w:hAnsi="Times New Roman"/>
              </w:rPr>
              <w:t>Centralizirano održavanje referentnih informacija</w:t>
            </w:r>
          </w:p>
          <w:p w:rsidR="00CC075E" w:rsidRPr="002F3C7B" w:rsidRDefault="00CC075E" w:rsidP="00CC075E">
            <w:pPr>
              <w:numPr>
                <w:ilvl w:val="1"/>
                <w:numId w:val="5"/>
              </w:numPr>
              <w:tabs>
                <w:tab w:val="num" w:pos="1440"/>
              </w:tabs>
              <w:spacing w:after="0" w:line="240" w:lineRule="auto"/>
              <w:ind w:left="360"/>
              <w:rPr>
                <w:rFonts w:ascii="Times New Roman" w:hAnsi="Times New Roman" w:cs="Times New Roman"/>
              </w:rPr>
            </w:pPr>
            <w:r>
              <w:rPr>
                <w:rFonts w:ascii="Times New Roman" w:hAnsi="Times New Roman"/>
              </w:rPr>
              <w:t>Usklađenje računovodstvenih standarda s PFM-om i reformama kontrola/revizije</w:t>
            </w:r>
          </w:p>
          <w:p w:rsidR="00CC075E" w:rsidRPr="002F3C7B" w:rsidRDefault="00CC075E" w:rsidP="00CC075E">
            <w:pPr>
              <w:numPr>
                <w:ilvl w:val="1"/>
                <w:numId w:val="5"/>
              </w:numPr>
              <w:tabs>
                <w:tab w:val="num" w:pos="1440"/>
              </w:tabs>
              <w:spacing w:after="0" w:line="240" w:lineRule="auto"/>
              <w:ind w:left="360"/>
              <w:rPr>
                <w:rFonts w:ascii="Times New Roman" w:hAnsi="Times New Roman" w:cs="Times New Roman"/>
              </w:rPr>
            </w:pPr>
            <w:r>
              <w:rPr>
                <w:rFonts w:ascii="Times New Roman" w:hAnsi="Times New Roman"/>
              </w:rPr>
              <w:t xml:space="preserve">Odabir softvera za centralizaciju proračunskog računovodstva i financijskog izvještavanja </w:t>
            </w:r>
          </w:p>
          <w:p w:rsidR="00CC075E" w:rsidRPr="002F3C7B" w:rsidRDefault="00CC075E" w:rsidP="00CC075E">
            <w:pPr>
              <w:numPr>
                <w:ilvl w:val="1"/>
                <w:numId w:val="5"/>
              </w:numPr>
              <w:tabs>
                <w:tab w:val="num" w:pos="1440"/>
              </w:tabs>
              <w:spacing w:after="0" w:line="240" w:lineRule="auto"/>
              <w:ind w:left="360"/>
              <w:rPr>
                <w:rFonts w:ascii="Times New Roman" w:hAnsi="Times New Roman" w:cs="Times New Roman"/>
              </w:rPr>
            </w:pPr>
            <w:r>
              <w:rPr>
                <w:rFonts w:ascii="Times New Roman" w:hAnsi="Times New Roman"/>
              </w:rPr>
              <w:t xml:space="preserve">Potrebno je razmotriti pojedinosti različitih organizacija, kapacitet osoblja i stvarnu situaciju u pogledu </w:t>
            </w:r>
            <w:r w:rsidR="00B76E12">
              <w:rPr>
                <w:rFonts w:ascii="Times New Roman" w:hAnsi="Times New Roman"/>
              </w:rPr>
              <w:t>fluktuacije</w:t>
            </w:r>
            <w:r>
              <w:rPr>
                <w:rFonts w:ascii="Times New Roman" w:hAnsi="Times New Roman"/>
              </w:rPr>
              <w:t xml:space="preserve"> zaposlenika</w:t>
            </w:r>
          </w:p>
          <w:p w:rsidR="00CC075E" w:rsidRPr="0013431C" w:rsidRDefault="00CC075E" w:rsidP="00CC075E">
            <w:pPr>
              <w:numPr>
                <w:ilvl w:val="1"/>
                <w:numId w:val="5"/>
              </w:numPr>
              <w:tabs>
                <w:tab w:val="num" w:pos="1440"/>
              </w:tabs>
              <w:spacing w:after="0" w:line="240" w:lineRule="auto"/>
              <w:ind w:left="360"/>
              <w:rPr>
                <w:rFonts w:ascii="Times New Roman" w:hAnsi="Times New Roman" w:cs="Times New Roman"/>
              </w:rPr>
            </w:pPr>
            <w:r>
              <w:rPr>
                <w:rFonts w:ascii="Times New Roman" w:hAnsi="Times New Roman"/>
              </w:rPr>
              <w:t>Ključno je obratiti pozornost na upravljanje promjenama i edukaciju.</w:t>
            </w:r>
          </w:p>
        </w:tc>
      </w:tr>
    </w:tbl>
    <w:p w:rsidR="00CC075E" w:rsidRDefault="00CC075E" w:rsidP="00CC075E">
      <w:pPr>
        <w:spacing w:after="0" w:line="240" w:lineRule="auto"/>
        <w:jc w:val="both"/>
        <w:rPr>
          <w:rFonts w:ascii="Times New Roman" w:hAnsi="Times New Roman" w:cs="Times New Roman"/>
          <w:sz w:val="24"/>
          <w:szCs w:val="24"/>
          <w:lang w:val="en-GB"/>
        </w:rPr>
      </w:pPr>
    </w:p>
    <w:p w:rsidR="00B36FDD" w:rsidRDefault="00CC075E" w:rsidP="00B36FDD">
      <w:pPr>
        <w:spacing w:after="0" w:line="240" w:lineRule="auto"/>
        <w:jc w:val="both"/>
        <w:rPr>
          <w:rFonts w:ascii="Times New Roman" w:hAnsi="Times New Roman" w:cs="Times New Roman"/>
          <w:sz w:val="24"/>
          <w:szCs w:val="24"/>
        </w:rPr>
      </w:pPr>
      <w:r>
        <w:rPr>
          <w:rFonts w:ascii="Times New Roman" w:hAnsi="Times New Roman"/>
          <w:sz w:val="24"/>
          <w:szCs w:val="24"/>
        </w:rPr>
        <w:t>Zajednički je sastanak zaključen kratkim pregledom gđe Nikuline. Prema njezinu mišljenju sastanak je bio uspješan. Jasno je da je tema zajedničkog sastanka vrlo bitna većini zemalja tako da će se tematske skupine vjerojatno vraćati na njih i na budućim sastancima.</w:t>
      </w:r>
    </w:p>
    <w:p w:rsidR="00CC075E" w:rsidRDefault="00CC075E" w:rsidP="00B36FDD">
      <w:pPr>
        <w:spacing w:after="0" w:line="240" w:lineRule="auto"/>
        <w:jc w:val="both"/>
        <w:rPr>
          <w:rFonts w:ascii="Times New Roman" w:hAnsi="Times New Roman" w:cs="Times New Roman"/>
          <w:i/>
          <w:sz w:val="24"/>
          <w:szCs w:val="24"/>
          <w:lang w:val="en-GB"/>
        </w:rPr>
      </w:pPr>
    </w:p>
    <w:p w:rsidR="00B36FDD" w:rsidRPr="00E048A2" w:rsidRDefault="00973F65" w:rsidP="00B36FDD">
      <w:pPr>
        <w:spacing w:after="0" w:line="240" w:lineRule="auto"/>
        <w:jc w:val="both"/>
        <w:rPr>
          <w:rFonts w:ascii="Times New Roman" w:hAnsi="Times New Roman" w:cs="Times New Roman"/>
          <w:sz w:val="24"/>
          <w:szCs w:val="24"/>
        </w:rPr>
      </w:pPr>
      <w:r>
        <w:rPr>
          <w:rFonts w:ascii="Times New Roman" w:hAnsi="Times New Roman"/>
          <w:b/>
          <w:sz w:val="24"/>
          <w:szCs w:val="24"/>
        </w:rPr>
        <w:lastRenderedPageBreak/>
        <w:t xml:space="preserve">Interni sastanak Skupine za računovodstvo i izvještavanje </w:t>
      </w:r>
      <w:r>
        <w:rPr>
          <w:rFonts w:ascii="Times New Roman" w:hAnsi="Times New Roman"/>
          <w:sz w:val="24"/>
          <w:szCs w:val="24"/>
        </w:rPr>
        <w:t xml:space="preserve">otvorila je </w:t>
      </w:r>
      <w:r>
        <w:rPr>
          <w:rFonts w:ascii="Times New Roman" w:hAnsi="Times New Roman"/>
          <w:b/>
          <w:sz w:val="24"/>
          <w:szCs w:val="24"/>
        </w:rPr>
        <w:t>gđa Nikulina</w:t>
      </w:r>
      <w:r>
        <w:rPr>
          <w:rFonts w:ascii="Times New Roman" w:hAnsi="Times New Roman"/>
          <w:sz w:val="24"/>
          <w:szCs w:val="24"/>
        </w:rPr>
        <w:t xml:space="preserve">. Predstavila je dnevni red i poticala sudionike da aktivno sudjeluju u razmjeni dostignuća te iznošenju pitanja u suradnji s kolegama.  </w:t>
      </w:r>
    </w:p>
    <w:p w:rsidR="00B36FDD" w:rsidRDefault="00B36FDD" w:rsidP="00B36FDD">
      <w:pPr>
        <w:spacing w:after="0" w:line="240" w:lineRule="auto"/>
        <w:jc w:val="both"/>
        <w:rPr>
          <w:rFonts w:ascii="Times New Roman" w:hAnsi="Times New Roman" w:cs="Times New Roman"/>
          <w:i/>
          <w:sz w:val="24"/>
          <w:szCs w:val="24"/>
          <w:lang w:val="en-GB"/>
        </w:rPr>
      </w:pPr>
    </w:p>
    <w:p w:rsidR="00B36FDD" w:rsidRDefault="00B36FDD" w:rsidP="00B36FDD">
      <w:pPr>
        <w:spacing w:after="0" w:line="240" w:lineRule="auto"/>
        <w:jc w:val="both"/>
        <w:rPr>
          <w:rFonts w:ascii="Times New Roman" w:hAnsi="Times New Roman" w:cs="Times New Roman"/>
          <w:sz w:val="24"/>
          <w:szCs w:val="24"/>
        </w:rPr>
      </w:pPr>
      <w:r>
        <w:rPr>
          <w:rFonts w:ascii="Times New Roman" w:hAnsi="Times New Roman"/>
          <w:b/>
          <w:sz w:val="24"/>
          <w:szCs w:val="24"/>
        </w:rPr>
        <w:t>Gđa Voronin</w:t>
      </w:r>
      <w:r>
        <w:rPr>
          <w:rFonts w:ascii="Times New Roman" w:hAnsi="Times New Roman"/>
          <w:sz w:val="24"/>
          <w:szCs w:val="24"/>
        </w:rPr>
        <w:t xml:space="preserve"> zatim je predstavila konkretne tematske blokove toga dana i objasnila kako je nastala tematska skupina. Podsjetila je sudionike da su tri radne skupine osnovane u Makedoniji 2013.: za računovodstvene standarde, konsolidaciju i imovinu. Te su se skupine često sastajale, uključujući 2014. u Podgorici, 2015. u Tirani i 2016. u Minsku.  Te su tri skupine zatim spojene u jednu tematsku skupinu za računovodstvo i izvještavanje u javnom sektoru 2015. godine.  </w:t>
      </w:r>
    </w:p>
    <w:p w:rsidR="00B36FDD" w:rsidRDefault="00B36FDD" w:rsidP="00B36FDD">
      <w:pPr>
        <w:spacing w:after="0" w:line="240" w:lineRule="auto"/>
        <w:jc w:val="both"/>
        <w:rPr>
          <w:rFonts w:ascii="Times New Roman" w:hAnsi="Times New Roman" w:cs="Times New Roman"/>
          <w:sz w:val="24"/>
          <w:szCs w:val="24"/>
          <w:lang w:val="en-GB"/>
        </w:rPr>
      </w:pPr>
    </w:p>
    <w:p w:rsidR="00B36FDD" w:rsidRPr="006D68AE" w:rsidRDefault="00B36FDD" w:rsidP="00B36FDD">
      <w:pPr>
        <w:spacing w:after="0" w:line="240" w:lineRule="auto"/>
        <w:jc w:val="both"/>
        <w:rPr>
          <w:rFonts w:ascii="Times New Roman" w:eastAsia="Times New Roman" w:hAnsi="Times New Roman" w:cs="Times New Roman"/>
        </w:rPr>
      </w:pPr>
      <w:r>
        <w:rPr>
          <w:rFonts w:ascii="Times New Roman" w:hAnsi="Times New Roman"/>
          <w:b/>
          <w:sz w:val="24"/>
          <w:szCs w:val="24"/>
        </w:rPr>
        <w:t>Gđa Ludmila</w:t>
      </w:r>
      <w:r>
        <w:rPr>
          <w:b/>
        </w:rPr>
        <w:t xml:space="preserve"> </w:t>
      </w:r>
      <w:r>
        <w:rPr>
          <w:rFonts w:ascii="Times New Roman" w:hAnsi="Times New Roman"/>
          <w:b/>
        </w:rPr>
        <w:t>Gurianova</w:t>
      </w:r>
      <w:r>
        <w:rPr>
          <w:rFonts w:ascii="Times New Roman" w:hAnsi="Times New Roman"/>
        </w:rPr>
        <w:t>,</w:t>
      </w:r>
      <w:r>
        <w:rPr>
          <w:rFonts w:ascii="Times New Roman" w:hAnsi="Times New Roman"/>
          <w:sz w:val="24"/>
          <w:szCs w:val="24"/>
        </w:rPr>
        <w:t xml:space="preserve"> </w:t>
      </w:r>
      <w:r>
        <w:rPr>
          <w:rFonts w:ascii="Times New Roman" w:hAnsi="Times New Roman"/>
        </w:rPr>
        <w:t>zamjenica glavnog državnog rizničara iz Ministarstva financija Bjelarusa, održala je kratko izlaganje o prednostima radne skupine.</w:t>
      </w:r>
      <w:r>
        <w:rPr>
          <w:rFonts w:ascii="Times New Roman" w:hAnsi="Times New Roman"/>
          <w:sz w:val="24"/>
          <w:szCs w:val="24"/>
        </w:rPr>
        <w:t xml:space="preserve"> Posebno je naglasila sastanak radne skupine u Minsku 2016. gdje se raspravljalo o zajedničkim problemima s kojima se susreću zemlje u tranziciji. Važno pitanje za Bjelarus, koje je bilo aktualno i u drugim zemljama  PEMPAL-a, jest kako voditi računovodstvo za proračun na gotovinskoj osnovi i istodobno podnositi financijske izvještaje na načelu uzročnosti prihoda i rashoda. </w:t>
      </w:r>
    </w:p>
    <w:p w:rsidR="00B36FDD" w:rsidRDefault="00B36FDD" w:rsidP="00B36FDD">
      <w:pPr>
        <w:spacing w:after="0" w:line="240" w:lineRule="auto"/>
        <w:jc w:val="both"/>
        <w:rPr>
          <w:rFonts w:ascii="Times New Roman" w:hAnsi="Times New Roman" w:cs="Times New Roman"/>
          <w:i/>
          <w:sz w:val="24"/>
          <w:szCs w:val="24"/>
          <w:lang w:val="en-GB"/>
        </w:rPr>
      </w:pPr>
    </w:p>
    <w:p w:rsidR="00B36FDD" w:rsidRDefault="00B36FDD" w:rsidP="00B36FDD">
      <w:pPr>
        <w:spacing w:after="0" w:line="240" w:lineRule="auto"/>
        <w:jc w:val="both"/>
        <w:rPr>
          <w:rFonts w:ascii="Times New Roman" w:hAnsi="Times New Roman" w:cs="Times New Roman"/>
          <w:sz w:val="24"/>
          <w:szCs w:val="24"/>
        </w:rPr>
      </w:pPr>
      <w:r>
        <w:rPr>
          <w:rFonts w:ascii="Times New Roman" w:hAnsi="Times New Roman"/>
          <w:sz w:val="24"/>
          <w:szCs w:val="24"/>
        </w:rPr>
        <w:t>Ključni ishodi rada tematske skupine do sad su bili:</w:t>
      </w:r>
    </w:p>
    <w:p w:rsidR="00B36FDD" w:rsidRDefault="00B36FDD" w:rsidP="00B36FDD">
      <w:pPr>
        <w:spacing w:after="0" w:line="240" w:lineRule="auto"/>
        <w:jc w:val="both"/>
        <w:rPr>
          <w:rFonts w:ascii="Times New Roman" w:hAnsi="Times New Roman" w:cs="Times New Roman"/>
          <w:sz w:val="24"/>
          <w:szCs w:val="24"/>
          <w:lang w:val="en-GB"/>
        </w:rPr>
      </w:pPr>
    </w:p>
    <w:p w:rsidR="00B36FDD" w:rsidRDefault="00B36FDD" w:rsidP="00B36FD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sz w:val="24"/>
          <w:szCs w:val="24"/>
        </w:rPr>
        <w:t>podrška Crnoj Gori, Gruziji i Bjelarusu u obliku savjeta kod uvođenja računovodstvenih standarda;</w:t>
      </w:r>
    </w:p>
    <w:p w:rsidR="00B36FDD" w:rsidRDefault="00B36FDD" w:rsidP="00B36FD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sz w:val="24"/>
          <w:szCs w:val="24"/>
        </w:rPr>
        <w:t>dokument o integraciji računskog plana s proračunskom klasifikacijom (2014.);</w:t>
      </w:r>
    </w:p>
    <w:p w:rsidR="00B36FDD" w:rsidRDefault="00B36FDD" w:rsidP="00B36FD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sz w:val="24"/>
          <w:szCs w:val="24"/>
        </w:rPr>
        <w:t>izdvojene priče o uspjehu zemalja;</w:t>
      </w:r>
    </w:p>
    <w:p w:rsidR="00B36FDD" w:rsidRDefault="00B36FDD" w:rsidP="00B36FD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sz w:val="24"/>
          <w:szCs w:val="24"/>
        </w:rPr>
        <w:t xml:space="preserve">izvještaji o upravljanju imovinom (2015.) i </w:t>
      </w:r>
    </w:p>
    <w:p w:rsidR="00B36FDD" w:rsidRDefault="00B76E12" w:rsidP="00B36FDD">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sz w:val="24"/>
          <w:szCs w:val="24"/>
        </w:rPr>
        <w:t>praktične</w:t>
      </w:r>
      <w:r w:rsidR="00B36FDD">
        <w:rPr>
          <w:rFonts w:ascii="Times New Roman" w:hAnsi="Times New Roman"/>
          <w:sz w:val="24"/>
          <w:szCs w:val="24"/>
        </w:rPr>
        <w:t xml:space="preserve"> smjernice za konsolidaciju (2016.),  </w:t>
      </w:r>
    </w:p>
    <w:p w:rsidR="00B36FDD" w:rsidRDefault="00B36FDD" w:rsidP="00B36FDD">
      <w:pPr>
        <w:spacing w:after="0" w:line="240" w:lineRule="auto"/>
        <w:jc w:val="both"/>
        <w:rPr>
          <w:rFonts w:ascii="Times New Roman" w:hAnsi="Times New Roman" w:cs="Times New Roman"/>
          <w:sz w:val="24"/>
          <w:szCs w:val="24"/>
          <w:lang w:val="en-GB"/>
        </w:rPr>
      </w:pPr>
    </w:p>
    <w:p w:rsidR="00B36FDD" w:rsidRDefault="00A721FA" w:rsidP="00B36FDD">
      <w:pPr>
        <w:spacing w:after="0" w:line="240" w:lineRule="auto"/>
        <w:jc w:val="both"/>
        <w:rPr>
          <w:rFonts w:ascii="Times New Roman" w:hAnsi="Times New Roman" w:cs="Times New Roman"/>
          <w:sz w:val="24"/>
          <w:szCs w:val="24"/>
        </w:rPr>
      </w:pPr>
      <w:r>
        <w:rPr>
          <w:rFonts w:ascii="Times New Roman" w:hAnsi="Times New Roman"/>
          <w:noProof/>
          <w:sz w:val="24"/>
          <w:szCs w:val="24"/>
          <w:lang w:eastAsia="hr-HR"/>
        </w:rPr>
        <w:drawing>
          <wp:anchor distT="0" distB="0" distL="114300" distR="114300" simplePos="0" relativeHeight="251686912" behindDoc="0" locked="0" layoutInCell="1" allowOverlap="1" wp14:anchorId="6784FC59" wp14:editId="73D1C024">
            <wp:simplePos x="0" y="0"/>
            <wp:positionH relativeFrom="column">
              <wp:posOffset>-266700</wp:posOffset>
            </wp:positionH>
            <wp:positionV relativeFrom="paragraph">
              <wp:posOffset>1360805</wp:posOffset>
            </wp:positionV>
            <wp:extent cx="3347720" cy="2473960"/>
            <wp:effectExtent l="0" t="0" r="5080" b="2540"/>
            <wp:wrapSquare wrapText="bothSides"/>
            <wp:docPr id="18" name="Picture 18" descr="\\server-i01\Podaci\ARHIV - PODACI\aa FIRME\WB HR\2018\1443-18\slik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i01\Podaci\ARHIV - PODACI\aa FIRME\WB HR\2018\1443-18\slika 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772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FDD">
        <w:rPr>
          <w:rFonts w:ascii="Times New Roman" w:hAnsi="Times New Roman"/>
          <w:sz w:val="24"/>
          <w:szCs w:val="24"/>
        </w:rPr>
        <w:t xml:space="preserve">Gđa Gurianova zatim je opisala nedavnu inicijativu programa Svjetske banke, „PULSAR” tj. Program za računovodstvo i izvještavanje u javnom sektoru, koji je pokrenut prošle godine zajedno s austrijskim Ministarstvom financija. PULSAR ima dvije tematske skupine, FINCOP koji se bavi računovodstvenim standardima i EDUCOP koji se bavi izgradnjom kapaciteta i osposobljavanjem. Glavni je cilj programa dati podršku zemljama prilikom usklađivanja njihovih nacionalnih standarda s međunarodnim standardima. Gđa Nikulina naglasila je kako, unatoč tome što se temelji na nekim zajedničkim načelima kao i PEMPAL, PULSAR obuhvaća manji niz zemalja. Svakako postoje mogućnosti za buduću suradnju, a gđa Nikulina je potaknula radnu skupinu da imenuje predstavnika iz rukovodstva koji će o tome raspraviti s PULSAR-om. </w:t>
      </w:r>
    </w:p>
    <w:p w:rsidR="00B36FDD" w:rsidRDefault="00B36FDD" w:rsidP="00B36FDD">
      <w:pPr>
        <w:spacing w:after="0" w:line="240" w:lineRule="auto"/>
        <w:jc w:val="both"/>
        <w:rPr>
          <w:rFonts w:ascii="Times New Roman" w:hAnsi="Times New Roman" w:cs="Times New Roman"/>
          <w:sz w:val="24"/>
          <w:szCs w:val="24"/>
          <w:lang w:val="en-GB"/>
        </w:rPr>
      </w:pPr>
    </w:p>
    <w:p w:rsidR="002A78DA" w:rsidRDefault="00B36FDD" w:rsidP="00B36FDD">
      <w:pPr>
        <w:spacing w:after="0" w:line="240" w:lineRule="auto"/>
        <w:jc w:val="both"/>
        <w:rPr>
          <w:rFonts w:ascii="Times New Roman" w:hAnsi="Times New Roman" w:cs="Times New Roman"/>
          <w:sz w:val="24"/>
          <w:szCs w:val="24"/>
        </w:rPr>
      </w:pPr>
      <w:r>
        <w:rPr>
          <w:rFonts w:ascii="Times New Roman" w:hAnsi="Times New Roman"/>
          <w:sz w:val="24"/>
          <w:szCs w:val="24"/>
        </w:rPr>
        <w:t xml:space="preserve">Sljedeća faza radionice bila je posvećena izlaganjima zemalja čija je tema bila napredak računovodstvenih reformi. </w:t>
      </w:r>
    </w:p>
    <w:p w:rsidR="00B36FDD" w:rsidRDefault="002A78DA" w:rsidP="00B36FDD">
      <w:pPr>
        <w:spacing w:after="0" w:line="240" w:lineRule="auto"/>
        <w:jc w:val="both"/>
        <w:rPr>
          <w:rFonts w:ascii="Times New Roman" w:hAnsi="Times New Roman" w:cs="Times New Roman"/>
          <w:sz w:val="24"/>
          <w:szCs w:val="24"/>
        </w:rPr>
      </w:pPr>
      <w:r>
        <w:rPr>
          <w:rFonts w:ascii="Times New Roman" w:hAnsi="Times New Roman"/>
          <w:b/>
          <w:sz w:val="24"/>
          <w:szCs w:val="24"/>
        </w:rPr>
        <w:t>Gđa Firuza Abdullaeva</w:t>
      </w:r>
      <w:r>
        <w:rPr>
          <w:rFonts w:ascii="Times New Roman" w:hAnsi="Times New Roman"/>
          <w:sz w:val="24"/>
          <w:szCs w:val="24"/>
        </w:rPr>
        <w:t xml:space="preserve"> održala je prvo izlaganje u ime domaćina, Azerbajdžana. Navela je kako ključni ciljevi računovodstvenih reformi uključuju: </w:t>
      </w:r>
      <w:r>
        <w:rPr>
          <w:rFonts w:ascii="Times New Roman" w:hAnsi="Times New Roman"/>
          <w:sz w:val="24"/>
          <w:szCs w:val="24"/>
        </w:rPr>
        <w:lastRenderedPageBreak/>
        <w:t xml:space="preserve">usklađivanje s direktivama EU-a i dosljednost s IFRS-om i IPSAS-om. Azerbajdžan je izradio nacrte novih zakona i predlaže uvođenje brojnih novih računovodstvenih propisa, kako je prikazano na lijevom slajdu. Važno je istaknuti da će novi okvir omogućiti određeni stupanj fleksibilnosti, posebno za manja i srednja poduzeća koja će moći odabrati hoće li u potpunosti primijeniti IFRS ili se prilagoditi nizu posebno izrađenih zahtjeva za izvještavanje smanjenog opsega. </w:t>
      </w:r>
    </w:p>
    <w:p w:rsidR="00B3068B" w:rsidRDefault="00A721FA" w:rsidP="00B36FD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87936" behindDoc="0" locked="0" layoutInCell="1" allowOverlap="1" wp14:anchorId="0C44F0F1" wp14:editId="4BDC06DF">
            <wp:simplePos x="0" y="0"/>
            <wp:positionH relativeFrom="column">
              <wp:posOffset>2657475</wp:posOffset>
            </wp:positionH>
            <wp:positionV relativeFrom="paragraph">
              <wp:posOffset>81915</wp:posOffset>
            </wp:positionV>
            <wp:extent cx="3815715" cy="2816225"/>
            <wp:effectExtent l="0" t="0" r="0" b="3175"/>
            <wp:wrapSquare wrapText="bothSides"/>
            <wp:docPr id="19" name="Picture 19" descr="\\server-i01\Podaci\ARHIV - PODACI\aa FIRME\WB HR\2018\1443-18\slik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i01\Podaci\ARHIV - PODACI\aa FIRME\WB HR\2018\1443-18\slika 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5715" cy="281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68B" w:rsidRDefault="00B3068B" w:rsidP="00B3068B">
      <w:pPr>
        <w:spacing w:after="0" w:line="240" w:lineRule="auto"/>
        <w:jc w:val="both"/>
        <w:rPr>
          <w:rFonts w:ascii="Times New Roman" w:hAnsi="Times New Roman" w:cs="Times New Roman"/>
          <w:sz w:val="24"/>
          <w:szCs w:val="24"/>
        </w:rPr>
      </w:pPr>
      <w:r>
        <w:rPr>
          <w:rFonts w:ascii="Times New Roman" w:hAnsi="Times New Roman"/>
          <w:b/>
          <w:sz w:val="24"/>
          <w:szCs w:val="24"/>
        </w:rPr>
        <w:t>G. Ehtiram Isabalayev</w:t>
      </w:r>
      <w:r>
        <w:rPr>
          <w:rFonts w:ascii="Times New Roman" w:hAnsi="Times New Roman"/>
          <w:sz w:val="24"/>
          <w:szCs w:val="24"/>
        </w:rPr>
        <w:t>, voditelj Odjela za računovodstvo i izvještavanje o državnom proračunu iz Agencije za državnu riznicu, održao je drugo izlaganje za Azerbajdžan. Izvještaj o državnom proračunu sastoji se od pet komponenata od kojih su tri iznesene na sljedećem slajdu; izvještaj o prihodima i rashodima središnje države, izvještaj o prihodima i rashodima autonomne republike Nahičevan i izvještaj o lokalnim prihodima i rashodima.  Izvještaj se izrađuje jednom mjesečno. Konsolidirani proračun sadržava i naftni i socijalni fond.  Informacijski sustav za upravljanje riznicom, ISFU za poslovanje riznice, olakšava taj proces, a ulazne informacije zaprimaju se elektroničkim putem.  Financijski izvještaji na načelu uzročnosti prihoda i rashoda također se podnose regionalnim uredima riznice i (ručno) konsolidiraju.</w:t>
      </w:r>
    </w:p>
    <w:p w:rsidR="00B3068B" w:rsidRDefault="00B3068B" w:rsidP="00B36FDD">
      <w:pPr>
        <w:spacing w:after="0" w:line="240" w:lineRule="auto"/>
        <w:jc w:val="both"/>
        <w:rPr>
          <w:rFonts w:ascii="Times New Roman" w:hAnsi="Times New Roman" w:cs="Times New Roman"/>
          <w:sz w:val="24"/>
          <w:szCs w:val="24"/>
          <w:lang w:val="en-GB"/>
        </w:rPr>
      </w:pPr>
    </w:p>
    <w:p w:rsidR="00B36FDD" w:rsidRDefault="00B36FDD" w:rsidP="00B36FDD">
      <w:pPr>
        <w:spacing w:after="0" w:line="240" w:lineRule="auto"/>
        <w:jc w:val="both"/>
        <w:rPr>
          <w:rFonts w:ascii="Times New Roman" w:hAnsi="Times New Roman" w:cs="Times New Roman"/>
          <w:sz w:val="24"/>
          <w:szCs w:val="24"/>
        </w:rPr>
      </w:pPr>
      <w:r>
        <w:rPr>
          <w:rFonts w:ascii="Times New Roman" w:hAnsi="Times New Roman"/>
          <w:sz w:val="24"/>
          <w:szCs w:val="24"/>
        </w:rPr>
        <w:t xml:space="preserve">Drugi dio jutra bio je posvećen novostima iz ostalih zemalja uključujući: Albanije, Kirgiske Republike, Poljske, Rusije i Srbije. </w:t>
      </w:r>
    </w:p>
    <w:p w:rsidR="00B36FDD" w:rsidRDefault="00B36FDD" w:rsidP="00B36FDD">
      <w:pPr>
        <w:spacing w:after="0" w:line="240" w:lineRule="auto"/>
        <w:jc w:val="both"/>
        <w:rPr>
          <w:rFonts w:ascii="Times New Roman" w:hAnsi="Times New Roman" w:cs="Times New Roman"/>
          <w:sz w:val="24"/>
          <w:szCs w:val="24"/>
          <w:lang w:val="en-GB"/>
        </w:rPr>
      </w:pPr>
    </w:p>
    <w:p w:rsidR="00B36FDD" w:rsidRPr="003E2969" w:rsidRDefault="00B36FDD" w:rsidP="00282F06">
      <w:pPr>
        <w:spacing w:after="0" w:line="240" w:lineRule="auto"/>
        <w:jc w:val="both"/>
        <w:rPr>
          <w:rFonts w:ascii="Times New Roman" w:hAnsi="Times New Roman" w:cs="Times New Roman"/>
          <w:sz w:val="24"/>
          <w:szCs w:val="24"/>
        </w:rPr>
      </w:pPr>
      <w:r>
        <w:rPr>
          <w:rFonts w:ascii="Times New Roman" w:hAnsi="Times New Roman"/>
          <w:sz w:val="24"/>
          <w:szCs w:val="24"/>
        </w:rPr>
        <w:t xml:space="preserve">Prva je izlagala </w:t>
      </w:r>
      <w:r>
        <w:rPr>
          <w:rFonts w:ascii="Times New Roman" w:hAnsi="Times New Roman"/>
          <w:b/>
          <w:sz w:val="24"/>
          <w:szCs w:val="24"/>
        </w:rPr>
        <w:t>gđa Iwona Warzecha,</w:t>
      </w:r>
      <w:r>
        <w:rPr>
          <w:rFonts w:ascii="Times New Roman" w:hAnsi="Times New Roman"/>
          <w:sz w:val="24"/>
          <w:szCs w:val="24"/>
        </w:rPr>
        <w:t xml:space="preserve"> viša stručnjakinja za financijsko upravljanje iz Svjetske banke, koja je predstavila najnovije informacije iz Europe gdje postoji problem nedosljednosti u pogledu objava o fiskalnim rizicima i nepredviđenim obvezama.</w:t>
      </w:r>
      <w:r>
        <w:t xml:space="preserve"> </w:t>
      </w:r>
      <w:r>
        <w:rPr>
          <w:rFonts w:ascii="Times New Roman" w:hAnsi="Times New Roman"/>
          <w:sz w:val="24"/>
          <w:szCs w:val="24"/>
        </w:rPr>
        <w:t xml:space="preserve">Gđa Warzecha je zatim iznijela određene pozadinske informacije u pogledu nedavnih reformi u Poljskoj.  U Poljskoj je provedena analiza nedostataka u odnosu na IPSAS. Jedan od zaključaka jest da je pravni okvir za računovodstvo složen i postoje različiti propisi u pogledu izvještavanja o proračunu na gotovinskoj osnovi i financijskim izvještajima na načelu uzročnosti prihoda i rashoda. Poljski GAAP, koji je izrazito usmjeren na privatni sektor, ne rješava mnoga važna područja prema IPSAS-u, npr. prihode od nerazmjenskih transakcija poput prijenosa bespovratnih sredstava i prikupljanja poreza.  Konsolidacija se također temelji na subjektu dok je prema ISPAS-u dozvoljena konsolidacija sektora (što se traži i za statističko izvještavanje).  Dok čeka razvoj EPSAS-a koji još uvijek traje, Poljska je započela pripremu reforme proračunskog sustava koja uključuje i računovodstvene aspekte: uvođenje jedinstvene proračunske klasifikacije (uključujući i računski plan), unaprjeđenje proračunskog izvještavanja i financijskog izvještavanja, pripremu državnog konsolidiranog financijskog izvještaja. </w:t>
      </w:r>
    </w:p>
    <w:p w:rsidR="00B36FDD" w:rsidRDefault="00B36FDD" w:rsidP="00B36FDD">
      <w:pPr>
        <w:spacing w:after="0" w:line="240" w:lineRule="auto"/>
        <w:jc w:val="both"/>
        <w:rPr>
          <w:rFonts w:ascii="Times New Roman" w:hAnsi="Times New Roman" w:cs="Times New Roman"/>
          <w:sz w:val="24"/>
          <w:szCs w:val="24"/>
          <w:lang w:val="en-GB"/>
        </w:rPr>
      </w:pPr>
    </w:p>
    <w:p w:rsidR="00B36FDD" w:rsidRDefault="00A721FA" w:rsidP="00B36FDD">
      <w:pPr>
        <w:spacing w:after="0" w:line="240" w:lineRule="auto"/>
        <w:jc w:val="both"/>
        <w:rPr>
          <w:rFonts w:ascii="Times New Roman" w:hAnsi="Times New Roman" w:cs="Times New Roman"/>
          <w:sz w:val="24"/>
          <w:szCs w:val="24"/>
        </w:rPr>
      </w:pPr>
      <w:r>
        <w:rPr>
          <w:rFonts w:ascii="Times New Roman" w:hAnsi="Times New Roman"/>
          <w:b/>
          <w:noProof/>
          <w:sz w:val="24"/>
          <w:szCs w:val="24"/>
          <w:lang w:eastAsia="hr-HR"/>
        </w:rPr>
        <w:lastRenderedPageBreak/>
        <w:drawing>
          <wp:anchor distT="0" distB="0" distL="114300" distR="114300" simplePos="0" relativeHeight="251688960" behindDoc="0" locked="0" layoutInCell="1" allowOverlap="1">
            <wp:simplePos x="0" y="0"/>
            <wp:positionH relativeFrom="column">
              <wp:posOffset>-314325</wp:posOffset>
            </wp:positionH>
            <wp:positionV relativeFrom="paragraph">
              <wp:posOffset>-28575</wp:posOffset>
            </wp:positionV>
            <wp:extent cx="3733480" cy="2808000"/>
            <wp:effectExtent l="0" t="0" r="635" b="0"/>
            <wp:wrapSquare wrapText="bothSides"/>
            <wp:docPr id="20" name="Picture 20" descr="\\server-i01\Podaci\ARHIV - PODACI\aa FIRME\WB HR\2018\1443-18\slik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i01\Podaci\ARHIV - PODACI\aa FIRME\WB HR\2018\1443-18\slika 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480" cy="28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FDD">
        <w:rPr>
          <w:rFonts w:ascii="Times New Roman" w:hAnsi="Times New Roman"/>
          <w:b/>
          <w:sz w:val="24"/>
          <w:szCs w:val="24"/>
        </w:rPr>
        <w:t>Gđa Cholpan Saparbaeva</w:t>
      </w:r>
      <w:r w:rsidR="00B36FDD">
        <w:rPr>
          <w:rFonts w:ascii="Times New Roman" w:hAnsi="Times New Roman"/>
          <w:sz w:val="24"/>
          <w:szCs w:val="24"/>
        </w:rPr>
        <w:t xml:space="preserve">, voditeljica Odjela za metodologiju računovodstva i revizije iz Kirgiske Republike, održala je sljedeće izlaganje. Navela je kako trenutačan okvir izvještavanja nije usklađen s ISPAS-om i da se trenutačno ne uči o IPSAS-u na sveučilištima. Problem je i nedostatak automatizacije na razini proračunskog subjekta. U budućnosti planiraju uvesti „kaskadni” pristup osposobljavanju, počevši od središnje grupe stručnjaka koji će biti obučeni i potom će sami obučavati ostale javne službenike. Standardi će se postupno uvoditi sve do 2023. pod nazivom Računovodstveni standardi za javni sektor (PSAS – vidjeti slajd). Od proračunskih se subjekata očekuje da dotad izrade odgovarajuće financijske izvještaje koji će proći reviziju. Već je izrađeno 10 standarda koji se temelje na manje problematičnim zahtjevima ISPAS-a.  </w:t>
      </w:r>
    </w:p>
    <w:p w:rsidR="00B36FDD" w:rsidRDefault="00A721FA" w:rsidP="00B36FDD">
      <w:pPr>
        <w:spacing w:after="0" w:line="240" w:lineRule="auto"/>
        <w:jc w:val="both"/>
        <w:rPr>
          <w:rFonts w:ascii="Times New Roman" w:hAnsi="Times New Roman" w:cs="Times New Roman"/>
          <w:sz w:val="24"/>
          <w:szCs w:val="24"/>
          <w:lang w:val="en-GB"/>
        </w:rPr>
      </w:pPr>
      <w:r>
        <w:rPr>
          <w:rFonts w:ascii="Times New Roman" w:hAnsi="Times New Roman"/>
          <w:b/>
          <w:noProof/>
          <w:sz w:val="24"/>
          <w:szCs w:val="24"/>
          <w:lang w:eastAsia="hr-HR"/>
        </w:rPr>
        <w:drawing>
          <wp:anchor distT="0" distB="0" distL="114300" distR="114300" simplePos="0" relativeHeight="251689984" behindDoc="0" locked="0" layoutInCell="1" allowOverlap="1" wp14:anchorId="2B607BBE" wp14:editId="2F77E744">
            <wp:simplePos x="0" y="0"/>
            <wp:positionH relativeFrom="column">
              <wp:posOffset>2374900</wp:posOffset>
            </wp:positionH>
            <wp:positionV relativeFrom="paragraph">
              <wp:posOffset>140970</wp:posOffset>
            </wp:positionV>
            <wp:extent cx="4067810" cy="3060700"/>
            <wp:effectExtent l="0" t="0" r="8890" b="6350"/>
            <wp:wrapSquare wrapText="bothSides"/>
            <wp:docPr id="21" name="Picture 21" descr="\\server-i01\Podaci\ARHIV - PODACI\aa FIRME\WB HR\2018\1443-18\slik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i01\Podaci\ARHIV - PODACI\aa FIRME\WB HR\2018\1443-18\slika 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7810"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FDD" w:rsidRPr="00C118E5" w:rsidRDefault="00B36FDD" w:rsidP="00B36FDD">
      <w:pPr>
        <w:spacing w:after="0" w:line="240" w:lineRule="auto"/>
        <w:jc w:val="both"/>
        <w:rPr>
          <w:rFonts w:ascii="Times New Roman" w:hAnsi="Times New Roman" w:cs="Times New Roman"/>
          <w:sz w:val="24"/>
          <w:szCs w:val="24"/>
        </w:rPr>
      </w:pPr>
      <w:r>
        <w:rPr>
          <w:rFonts w:ascii="Times New Roman" w:hAnsi="Times New Roman"/>
          <w:b/>
          <w:sz w:val="24"/>
          <w:szCs w:val="24"/>
        </w:rPr>
        <w:t>Gđa Svetlana Sivets</w:t>
      </w:r>
      <w:r>
        <w:rPr>
          <w:rFonts w:ascii="Times New Roman" w:hAnsi="Times New Roman"/>
          <w:sz w:val="24"/>
          <w:szCs w:val="24"/>
        </w:rPr>
        <w:t xml:space="preserve">, zamjenica voditelja Odjela za proračunsku metodologiju i financijsko izvještavanje u javnom sektoru iz MF-a Ruske Federacije održala je treće izlaganje tog jutra.  Prvo je naglasila kako financijsko izvještavanje nije cilj samo po sebi nego uvijek mora biti provedeno u svrhu donošenja odluka i davanja informacija dionicima.  Rusija konsolidira 324.000 proračunskih subjekata u dva tjedna. Izrađeno je 28 standarda koji se provode u više faza. Rusija smatra da bi tzv. „Big bang” implementacija bila problematična i da će postupna provedba više smanjiti rizike.  Rusija osigurava da je sve usklađeno sa zahtjevima o izvještavanju na načelu uzročnosti prihoda i rashoda tako što uskraćuje alokacije proračunskim subjektima. Shvatili su i kompleksnost nekih elemenata načela uzročnosti prihoda i rashoda. Zbog toga je Rusija odlučila uspostaviti konkretne centre nadležnosti. Neki elementi obračunskog računovodstva, poput upravljanja imovinom, ostaju na razini subjekta. Međutim, za druga područja ti će centri imati najbolje računovođe koji će obavljati specijalizirane funkcije za cijelu državu.  </w:t>
      </w:r>
    </w:p>
    <w:p w:rsidR="00B36FDD" w:rsidRDefault="00B36FDD" w:rsidP="00B36FDD">
      <w:pPr>
        <w:spacing w:after="0" w:line="240" w:lineRule="auto"/>
        <w:jc w:val="both"/>
        <w:rPr>
          <w:rFonts w:ascii="Times New Roman" w:hAnsi="Times New Roman" w:cs="Times New Roman"/>
          <w:sz w:val="24"/>
          <w:szCs w:val="24"/>
          <w:lang w:val="en-GB"/>
        </w:rPr>
      </w:pPr>
    </w:p>
    <w:p w:rsidR="00B36FDD" w:rsidRDefault="00A721FA" w:rsidP="00B36FDD">
      <w:pPr>
        <w:spacing w:after="0" w:line="240" w:lineRule="auto"/>
        <w:jc w:val="both"/>
        <w:rPr>
          <w:rFonts w:ascii="Times New Roman" w:hAnsi="Times New Roman" w:cs="Times New Roman"/>
          <w:sz w:val="24"/>
          <w:szCs w:val="24"/>
        </w:rPr>
      </w:pPr>
      <w:r>
        <w:rPr>
          <w:rFonts w:ascii="Times New Roman" w:hAnsi="Times New Roman"/>
          <w:b/>
          <w:noProof/>
          <w:sz w:val="24"/>
          <w:szCs w:val="24"/>
          <w:lang w:eastAsia="hr-HR"/>
        </w:rPr>
        <w:lastRenderedPageBreak/>
        <w:drawing>
          <wp:anchor distT="0" distB="0" distL="114300" distR="114300" simplePos="0" relativeHeight="251691008" behindDoc="0" locked="0" layoutInCell="1" allowOverlap="1">
            <wp:simplePos x="0" y="0"/>
            <wp:positionH relativeFrom="column">
              <wp:posOffset>-66675</wp:posOffset>
            </wp:positionH>
            <wp:positionV relativeFrom="paragraph">
              <wp:posOffset>1504950</wp:posOffset>
            </wp:positionV>
            <wp:extent cx="3779520" cy="2851785"/>
            <wp:effectExtent l="0" t="0" r="0" b="5715"/>
            <wp:wrapSquare wrapText="bothSides"/>
            <wp:docPr id="22" name="Picture 22" descr="\\server-i01\Podaci\ARHIV - PODACI\aa FIRME\WB HR\2018\1443-18\slik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i01\Podaci\ARHIV - PODACI\aa FIRME\WB HR\2018\1443-18\slika 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952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8DA">
        <w:rPr>
          <w:rFonts w:ascii="Times New Roman" w:hAnsi="Times New Roman"/>
          <w:b/>
          <w:sz w:val="24"/>
          <w:szCs w:val="24"/>
        </w:rPr>
        <w:t xml:space="preserve">Gđa Iwona Warzecha </w:t>
      </w:r>
      <w:r w:rsidR="002A78DA">
        <w:rPr>
          <w:rFonts w:ascii="Times New Roman" w:hAnsi="Times New Roman"/>
          <w:sz w:val="24"/>
          <w:szCs w:val="24"/>
        </w:rPr>
        <w:t>održala je drugo izlaganje o razvoju situacije u Srbiji.</w:t>
      </w:r>
      <w:r w:rsidR="002A78DA">
        <w:rPr>
          <w:rFonts w:ascii="Times New Roman" w:hAnsi="Times New Roman"/>
          <w:b/>
          <w:sz w:val="24"/>
          <w:szCs w:val="24"/>
        </w:rPr>
        <w:t xml:space="preserve"> </w:t>
      </w:r>
      <w:r w:rsidR="002A78DA">
        <w:rPr>
          <w:rFonts w:ascii="Times New Roman" w:hAnsi="Times New Roman"/>
          <w:sz w:val="24"/>
          <w:szCs w:val="24"/>
        </w:rPr>
        <w:t>Srbija se, kao i mnoge zemlje PEMPAL-a, nosila sa značajnim izazovima u provedbi obračunskog računovodstva.  Neki su od njih prikazani na sljedećem slajdu. Računovodstvena reforma nije nešto što se može provesti neovisno o drugim reformama. Glavni je izazov pronaći prikladno kvalificirano osoblje za računovodstvo, posebno zato što studenti računovodstva radije odabiru rad u privatnom sektoru gdje su plaće veće. Konsolidirano izvještavanje problematično je zbog fragmentiranosti IT-ja. U Srbiji je potreban glavni plan za IKT kako bi se osigurala dosljednost sa sustavima i zahtjevima sustava. Zasad se savjetuje samo djelomična primjena IPSAS-a u Srbiji zbog navedenih izazova. Time bi se osigurale ostvarive prekretnice u kratkoročnom razdoblju koje u konačnici mogu poslužiti kao temelj za konačan prelazak na obračunsko računovodstvo.</w:t>
      </w:r>
    </w:p>
    <w:p w:rsidR="00B36FDD" w:rsidRPr="00D97DBF" w:rsidRDefault="00B36FDD" w:rsidP="00B36FDD">
      <w:pPr>
        <w:spacing w:after="0" w:line="240" w:lineRule="auto"/>
        <w:jc w:val="both"/>
        <w:rPr>
          <w:rFonts w:ascii="Times New Roman" w:hAnsi="Times New Roman" w:cs="Times New Roman"/>
          <w:b/>
          <w:sz w:val="24"/>
          <w:szCs w:val="24"/>
          <w:lang w:val="en-GB"/>
        </w:rPr>
      </w:pPr>
    </w:p>
    <w:p w:rsidR="00B36FDD" w:rsidRDefault="00B36FDD" w:rsidP="00B36FDD">
      <w:pPr>
        <w:spacing w:after="0" w:line="240" w:lineRule="auto"/>
        <w:jc w:val="both"/>
        <w:rPr>
          <w:rFonts w:ascii="Times New Roman" w:hAnsi="Times New Roman" w:cs="Times New Roman"/>
          <w:sz w:val="24"/>
          <w:szCs w:val="24"/>
        </w:rPr>
      </w:pPr>
      <w:r>
        <w:rPr>
          <w:rFonts w:ascii="Times New Roman" w:hAnsi="Times New Roman"/>
          <w:sz w:val="24"/>
          <w:szCs w:val="24"/>
        </w:rPr>
        <w:t xml:space="preserve">Nakon ručka </w:t>
      </w:r>
      <w:r>
        <w:rPr>
          <w:rFonts w:ascii="Times New Roman" w:hAnsi="Times New Roman"/>
          <w:b/>
          <w:sz w:val="24"/>
          <w:szCs w:val="24"/>
        </w:rPr>
        <w:t>g. Mark Silins</w:t>
      </w:r>
      <w:r>
        <w:rPr>
          <w:rFonts w:ascii="Times New Roman" w:hAnsi="Times New Roman"/>
          <w:sz w:val="24"/>
          <w:szCs w:val="24"/>
        </w:rPr>
        <w:t xml:space="preserve">, vodeći tematski savjetnik TCOP-a, održao je kratko izlaganje o prijedlogu za ponovni razvoj jednog od proizvoda znanja koji je izrađen za to tematsko područje. Dokument o integraciji proračunske klasifikacije i računskog plana izrađen je 2014. Postoji još radova na tu temu, ali su većinom teoretske naravi. PEMPAL-ov dokument daje praktične primjere iz zemalja članica kako bi se olakšalo razumijevanje. Brojne su se zemlje služile tim dokumentom prilikom provedbe svojih integriranih struktura. Iako se u dokumentu navode brojne korisne informacije, mnoga pitanja ostaju neriješena. Isto tako, dokument obuhvaća samo ekonomski segment računskog plana. Stoga bi bilo korisno proširiti obuhvat. Dogovoreno je da će se osnovati mala radna skupina u tu svrhu. </w:t>
      </w:r>
    </w:p>
    <w:p w:rsidR="00B36FDD" w:rsidRDefault="00B36FDD" w:rsidP="00B36FDD">
      <w:pPr>
        <w:spacing w:after="0" w:line="240" w:lineRule="auto"/>
        <w:jc w:val="both"/>
        <w:rPr>
          <w:rFonts w:ascii="Times New Roman" w:hAnsi="Times New Roman" w:cs="Times New Roman"/>
          <w:sz w:val="24"/>
          <w:szCs w:val="24"/>
          <w:lang w:val="en-GB"/>
        </w:rPr>
      </w:pPr>
    </w:p>
    <w:p w:rsidR="00B36FDD" w:rsidRDefault="00B36FDD" w:rsidP="00B36FDD">
      <w:pPr>
        <w:spacing w:after="0" w:line="240" w:lineRule="auto"/>
        <w:jc w:val="both"/>
        <w:rPr>
          <w:rFonts w:ascii="Times New Roman" w:hAnsi="Times New Roman" w:cs="Times New Roman"/>
          <w:sz w:val="24"/>
          <w:szCs w:val="24"/>
        </w:rPr>
      </w:pPr>
      <w:r>
        <w:rPr>
          <w:rFonts w:ascii="Times New Roman" w:hAnsi="Times New Roman"/>
          <w:sz w:val="24"/>
          <w:szCs w:val="24"/>
        </w:rPr>
        <w:t>Zadnji tematski blok radionice bio je posvećen raspravi o budućim skupovima. Uslijedile su rasprave za okruglim stolom, a sudionici su morali odgovoriti na tri pitanja. Pitanja i odgovori sažeti su u nastavku.</w:t>
      </w:r>
    </w:p>
    <w:p w:rsidR="00B36FDD" w:rsidRDefault="00B36FDD" w:rsidP="00B36FDD">
      <w:pPr>
        <w:spacing w:after="0" w:line="240" w:lineRule="auto"/>
        <w:jc w:val="both"/>
        <w:rPr>
          <w:rFonts w:ascii="Times New Roman" w:hAnsi="Times New Roman" w:cs="Times New Roman"/>
          <w:sz w:val="24"/>
          <w:szCs w:val="24"/>
          <w:lang w:val="en-GB"/>
        </w:rPr>
      </w:pPr>
    </w:p>
    <w:p w:rsidR="00B36FDD" w:rsidRDefault="00B36FDD" w:rsidP="00B36FDD">
      <w:pPr>
        <w:spacing w:after="0" w:line="240" w:lineRule="auto"/>
        <w:jc w:val="both"/>
        <w:rPr>
          <w:rFonts w:ascii="Times New Roman" w:hAnsi="Times New Roman" w:cs="Times New Roman"/>
          <w:b/>
          <w:sz w:val="24"/>
          <w:szCs w:val="24"/>
          <w:lang w:val="en-GB"/>
        </w:rPr>
      </w:pPr>
    </w:p>
    <w:p w:rsidR="00B36FDD" w:rsidRPr="00276152" w:rsidRDefault="00B36FDD" w:rsidP="00B36FDD">
      <w:pPr>
        <w:spacing w:after="0" w:line="240" w:lineRule="auto"/>
        <w:jc w:val="both"/>
        <w:rPr>
          <w:rFonts w:ascii="Times New Roman" w:hAnsi="Times New Roman" w:cs="Times New Roman"/>
          <w:b/>
          <w:sz w:val="24"/>
          <w:szCs w:val="24"/>
        </w:rPr>
      </w:pPr>
      <w:r>
        <w:rPr>
          <w:rFonts w:ascii="Times New Roman" w:hAnsi="Times New Roman"/>
          <w:b/>
          <w:sz w:val="24"/>
          <w:szCs w:val="24"/>
        </w:rPr>
        <w:t>Zašto su neke zemlje ostvarile veći napredak od drugih?</w:t>
      </w:r>
    </w:p>
    <w:p w:rsidR="00B36FDD" w:rsidRDefault="00B36FDD" w:rsidP="00B36FDD">
      <w:pPr>
        <w:spacing w:after="0" w:line="240" w:lineRule="auto"/>
        <w:jc w:val="both"/>
        <w:rPr>
          <w:rFonts w:ascii="Times New Roman" w:hAnsi="Times New Roman" w:cs="Times New Roman"/>
          <w:sz w:val="24"/>
          <w:szCs w:val="24"/>
          <w:lang w:val="en-GB"/>
        </w:rPr>
      </w:pPr>
    </w:p>
    <w:p w:rsidR="00B36FDD" w:rsidRPr="00A92824" w:rsidRDefault="00B36FDD" w:rsidP="00B36FDD">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sz w:val="24"/>
          <w:szCs w:val="24"/>
        </w:rPr>
        <w:t>Nedostatak kapaciteta i političkog angažmana.</w:t>
      </w:r>
    </w:p>
    <w:p w:rsidR="00B36FDD" w:rsidRPr="00A92824" w:rsidRDefault="00B36FDD" w:rsidP="00B36FDD">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sz w:val="24"/>
          <w:szCs w:val="24"/>
        </w:rPr>
        <w:t xml:space="preserve">Važno je imati razvijenu metodologiju kako bi se osigurao integritet automatizacije, a zemlje se znatno razlikuju po tom pitanju.  </w:t>
      </w:r>
    </w:p>
    <w:p w:rsidR="00B36FDD" w:rsidRPr="00A92824" w:rsidRDefault="00B36FDD" w:rsidP="00B36FDD">
      <w:pPr>
        <w:pStyle w:val="ListParagraph"/>
        <w:numPr>
          <w:ilvl w:val="0"/>
          <w:numId w:val="6"/>
        </w:numPr>
        <w:spacing w:line="240" w:lineRule="auto"/>
        <w:jc w:val="both"/>
        <w:rPr>
          <w:rFonts w:ascii="Times New Roman" w:hAnsi="Times New Roman" w:cs="Times New Roman"/>
          <w:sz w:val="24"/>
          <w:szCs w:val="24"/>
        </w:rPr>
      </w:pPr>
      <w:r>
        <w:rPr>
          <w:rFonts w:ascii="Times New Roman" w:hAnsi="Times New Roman"/>
          <w:sz w:val="24"/>
          <w:szCs w:val="24"/>
        </w:rPr>
        <w:t xml:space="preserve">Automatizacija se možda neće pravilno usmjeriti na potrebe.  </w:t>
      </w:r>
    </w:p>
    <w:p w:rsidR="00B36FDD" w:rsidRDefault="00B36FDD" w:rsidP="00B36FDD">
      <w:pPr>
        <w:pStyle w:val="ListParagraph"/>
        <w:numPr>
          <w:ilvl w:val="0"/>
          <w:numId w:val="6"/>
        </w:numPr>
        <w:spacing w:line="240" w:lineRule="auto"/>
        <w:jc w:val="both"/>
        <w:rPr>
          <w:rFonts w:ascii="Times New Roman" w:hAnsi="Times New Roman" w:cs="Times New Roman"/>
          <w:sz w:val="24"/>
          <w:szCs w:val="24"/>
        </w:rPr>
      </w:pPr>
      <w:r>
        <w:rPr>
          <w:rFonts w:ascii="Times New Roman" w:hAnsi="Times New Roman"/>
          <w:sz w:val="24"/>
          <w:szCs w:val="24"/>
        </w:rPr>
        <w:t xml:space="preserve">Potrebno je osigurati da su izvještavanje i ostali procesi pojednostavljeni i lako provedivi. </w:t>
      </w:r>
    </w:p>
    <w:p w:rsidR="00B36FDD" w:rsidRDefault="00B36FDD" w:rsidP="00B0491D">
      <w:pPr>
        <w:pStyle w:val="ListParagraph"/>
        <w:numPr>
          <w:ilvl w:val="0"/>
          <w:numId w:val="6"/>
        </w:numPr>
        <w:spacing w:line="240" w:lineRule="auto"/>
        <w:jc w:val="both"/>
      </w:pPr>
      <w:r>
        <w:rPr>
          <w:rFonts w:ascii="Times New Roman" w:hAnsi="Times New Roman"/>
          <w:sz w:val="24"/>
          <w:szCs w:val="24"/>
        </w:rPr>
        <w:t xml:space="preserve">Snažan kapacitet riznice ublažio bi neke od tih problema, npr. izrada metodološkog odjela ako on već ne postoji. </w:t>
      </w:r>
    </w:p>
    <w:p w:rsidR="00B36FDD" w:rsidRDefault="00B36FDD" w:rsidP="00B36FDD">
      <w:pPr>
        <w:spacing w:after="0" w:line="240" w:lineRule="auto"/>
        <w:jc w:val="both"/>
        <w:rPr>
          <w:rFonts w:ascii="Times New Roman" w:hAnsi="Times New Roman" w:cs="Times New Roman"/>
          <w:b/>
          <w:sz w:val="24"/>
          <w:szCs w:val="24"/>
          <w:lang w:val="en-GB"/>
        </w:rPr>
      </w:pPr>
    </w:p>
    <w:p w:rsidR="00B36FDD" w:rsidRDefault="00B36FDD" w:rsidP="00B36FDD">
      <w:pPr>
        <w:spacing w:after="0" w:line="240" w:lineRule="auto"/>
        <w:jc w:val="both"/>
        <w:rPr>
          <w:rFonts w:ascii="Times New Roman" w:hAnsi="Times New Roman" w:cs="Times New Roman"/>
          <w:b/>
          <w:sz w:val="24"/>
          <w:szCs w:val="24"/>
        </w:rPr>
      </w:pPr>
      <w:r>
        <w:rPr>
          <w:rFonts w:ascii="Times New Roman" w:hAnsi="Times New Roman"/>
          <w:b/>
          <w:sz w:val="24"/>
          <w:szCs w:val="24"/>
        </w:rPr>
        <w:t>Buduće teme za skupove?</w:t>
      </w:r>
    </w:p>
    <w:p w:rsidR="00B36FDD" w:rsidRPr="00C227F0" w:rsidRDefault="00B36FDD" w:rsidP="00B36FDD">
      <w:pPr>
        <w:spacing w:after="0" w:line="240" w:lineRule="auto"/>
        <w:jc w:val="both"/>
        <w:rPr>
          <w:rFonts w:ascii="Times New Roman" w:hAnsi="Times New Roman" w:cs="Times New Roman"/>
          <w:b/>
          <w:sz w:val="24"/>
          <w:szCs w:val="24"/>
          <w:lang w:val="en-GB"/>
        </w:rPr>
      </w:pPr>
    </w:p>
    <w:p w:rsidR="00B36FDD" w:rsidRDefault="00B36FDD" w:rsidP="00B36FDD">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szCs w:val="24"/>
        </w:rPr>
        <w:t>Nastavak predstavljanja napretka zemalja i pozivanje stručnjaka iz zemalja koje su naprednije, poput baltičkih zemalja i Austrije.</w:t>
      </w:r>
    </w:p>
    <w:p w:rsidR="00B36FDD" w:rsidRDefault="00B36FDD" w:rsidP="00B36FDD">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szCs w:val="24"/>
        </w:rPr>
        <w:t>Daljnji obuhvat ključnih računovodstvenih tema, uključujući standarde, konsolidaciju, financijsku i nefinancijsku imovinu te javno-privatna partnerstva.</w:t>
      </w:r>
    </w:p>
    <w:p w:rsidR="00B36FDD" w:rsidRDefault="00B36FDD" w:rsidP="00B36FDD">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szCs w:val="24"/>
        </w:rPr>
        <w:t>Opcije za centralizaciju računovodstvenih operacija.</w:t>
      </w:r>
    </w:p>
    <w:p w:rsidR="00B36FDD" w:rsidRDefault="00B36FDD" w:rsidP="00B36FDD">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szCs w:val="24"/>
        </w:rPr>
        <w:t xml:space="preserve">Osposobljavanje i certifikacija računovođa, uključujući razmjenu znanja, edukativnih materijala i programa. </w:t>
      </w:r>
    </w:p>
    <w:p w:rsidR="00B36FDD" w:rsidRPr="00A92824" w:rsidRDefault="00B36FDD" w:rsidP="00B36FDD">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sz w:val="24"/>
          <w:szCs w:val="24"/>
        </w:rPr>
        <w:t xml:space="preserve">Način certifikacije računovođa. </w:t>
      </w:r>
    </w:p>
    <w:p w:rsidR="00B36FDD" w:rsidRDefault="00B36FDD" w:rsidP="00B36FDD">
      <w:pPr>
        <w:spacing w:after="0" w:line="240" w:lineRule="auto"/>
        <w:jc w:val="both"/>
        <w:rPr>
          <w:rFonts w:ascii="Times New Roman" w:hAnsi="Times New Roman" w:cs="Times New Roman"/>
          <w:i/>
          <w:sz w:val="24"/>
          <w:szCs w:val="24"/>
          <w:lang w:val="en-GB"/>
        </w:rPr>
      </w:pPr>
    </w:p>
    <w:p w:rsidR="00B36FDD" w:rsidRPr="00D05697" w:rsidRDefault="00B36FDD" w:rsidP="00B36FDD">
      <w:pPr>
        <w:spacing w:after="0" w:line="240" w:lineRule="auto"/>
        <w:jc w:val="both"/>
        <w:rPr>
          <w:rFonts w:ascii="Times New Roman" w:hAnsi="Times New Roman" w:cs="Times New Roman"/>
          <w:b/>
          <w:sz w:val="24"/>
          <w:szCs w:val="24"/>
        </w:rPr>
      </w:pPr>
      <w:r>
        <w:rPr>
          <w:rFonts w:ascii="Times New Roman" w:hAnsi="Times New Roman"/>
          <w:b/>
          <w:sz w:val="24"/>
          <w:szCs w:val="24"/>
        </w:rPr>
        <w:t>Treće pitanje – Volonteri za daljnje sudjelovanje u radu na novoj verziji dokumenta o proračunskoj klasifikaciji</w:t>
      </w:r>
    </w:p>
    <w:p w:rsidR="00B36FDD" w:rsidRDefault="00B36FDD" w:rsidP="00B36FDD">
      <w:pPr>
        <w:spacing w:after="0" w:line="240" w:lineRule="auto"/>
        <w:jc w:val="both"/>
        <w:rPr>
          <w:rFonts w:ascii="Times New Roman" w:hAnsi="Times New Roman" w:cs="Times New Roman"/>
          <w:sz w:val="24"/>
          <w:szCs w:val="24"/>
          <w:highlight w:val="yellow"/>
          <w:lang w:val="en-GB"/>
        </w:rPr>
      </w:pPr>
    </w:p>
    <w:p w:rsidR="00B36FDD" w:rsidRPr="002A78DA" w:rsidRDefault="00B36FDD" w:rsidP="002A78DA">
      <w:pPr>
        <w:pStyle w:val="ListParagraph"/>
        <w:numPr>
          <w:ilvl w:val="0"/>
          <w:numId w:val="7"/>
        </w:numPr>
        <w:spacing w:after="0" w:line="240" w:lineRule="auto"/>
        <w:ind w:left="360"/>
        <w:jc w:val="both"/>
        <w:rPr>
          <w:rFonts w:ascii="Times New Roman" w:hAnsi="Times New Roman" w:cs="Times New Roman"/>
          <w:sz w:val="24"/>
          <w:szCs w:val="24"/>
        </w:rPr>
      </w:pPr>
      <w:r>
        <w:rPr>
          <w:rFonts w:ascii="Times New Roman" w:hAnsi="Times New Roman"/>
          <w:sz w:val="24"/>
          <w:szCs w:val="24"/>
        </w:rPr>
        <w:t xml:space="preserve">Azerbajdžan, Bjelarus, Moldova, Rusija, Ukrajina </w:t>
      </w:r>
    </w:p>
    <w:p w:rsidR="00B36FDD" w:rsidRDefault="00B36FDD" w:rsidP="00B36FDD">
      <w:pPr>
        <w:spacing w:after="0" w:line="240" w:lineRule="auto"/>
        <w:jc w:val="both"/>
        <w:rPr>
          <w:rFonts w:ascii="Times New Roman" w:hAnsi="Times New Roman" w:cs="Times New Roman"/>
          <w:sz w:val="24"/>
          <w:szCs w:val="24"/>
          <w:highlight w:val="yellow"/>
          <w:lang w:val="en-GB"/>
        </w:rPr>
      </w:pPr>
    </w:p>
    <w:p w:rsidR="00B36FDD" w:rsidRDefault="00B36FDD" w:rsidP="00B36FDD">
      <w:pPr>
        <w:spacing w:after="0" w:line="240" w:lineRule="auto"/>
        <w:jc w:val="both"/>
        <w:rPr>
          <w:rFonts w:ascii="Times New Roman" w:hAnsi="Times New Roman" w:cs="Times New Roman"/>
          <w:sz w:val="24"/>
          <w:szCs w:val="24"/>
          <w:highlight w:val="yellow"/>
        </w:rPr>
      </w:pPr>
      <w:r>
        <w:rPr>
          <w:rFonts w:ascii="Times New Roman" w:hAnsi="Times New Roman"/>
          <w:sz w:val="24"/>
          <w:szCs w:val="24"/>
        </w:rPr>
        <w:t xml:space="preserve">G. Silins dao je zaključne komentare o skupu. Započeo je zahvalivši se kolegama iz drugih zemalja, domaćinima i Svjetskoj banci te administrativnom timu za podršku i prevoditeljima. PEMPAL-ovi skupovi odlična su prilika za razmjenu znanja i učenje od kolega. Nedavni događaji pokazali su kako su u mnogim slučajevima zemlje PEMPAL-a vodeće u pogledu dobre prakse i to je potrebno osvijestiti na globalnoj razini. Smatra da su inovacije tema koja je prikladna i za radionice o računovodstvu i o IT-u. IT očito predvodi proces promjena u mnogim zemljama. Također se posvećuje mnogo pozornosti strateškom planiranju i razmatranju interoperabilnosti izvan PFM-a kako bi se uključili drugi državni procesi i sustavi, a u nekim slučajevima i privatni sektor. Naglasio je i važnost računskog plana u cjelokupnom dizajnu. Ako želite integrirati i konsolidirati, morate osigurati da se temeljne podatkovne strukture dosljedno upotrebljavaju i da postoji sveobuhvatan obuhvat. To je cilj jedinstvenog računskog plana. Mnogi su izlagači izravno ili neizravno spominjali upravljanje rizicima i općenito njegovu važnost. </w:t>
      </w:r>
    </w:p>
    <w:p w:rsidR="00B36FDD" w:rsidRDefault="00B36FDD" w:rsidP="00B36FDD">
      <w:pPr>
        <w:spacing w:after="0" w:line="240" w:lineRule="auto"/>
        <w:jc w:val="both"/>
        <w:rPr>
          <w:rFonts w:ascii="Times New Roman" w:hAnsi="Times New Roman" w:cs="Times New Roman"/>
          <w:sz w:val="24"/>
          <w:szCs w:val="24"/>
          <w:highlight w:val="yellow"/>
          <w:lang w:val="en-GB"/>
        </w:rPr>
      </w:pPr>
    </w:p>
    <w:p w:rsidR="00B36FDD" w:rsidRPr="00F83DCF" w:rsidRDefault="00B36FDD" w:rsidP="00B36FDD">
      <w:pPr>
        <w:spacing w:after="0" w:line="240" w:lineRule="auto"/>
        <w:jc w:val="both"/>
        <w:rPr>
          <w:rFonts w:ascii="Times New Roman" w:hAnsi="Times New Roman" w:cs="Times New Roman"/>
          <w:sz w:val="24"/>
          <w:szCs w:val="24"/>
        </w:rPr>
      </w:pPr>
      <w:r>
        <w:rPr>
          <w:rFonts w:ascii="Times New Roman" w:hAnsi="Times New Roman"/>
          <w:sz w:val="24"/>
          <w:szCs w:val="24"/>
        </w:rPr>
        <w:t xml:space="preserve">Još jedna bitna stavka jest da moderni IT može biti transformacijski putem „otvorenog izvora”, API-jeva i „velikih podataka”, i to za mnogo manju cijenu od tradicionalnih potpuno integriranih skupih rješenja. Moderna se država sada ponaša vrlo strateški u pogledu pohrane i davanja pristupa podacima, čime se dobiva novi moćan analitički kapacitet. G. Silins potaknuo je rizničare da budu predvodnici u toj tehnološkoj reformi. </w:t>
      </w:r>
    </w:p>
    <w:p w:rsidR="00B36FDD" w:rsidRDefault="00B36FDD" w:rsidP="00B36FDD">
      <w:pPr>
        <w:spacing w:after="0" w:line="240" w:lineRule="auto"/>
        <w:jc w:val="both"/>
        <w:rPr>
          <w:rFonts w:ascii="Times New Roman" w:hAnsi="Times New Roman" w:cs="Times New Roman"/>
          <w:sz w:val="24"/>
          <w:szCs w:val="24"/>
          <w:highlight w:val="yellow"/>
          <w:lang w:val="en-GB"/>
        </w:rPr>
      </w:pPr>
    </w:p>
    <w:p w:rsidR="00B36FDD" w:rsidRDefault="00B36FDD" w:rsidP="00B36FDD">
      <w:pPr>
        <w:spacing w:after="0" w:line="240" w:lineRule="auto"/>
        <w:jc w:val="both"/>
        <w:rPr>
          <w:rFonts w:ascii="Times New Roman" w:hAnsi="Times New Roman" w:cs="Times New Roman"/>
          <w:sz w:val="24"/>
          <w:szCs w:val="24"/>
        </w:rPr>
      </w:pPr>
      <w:r>
        <w:rPr>
          <w:rFonts w:ascii="Times New Roman" w:hAnsi="Times New Roman"/>
          <w:sz w:val="24"/>
          <w:szCs w:val="24"/>
        </w:rPr>
        <w:t>Za uspjeh računovodstvene reforme potreban je niz elemenata. Vrlo je bitno kako ćete uključiti čelnike i osigurati njihovu potporu. Važno je moći prikazati konkretne primjere iz zemalja o tome kako reforme funkcioniraju i PEMPAL u tome ima važnu ulogu.</w:t>
      </w:r>
    </w:p>
    <w:p w:rsidR="00B36FDD" w:rsidRPr="00D548AE" w:rsidRDefault="00B36FDD" w:rsidP="00B36FDD">
      <w:pPr>
        <w:spacing w:after="0" w:line="240" w:lineRule="auto"/>
        <w:jc w:val="both"/>
        <w:rPr>
          <w:rFonts w:ascii="Times New Roman" w:hAnsi="Times New Roman" w:cs="Times New Roman"/>
          <w:sz w:val="24"/>
          <w:szCs w:val="24"/>
          <w:lang w:val="en-GB"/>
        </w:rPr>
      </w:pPr>
    </w:p>
    <w:p w:rsidR="00B0491D" w:rsidRDefault="00B36FDD" w:rsidP="002A78DA">
      <w:pPr>
        <w:spacing w:after="0" w:line="240" w:lineRule="auto"/>
        <w:jc w:val="both"/>
        <w:rPr>
          <w:rFonts w:ascii="Times New Roman" w:hAnsi="Times New Roman" w:cs="Times New Roman"/>
          <w:sz w:val="24"/>
          <w:szCs w:val="24"/>
        </w:rPr>
      </w:pPr>
      <w:r>
        <w:rPr>
          <w:rFonts w:ascii="Times New Roman" w:hAnsi="Times New Roman"/>
          <w:sz w:val="24"/>
          <w:szCs w:val="24"/>
        </w:rPr>
        <w:t xml:space="preserve">Istaknuo je i kako računovodstveni standardi u javnom sektoru trenutačno ne nude smanjene zahtjeve u pogledu izvještavanja za manje i srednje subjekte. Tako mala državna tijela od samo nekoliko zaposlenika često moraju proizvesti cijeli niz financijskih izvještaja. Je li to razumno? Moldova je naglasila mogućnost eksternalizacije računovodstvene funkcije centrima za računovodstvo, ondje gdje je kapacitet slab. Rusija je također istaknula da pokreće centre </w:t>
      </w:r>
      <w:r>
        <w:rPr>
          <w:rFonts w:ascii="Times New Roman" w:hAnsi="Times New Roman"/>
          <w:sz w:val="24"/>
          <w:szCs w:val="24"/>
        </w:rPr>
        <w:lastRenderedPageBreak/>
        <w:t>izvrsnosti za složene elemente obračunskog računovodstva. Smatra da bi sve to bile korisne teme za buduće skupove PEMPAL-a.  G. Voronin, predsjednik PEMPAL-a, službeno je zaključio ovaj skup.</w:t>
      </w:r>
    </w:p>
    <w:p w:rsidR="00B0491D" w:rsidRDefault="00B0491D" w:rsidP="002A78DA">
      <w:pPr>
        <w:spacing w:after="0" w:line="240" w:lineRule="auto"/>
        <w:jc w:val="both"/>
        <w:rPr>
          <w:rFonts w:ascii="Times New Roman" w:hAnsi="Times New Roman" w:cs="Times New Roman"/>
          <w:sz w:val="24"/>
          <w:szCs w:val="24"/>
          <w:lang w:val="en-GB"/>
        </w:rPr>
      </w:pPr>
    </w:p>
    <w:p w:rsidR="003837DD" w:rsidRDefault="00B0491D" w:rsidP="002A78DA">
      <w:pPr>
        <w:spacing w:after="0" w:line="240" w:lineRule="auto"/>
        <w:jc w:val="both"/>
      </w:pPr>
      <w:r>
        <w:rPr>
          <w:noProof/>
          <w:lang w:eastAsia="hr-HR"/>
        </w:rPr>
        <w:drawing>
          <wp:inline distT="0" distB="0" distL="0" distR="0" wp14:anchorId="28C7743F" wp14:editId="1735E5DF">
            <wp:extent cx="6359520" cy="2776855"/>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4885" cy="2779197"/>
                    </a:xfrm>
                    <a:prstGeom prst="rect">
                      <a:avLst/>
                    </a:prstGeom>
                  </pic:spPr>
                </pic:pic>
              </a:graphicData>
            </a:graphic>
          </wp:inline>
        </w:drawing>
      </w:r>
    </w:p>
    <w:sectPr w:rsidR="003837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F3A57"/>
    <w:multiLevelType w:val="hybridMultilevel"/>
    <w:tmpl w:val="B9AA5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nsid w:val="159E719A"/>
    <w:multiLevelType w:val="hybridMultilevel"/>
    <w:tmpl w:val="F6467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F3B33C4"/>
    <w:multiLevelType w:val="hybridMultilevel"/>
    <w:tmpl w:val="6C7E97DA"/>
    <w:lvl w:ilvl="0" w:tplc="1128A06E">
      <w:start w:val="1"/>
      <w:numFmt w:val="bullet"/>
      <w:lvlText w:val="»"/>
      <w:lvlJc w:val="left"/>
      <w:pPr>
        <w:tabs>
          <w:tab w:val="num" w:pos="720"/>
        </w:tabs>
        <w:ind w:left="720" w:hanging="360"/>
      </w:pPr>
      <w:rPr>
        <w:rFonts w:ascii="Arial" w:hAnsi="Arial" w:hint="default"/>
      </w:rPr>
    </w:lvl>
    <w:lvl w:ilvl="1" w:tplc="23B097EE" w:tentative="1">
      <w:start w:val="1"/>
      <w:numFmt w:val="bullet"/>
      <w:lvlText w:val="»"/>
      <w:lvlJc w:val="left"/>
      <w:pPr>
        <w:tabs>
          <w:tab w:val="num" w:pos="1440"/>
        </w:tabs>
        <w:ind w:left="1440" w:hanging="360"/>
      </w:pPr>
      <w:rPr>
        <w:rFonts w:ascii="Arial" w:hAnsi="Arial" w:hint="default"/>
      </w:rPr>
    </w:lvl>
    <w:lvl w:ilvl="2" w:tplc="104228B6" w:tentative="1">
      <w:start w:val="1"/>
      <w:numFmt w:val="bullet"/>
      <w:lvlText w:val="»"/>
      <w:lvlJc w:val="left"/>
      <w:pPr>
        <w:tabs>
          <w:tab w:val="num" w:pos="2160"/>
        </w:tabs>
        <w:ind w:left="2160" w:hanging="360"/>
      </w:pPr>
      <w:rPr>
        <w:rFonts w:ascii="Arial" w:hAnsi="Arial" w:hint="default"/>
      </w:rPr>
    </w:lvl>
    <w:lvl w:ilvl="3" w:tplc="42A2CF80" w:tentative="1">
      <w:start w:val="1"/>
      <w:numFmt w:val="bullet"/>
      <w:lvlText w:val="»"/>
      <w:lvlJc w:val="left"/>
      <w:pPr>
        <w:tabs>
          <w:tab w:val="num" w:pos="2880"/>
        </w:tabs>
        <w:ind w:left="2880" w:hanging="360"/>
      </w:pPr>
      <w:rPr>
        <w:rFonts w:ascii="Arial" w:hAnsi="Arial" w:hint="default"/>
      </w:rPr>
    </w:lvl>
    <w:lvl w:ilvl="4" w:tplc="0C28BB96" w:tentative="1">
      <w:start w:val="1"/>
      <w:numFmt w:val="bullet"/>
      <w:lvlText w:val="»"/>
      <w:lvlJc w:val="left"/>
      <w:pPr>
        <w:tabs>
          <w:tab w:val="num" w:pos="3600"/>
        </w:tabs>
        <w:ind w:left="3600" w:hanging="360"/>
      </w:pPr>
      <w:rPr>
        <w:rFonts w:ascii="Arial" w:hAnsi="Arial" w:hint="default"/>
      </w:rPr>
    </w:lvl>
    <w:lvl w:ilvl="5" w:tplc="F79CE080" w:tentative="1">
      <w:start w:val="1"/>
      <w:numFmt w:val="bullet"/>
      <w:lvlText w:val="»"/>
      <w:lvlJc w:val="left"/>
      <w:pPr>
        <w:tabs>
          <w:tab w:val="num" w:pos="4320"/>
        </w:tabs>
        <w:ind w:left="4320" w:hanging="360"/>
      </w:pPr>
      <w:rPr>
        <w:rFonts w:ascii="Arial" w:hAnsi="Arial" w:hint="default"/>
      </w:rPr>
    </w:lvl>
    <w:lvl w:ilvl="6" w:tplc="4814A604" w:tentative="1">
      <w:start w:val="1"/>
      <w:numFmt w:val="bullet"/>
      <w:lvlText w:val="»"/>
      <w:lvlJc w:val="left"/>
      <w:pPr>
        <w:tabs>
          <w:tab w:val="num" w:pos="5040"/>
        </w:tabs>
        <w:ind w:left="5040" w:hanging="360"/>
      </w:pPr>
      <w:rPr>
        <w:rFonts w:ascii="Arial" w:hAnsi="Arial" w:hint="default"/>
      </w:rPr>
    </w:lvl>
    <w:lvl w:ilvl="7" w:tplc="79E4A30A" w:tentative="1">
      <w:start w:val="1"/>
      <w:numFmt w:val="bullet"/>
      <w:lvlText w:val="»"/>
      <w:lvlJc w:val="left"/>
      <w:pPr>
        <w:tabs>
          <w:tab w:val="num" w:pos="5760"/>
        </w:tabs>
        <w:ind w:left="5760" w:hanging="360"/>
      </w:pPr>
      <w:rPr>
        <w:rFonts w:ascii="Arial" w:hAnsi="Arial" w:hint="default"/>
      </w:rPr>
    </w:lvl>
    <w:lvl w:ilvl="8" w:tplc="5D168586" w:tentative="1">
      <w:start w:val="1"/>
      <w:numFmt w:val="bullet"/>
      <w:lvlText w:val="»"/>
      <w:lvlJc w:val="left"/>
      <w:pPr>
        <w:tabs>
          <w:tab w:val="num" w:pos="6480"/>
        </w:tabs>
        <w:ind w:left="6480" w:hanging="360"/>
      </w:pPr>
      <w:rPr>
        <w:rFonts w:ascii="Arial" w:hAnsi="Arial" w:hint="default"/>
      </w:rPr>
    </w:lvl>
  </w:abstractNum>
  <w:abstractNum w:abstractNumId="3">
    <w:nsid w:val="32D70E76"/>
    <w:multiLevelType w:val="hybridMultilevel"/>
    <w:tmpl w:val="0AF49028"/>
    <w:lvl w:ilvl="0" w:tplc="B6F8E488">
      <w:start w:val="1"/>
      <w:numFmt w:val="bullet"/>
      <w:lvlText w:val="»"/>
      <w:lvlJc w:val="left"/>
      <w:pPr>
        <w:tabs>
          <w:tab w:val="num" w:pos="720"/>
        </w:tabs>
        <w:ind w:left="720" w:hanging="360"/>
      </w:pPr>
      <w:rPr>
        <w:rFonts w:ascii="Arial" w:hAnsi="Arial" w:hint="default"/>
      </w:rPr>
    </w:lvl>
    <w:lvl w:ilvl="1" w:tplc="F9421DE0">
      <w:numFmt w:val="bullet"/>
      <w:lvlText w:val="»"/>
      <w:lvlJc w:val="left"/>
      <w:pPr>
        <w:tabs>
          <w:tab w:val="num" w:pos="1440"/>
        </w:tabs>
        <w:ind w:left="1440" w:hanging="360"/>
      </w:pPr>
      <w:rPr>
        <w:rFonts w:ascii="Arial" w:hAnsi="Arial" w:hint="default"/>
      </w:rPr>
    </w:lvl>
    <w:lvl w:ilvl="2" w:tplc="8F1CCB68" w:tentative="1">
      <w:start w:val="1"/>
      <w:numFmt w:val="bullet"/>
      <w:lvlText w:val="»"/>
      <w:lvlJc w:val="left"/>
      <w:pPr>
        <w:tabs>
          <w:tab w:val="num" w:pos="2160"/>
        </w:tabs>
        <w:ind w:left="2160" w:hanging="360"/>
      </w:pPr>
      <w:rPr>
        <w:rFonts w:ascii="Arial" w:hAnsi="Arial" w:hint="default"/>
      </w:rPr>
    </w:lvl>
    <w:lvl w:ilvl="3" w:tplc="ED86C820" w:tentative="1">
      <w:start w:val="1"/>
      <w:numFmt w:val="bullet"/>
      <w:lvlText w:val="»"/>
      <w:lvlJc w:val="left"/>
      <w:pPr>
        <w:tabs>
          <w:tab w:val="num" w:pos="2880"/>
        </w:tabs>
        <w:ind w:left="2880" w:hanging="360"/>
      </w:pPr>
      <w:rPr>
        <w:rFonts w:ascii="Arial" w:hAnsi="Arial" w:hint="default"/>
      </w:rPr>
    </w:lvl>
    <w:lvl w:ilvl="4" w:tplc="04EAF4D8" w:tentative="1">
      <w:start w:val="1"/>
      <w:numFmt w:val="bullet"/>
      <w:lvlText w:val="»"/>
      <w:lvlJc w:val="left"/>
      <w:pPr>
        <w:tabs>
          <w:tab w:val="num" w:pos="3600"/>
        </w:tabs>
        <w:ind w:left="3600" w:hanging="360"/>
      </w:pPr>
      <w:rPr>
        <w:rFonts w:ascii="Arial" w:hAnsi="Arial" w:hint="default"/>
      </w:rPr>
    </w:lvl>
    <w:lvl w:ilvl="5" w:tplc="AB627B96" w:tentative="1">
      <w:start w:val="1"/>
      <w:numFmt w:val="bullet"/>
      <w:lvlText w:val="»"/>
      <w:lvlJc w:val="left"/>
      <w:pPr>
        <w:tabs>
          <w:tab w:val="num" w:pos="4320"/>
        </w:tabs>
        <w:ind w:left="4320" w:hanging="360"/>
      </w:pPr>
      <w:rPr>
        <w:rFonts w:ascii="Arial" w:hAnsi="Arial" w:hint="default"/>
      </w:rPr>
    </w:lvl>
    <w:lvl w:ilvl="6" w:tplc="89E0E7D6" w:tentative="1">
      <w:start w:val="1"/>
      <w:numFmt w:val="bullet"/>
      <w:lvlText w:val="»"/>
      <w:lvlJc w:val="left"/>
      <w:pPr>
        <w:tabs>
          <w:tab w:val="num" w:pos="5040"/>
        </w:tabs>
        <w:ind w:left="5040" w:hanging="360"/>
      </w:pPr>
      <w:rPr>
        <w:rFonts w:ascii="Arial" w:hAnsi="Arial" w:hint="default"/>
      </w:rPr>
    </w:lvl>
    <w:lvl w:ilvl="7" w:tplc="86EC762C" w:tentative="1">
      <w:start w:val="1"/>
      <w:numFmt w:val="bullet"/>
      <w:lvlText w:val="»"/>
      <w:lvlJc w:val="left"/>
      <w:pPr>
        <w:tabs>
          <w:tab w:val="num" w:pos="5760"/>
        </w:tabs>
        <w:ind w:left="5760" w:hanging="360"/>
      </w:pPr>
      <w:rPr>
        <w:rFonts w:ascii="Arial" w:hAnsi="Arial" w:hint="default"/>
      </w:rPr>
    </w:lvl>
    <w:lvl w:ilvl="8" w:tplc="DDDCEDF6" w:tentative="1">
      <w:start w:val="1"/>
      <w:numFmt w:val="bullet"/>
      <w:lvlText w:val="»"/>
      <w:lvlJc w:val="left"/>
      <w:pPr>
        <w:tabs>
          <w:tab w:val="num" w:pos="6480"/>
        </w:tabs>
        <w:ind w:left="6480" w:hanging="360"/>
      </w:pPr>
      <w:rPr>
        <w:rFonts w:ascii="Arial" w:hAnsi="Arial" w:hint="default"/>
      </w:rPr>
    </w:lvl>
  </w:abstractNum>
  <w:abstractNum w:abstractNumId="4">
    <w:nsid w:val="52497E18"/>
    <w:multiLevelType w:val="hybridMultilevel"/>
    <w:tmpl w:val="88CC7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CCE0F91"/>
    <w:multiLevelType w:val="hybridMultilevel"/>
    <w:tmpl w:val="9FB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724155"/>
    <w:multiLevelType w:val="hybridMultilevel"/>
    <w:tmpl w:val="2780C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A309DD"/>
    <w:multiLevelType w:val="hybridMultilevel"/>
    <w:tmpl w:val="245073B8"/>
    <w:lvl w:ilvl="0" w:tplc="FC20238C">
      <w:start w:val="1"/>
      <w:numFmt w:val="bullet"/>
      <w:lvlText w:val="•"/>
      <w:lvlJc w:val="left"/>
      <w:pPr>
        <w:tabs>
          <w:tab w:val="num" w:pos="360"/>
        </w:tabs>
        <w:ind w:left="360" w:hanging="360"/>
      </w:pPr>
      <w:rPr>
        <w:rFonts w:ascii="Arial" w:hAnsi="Arial" w:hint="default"/>
      </w:rPr>
    </w:lvl>
    <w:lvl w:ilvl="1" w:tplc="18B4329C">
      <w:start w:val="1"/>
      <w:numFmt w:val="bullet"/>
      <w:lvlText w:val="•"/>
      <w:lvlJc w:val="left"/>
      <w:pPr>
        <w:tabs>
          <w:tab w:val="num" w:pos="1080"/>
        </w:tabs>
        <w:ind w:left="1080" w:hanging="360"/>
      </w:pPr>
      <w:rPr>
        <w:rFonts w:ascii="Arial" w:hAnsi="Arial" w:hint="default"/>
      </w:rPr>
    </w:lvl>
    <w:lvl w:ilvl="2" w:tplc="E2649BF4" w:tentative="1">
      <w:start w:val="1"/>
      <w:numFmt w:val="bullet"/>
      <w:lvlText w:val="•"/>
      <w:lvlJc w:val="left"/>
      <w:pPr>
        <w:tabs>
          <w:tab w:val="num" w:pos="1800"/>
        </w:tabs>
        <w:ind w:left="1800" w:hanging="360"/>
      </w:pPr>
      <w:rPr>
        <w:rFonts w:ascii="Arial" w:hAnsi="Arial" w:hint="default"/>
      </w:rPr>
    </w:lvl>
    <w:lvl w:ilvl="3" w:tplc="4500953A" w:tentative="1">
      <w:start w:val="1"/>
      <w:numFmt w:val="bullet"/>
      <w:lvlText w:val="•"/>
      <w:lvlJc w:val="left"/>
      <w:pPr>
        <w:tabs>
          <w:tab w:val="num" w:pos="2520"/>
        </w:tabs>
        <w:ind w:left="2520" w:hanging="360"/>
      </w:pPr>
      <w:rPr>
        <w:rFonts w:ascii="Arial" w:hAnsi="Arial" w:hint="default"/>
      </w:rPr>
    </w:lvl>
    <w:lvl w:ilvl="4" w:tplc="464AD8B0" w:tentative="1">
      <w:start w:val="1"/>
      <w:numFmt w:val="bullet"/>
      <w:lvlText w:val="•"/>
      <w:lvlJc w:val="left"/>
      <w:pPr>
        <w:tabs>
          <w:tab w:val="num" w:pos="3240"/>
        </w:tabs>
        <w:ind w:left="3240" w:hanging="360"/>
      </w:pPr>
      <w:rPr>
        <w:rFonts w:ascii="Arial" w:hAnsi="Arial" w:hint="default"/>
      </w:rPr>
    </w:lvl>
    <w:lvl w:ilvl="5" w:tplc="9892A662" w:tentative="1">
      <w:start w:val="1"/>
      <w:numFmt w:val="bullet"/>
      <w:lvlText w:val="•"/>
      <w:lvlJc w:val="left"/>
      <w:pPr>
        <w:tabs>
          <w:tab w:val="num" w:pos="3960"/>
        </w:tabs>
        <w:ind w:left="3960" w:hanging="360"/>
      </w:pPr>
      <w:rPr>
        <w:rFonts w:ascii="Arial" w:hAnsi="Arial" w:hint="default"/>
      </w:rPr>
    </w:lvl>
    <w:lvl w:ilvl="6" w:tplc="978E8C9E" w:tentative="1">
      <w:start w:val="1"/>
      <w:numFmt w:val="bullet"/>
      <w:lvlText w:val="•"/>
      <w:lvlJc w:val="left"/>
      <w:pPr>
        <w:tabs>
          <w:tab w:val="num" w:pos="4680"/>
        </w:tabs>
        <w:ind w:left="4680" w:hanging="360"/>
      </w:pPr>
      <w:rPr>
        <w:rFonts w:ascii="Arial" w:hAnsi="Arial" w:hint="default"/>
      </w:rPr>
    </w:lvl>
    <w:lvl w:ilvl="7" w:tplc="EF54F3B2" w:tentative="1">
      <w:start w:val="1"/>
      <w:numFmt w:val="bullet"/>
      <w:lvlText w:val="•"/>
      <w:lvlJc w:val="left"/>
      <w:pPr>
        <w:tabs>
          <w:tab w:val="num" w:pos="5400"/>
        </w:tabs>
        <w:ind w:left="5400" w:hanging="360"/>
      </w:pPr>
      <w:rPr>
        <w:rFonts w:ascii="Arial" w:hAnsi="Arial" w:hint="default"/>
      </w:rPr>
    </w:lvl>
    <w:lvl w:ilvl="8" w:tplc="7A8E0056" w:tentative="1">
      <w:start w:val="1"/>
      <w:numFmt w:val="bullet"/>
      <w:lvlText w:val="•"/>
      <w:lvlJc w:val="left"/>
      <w:pPr>
        <w:tabs>
          <w:tab w:val="num" w:pos="6120"/>
        </w:tabs>
        <w:ind w:left="6120" w:hanging="360"/>
      </w:pPr>
      <w:rPr>
        <w:rFonts w:ascii="Arial" w:hAnsi="Arial" w:hint="default"/>
      </w:rPr>
    </w:lvl>
  </w:abstractNum>
  <w:abstractNum w:abstractNumId="8">
    <w:nsid w:val="760E455B"/>
    <w:multiLevelType w:val="hybridMultilevel"/>
    <w:tmpl w:val="91D4D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7"/>
  </w:num>
  <w:num w:numId="6">
    <w:abstractNumId w:val="8"/>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FDD"/>
    <w:rsid w:val="000C38DA"/>
    <w:rsid w:val="0014294D"/>
    <w:rsid w:val="00282F06"/>
    <w:rsid w:val="002A78DA"/>
    <w:rsid w:val="003837DD"/>
    <w:rsid w:val="003E2969"/>
    <w:rsid w:val="00405A94"/>
    <w:rsid w:val="005171FC"/>
    <w:rsid w:val="005D39D9"/>
    <w:rsid w:val="008E3E7C"/>
    <w:rsid w:val="00973F65"/>
    <w:rsid w:val="00A721FA"/>
    <w:rsid w:val="00B0491D"/>
    <w:rsid w:val="00B3068B"/>
    <w:rsid w:val="00B36FDD"/>
    <w:rsid w:val="00B76E12"/>
    <w:rsid w:val="00CC075E"/>
    <w:rsid w:val="00F274D0"/>
    <w:rsid w:val="00FC5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FDD"/>
    <w:pPr>
      <w:spacing w:after="200" w:line="276" w:lineRule="auto"/>
    </w:pPr>
    <w:rPr>
      <w:rFonts w:eastAsiaTheme="minorEastAsia"/>
      <w:lang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FDD"/>
    <w:pPr>
      <w:ind w:left="720"/>
      <w:contextualSpacing/>
    </w:pPr>
  </w:style>
  <w:style w:type="table" w:styleId="TableGrid">
    <w:name w:val="Table Grid"/>
    <w:basedOn w:val="TableNormal"/>
    <w:uiPriority w:val="39"/>
    <w:rsid w:val="00B36FD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6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FDD"/>
    <w:rPr>
      <w:rFonts w:ascii="Segoe UI" w:eastAsiaTheme="minorEastAsia" w:hAnsi="Segoe UI" w:cs="Segoe UI"/>
      <w:sz w:val="18"/>
      <w:szCs w:val="18"/>
      <w:lang w:val="hr-HR" w:eastAsia="be-BY"/>
    </w:rPr>
  </w:style>
  <w:style w:type="paragraph" w:styleId="NormalWeb">
    <w:name w:val="Normal (Web)"/>
    <w:basedOn w:val="Normal"/>
    <w:uiPriority w:val="99"/>
    <w:semiHidden/>
    <w:unhideWhenUsed/>
    <w:rsid w:val="00FC5AD7"/>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FDD"/>
    <w:pPr>
      <w:spacing w:after="200" w:line="276" w:lineRule="auto"/>
    </w:pPr>
    <w:rPr>
      <w:rFonts w:eastAsiaTheme="minorEastAsia"/>
      <w:lang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FDD"/>
    <w:pPr>
      <w:ind w:left="720"/>
      <w:contextualSpacing/>
    </w:pPr>
  </w:style>
  <w:style w:type="table" w:styleId="TableGrid">
    <w:name w:val="Table Grid"/>
    <w:basedOn w:val="TableNormal"/>
    <w:uiPriority w:val="39"/>
    <w:rsid w:val="00B36FD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6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FDD"/>
    <w:rPr>
      <w:rFonts w:ascii="Segoe UI" w:eastAsiaTheme="minorEastAsia" w:hAnsi="Segoe UI" w:cs="Segoe UI"/>
      <w:sz w:val="18"/>
      <w:szCs w:val="18"/>
      <w:lang w:val="hr-HR" w:eastAsia="be-BY"/>
    </w:rPr>
  </w:style>
  <w:style w:type="paragraph" w:styleId="NormalWeb">
    <w:name w:val="Normal (Web)"/>
    <w:basedOn w:val="Normal"/>
    <w:uiPriority w:val="99"/>
    <w:semiHidden/>
    <w:unhideWhenUsed/>
    <w:rsid w:val="00FC5AD7"/>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8631">
      <w:bodyDiv w:val="1"/>
      <w:marLeft w:val="0"/>
      <w:marRight w:val="0"/>
      <w:marTop w:val="0"/>
      <w:marBottom w:val="0"/>
      <w:divBdr>
        <w:top w:val="none" w:sz="0" w:space="0" w:color="auto"/>
        <w:left w:val="none" w:sz="0" w:space="0" w:color="auto"/>
        <w:bottom w:val="none" w:sz="0" w:space="0" w:color="auto"/>
        <w:right w:val="none" w:sz="0" w:space="0" w:color="auto"/>
      </w:divBdr>
      <w:divsChild>
        <w:div w:id="160630581">
          <w:marLeft w:val="274"/>
          <w:marRight w:val="0"/>
          <w:marTop w:val="360"/>
          <w:marBottom w:val="0"/>
          <w:divBdr>
            <w:top w:val="none" w:sz="0" w:space="0" w:color="auto"/>
            <w:left w:val="none" w:sz="0" w:space="0" w:color="auto"/>
            <w:bottom w:val="none" w:sz="0" w:space="0" w:color="auto"/>
            <w:right w:val="none" w:sz="0" w:space="0" w:color="auto"/>
          </w:divBdr>
        </w:div>
      </w:divsChild>
    </w:div>
    <w:div w:id="323358370">
      <w:bodyDiv w:val="1"/>
      <w:marLeft w:val="0"/>
      <w:marRight w:val="0"/>
      <w:marTop w:val="0"/>
      <w:marBottom w:val="0"/>
      <w:divBdr>
        <w:top w:val="none" w:sz="0" w:space="0" w:color="auto"/>
        <w:left w:val="none" w:sz="0" w:space="0" w:color="auto"/>
        <w:bottom w:val="none" w:sz="0" w:space="0" w:color="auto"/>
        <w:right w:val="none" w:sz="0" w:space="0" w:color="auto"/>
      </w:divBdr>
    </w:div>
    <w:div w:id="491261563">
      <w:bodyDiv w:val="1"/>
      <w:marLeft w:val="0"/>
      <w:marRight w:val="0"/>
      <w:marTop w:val="0"/>
      <w:marBottom w:val="0"/>
      <w:divBdr>
        <w:top w:val="none" w:sz="0" w:space="0" w:color="auto"/>
        <w:left w:val="none" w:sz="0" w:space="0" w:color="auto"/>
        <w:bottom w:val="none" w:sz="0" w:space="0" w:color="auto"/>
        <w:right w:val="none" w:sz="0" w:space="0" w:color="auto"/>
      </w:divBdr>
      <w:divsChild>
        <w:div w:id="1088692187">
          <w:marLeft w:val="274"/>
          <w:marRight w:val="0"/>
          <w:marTop w:val="120"/>
          <w:marBottom w:val="0"/>
          <w:divBdr>
            <w:top w:val="none" w:sz="0" w:space="0" w:color="auto"/>
            <w:left w:val="none" w:sz="0" w:space="0" w:color="auto"/>
            <w:bottom w:val="none" w:sz="0" w:space="0" w:color="auto"/>
            <w:right w:val="none" w:sz="0" w:space="0" w:color="auto"/>
          </w:divBdr>
        </w:div>
        <w:div w:id="44378652">
          <w:marLeft w:val="274"/>
          <w:marRight w:val="0"/>
          <w:marTop w:val="120"/>
          <w:marBottom w:val="0"/>
          <w:divBdr>
            <w:top w:val="none" w:sz="0" w:space="0" w:color="auto"/>
            <w:left w:val="none" w:sz="0" w:space="0" w:color="auto"/>
            <w:bottom w:val="none" w:sz="0" w:space="0" w:color="auto"/>
            <w:right w:val="none" w:sz="0" w:space="0" w:color="auto"/>
          </w:divBdr>
        </w:div>
        <w:div w:id="1934704922">
          <w:marLeft w:val="806"/>
          <w:marRight w:val="0"/>
          <w:marTop w:val="0"/>
          <w:marBottom w:val="0"/>
          <w:divBdr>
            <w:top w:val="none" w:sz="0" w:space="0" w:color="auto"/>
            <w:left w:val="none" w:sz="0" w:space="0" w:color="auto"/>
            <w:bottom w:val="none" w:sz="0" w:space="0" w:color="auto"/>
            <w:right w:val="none" w:sz="0" w:space="0" w:color="auto"/>
          </w:divBdr>
        </w:div>
        <w:div w:id="24211527">
          <w:marLeft w:val="806"/>
          <w:marRight w:val="0"/>
          <w:marTop w:val="0"/>
          <w:marBottom w:val="0"/>
          <w:divBdr>
            <w:top w:val="none" w:sz="0" w:space="0" w:color="auto"/>
            <w:left w:val="none" w:sz="0" w:space="0" w:color="auto"/>
            <w:bottom w:val="none" w:sz="0" w:space="0" w:color="auto"/>
            <w:right w:val="none" w:sz="0" w:space="0" w:color="auto"/>
          </w:divBdr>
        </w:div>
        <w:div w:id="877280119">
          <w:marLeft w:val="806"/>
          <w:marRight w:val="0"/>
          <w:marTop w:val="0"/>
          <w:marBottom w:val="0"/>
          <w:divBdr>
            <w:top w:val="none" w:sz="0" w:space="0" w:color="auto"/>
            <w:left w:val="none" w:sz="0" w:space="0" w:color="auto"/>
            <w:bottom w:val="none" w:sz="0" w:space="0" w:color="auto"/>
            <w:right w:val="none" w:sz="0" w:space="0" w:color="auto"/>
          </w:divBdr>
        </w:div>
        <w:div w:id="544804045">
          <w:marLeft w:val="806"/>
          <w:marRight w:val="0"/>
          <w:marTop w:val="0"/>
          <w:marBottom w:val="0"/>
          <w:divBdr>
            <w:top w:val="none" w:sz="0" w:space="0" w:color="auto"/>
            <w:left w:val="none" w:sz="0" w:space="0" w:color="auto"/>
            <w:bottom w:val="none" w:sz="0" w:space="0" w:color="auto"/>
            <w:right w:val="none" w:sz="0" w:space="0" w:color="auto"/>
          </w:divBdr>
        </w:div>
        <w:div w:id="72899493">
          <w:marLeft w:val="274"/>
          <w:marRight w:val="0"/>
          <w:marTop w:val="120"/>
          <w:marBottom w:val="0"/>
          <w:divBdr>
            <w:top w:val="none" w:sz="0" w:space="0" w:color="auto"/>
            <w:left w:val="none" w:sz="0" w:space="0" w:color="auto"/>
            <w:bottom w:val="none" w:sz="0" w:space="0" w:color="auto"/>
            <w:right w:val="none" w:sz="0" w:space="0" w:color="auto"/>
          </w:divBdr>
        </w:div>
        <w:div w:id="648443666">
          <w:marLeft w:val="806"/>
          <w:marRight w:val="0"/>
          <w:marTop w:val="0"/>
          <w:marBottom w:val="0"/>
          <w:divBdr>
            <w:top w:val="none" w:sz="0" w:space="0" w:color="auto"/>
            <w:left w:val="none" w:sz="0" w:space="0" w:color="auto"/>
            <w:bottom w:val="none" w:sz="0" w:space="0" w:color="auto"/>
            <w:right w:val="none" w:sz="0" w:space="0" w:color="auto"/>
          </w:divBdr>
        </w:div>
        <w:div w:id="2117750080">
          <w:marLeft w:val="806"/>
          <w:marRight w:val="0"/>
          <w:marTop w:val="0"/>
          <w:marBottom w:val="0"/>
          <w:divBdr>
            <w:top w:val="none" w:sz="0" w:space="0" w:color="auto"/>
            <w:left w:val="none" w:sz="0" w:space="0" w:color="auto"/>
            <w:bottom w:val="none" w:sz="0" w:space="0" w:color="auto"/>
            <w:right w:val="none" w:sz="0" w:space="0" w:color="auto"/>
          </w:divBdr>
        </w:div>
        <w:div w:id="239407466">
          <w:marLeft w:val="806"/>
          <w:marRight w:val="0"/>
          <w:marTop w:val="0"/>
          <w:marBottom w:val="0"/>
          <w:divBdr>
            <w:top w:val="none" w:sz="0" w:space="0" w:color="auto"/>
            <w:left w:val="none" w:sz="0" w:space="0" w:color="auto"/>
            <w:bottom w:val="none" w:sz="0" w:space="0" w:color="auto"/>
            <w:right w:val="none" w:sz="0" w:space="0" w:color="auto"/>
          </w:divBdr>
        </w:div>
      </w:divsChild>
    </w:div>
    <w:div w:id="183595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4034</Words>
  <Characters>25696</Characters>
  <Application>Microsoft Office Word</Application>
  <DocSecurity>0</DocSecurity>
  <Lines>466</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Nikulina</dc:creator>
  <cp:keywords/>
  <dc:description/>
  <cp:lastModifiedBy>Assia Barić</cp:lastModifiedBy>
  <cp:revision>4</cp:revision>
  <dcterms:created xsi:type="dcterms:W3CDTF">2018-06-28T06:36:00Z</dcterms:created>
  <dcterms:modified xsi:type="dcterms:W3CDTF">2018-07-06T14:15:00Z</dcterms:modified>
</cp:coreProperties>
</file>