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AE31" w14:textId="0F1E6E5B" w:rsidR="00E32ACF" w:rsidRDefault="00F5737E" w:rsidP="00F5737E">
      <w:pPr>
        <w:jc w:val="center"/>
        <w:rPr>
          <w:sz w:val="28"/>
          <w:szCs w:val="28"/>
        </w:rPr>
      </w:pPr>
      <w:bookmarkStart w:id="0" w:name="_GoBack"/>
      <w:bookmarkEnd w:id="0"/>
      <w:r>
        <w:rPr>
          <w:sz w:val="28"/>
          <w:szCs w:val="28"/>
        </w:rPr>
        <w:t>Plenarna sjednica Zajednice prakse za riznicu PEMPAL-a 2018.</w:t>
      </w:r>
      <w:r>
        <w:rPr>
          <w:sz w:val="28"/>
          <w:szCs w:val="28"/>
        </w:rPr>
        <w:br/>
      </w:r>
    </w:p>
    <w:p w14:paraId="61977717" w14:textId="2C879D00" w:rsidR="00F5737E" w:rsidRPr="00E32ACF" w:rsidRDefault="00F5737E" w:rsidP="00F5737E">
      <w:pPr>
        <w:jc w:val="center"/>
        <w:rPr>
          <w:b/>
          <w:sz w:val="28"/>
          <w:szCs w:val="28"/>
        </w:rPr>
      </w:pPr>
      <w:r>
        <w:rPr>
          <w:b/>
          <w:sz w:val="28"/>
          <w:szCs w:val="28"/>
        </w:rPr>
        <w:t xml:space="preserve"> Monitoring učinka riznice</w:t>
      </w:r>
    </w:p>
    <w:p w14:paraId="17AF2616" w14:textId="77777777" w:rsidR="00F37428" w:rsidRDefault="00F37428" w:rsidP="00F37428">
      <w:pPr>
        <w:jc w:val="center"/>
        <w:rPr>
          <w:sz w:val="28"/>
          <w:szCs w:val="28"/>
        </w:rPr>
      </w:pPr>
    </w:p>
    <w:p w14:paraId="3A7E411C" w14:textId="1894989B" w:rsidR="00F37428" w:rsidRPr="00F37428" w:rsidRDefault="00F37428" w:rsidP="00F37428">
      <w:pPr>
        <w:jc w:val="center"/>
        <w:rPr>
          <w:u w:val="single"/>
        </w:rPr>
      </w:pPr>
      <w:r>
        <w:rPr>
          <w:u w:val="single"/>
        </w:rPr>
        <w:t xml:space="preserve">Sažetak prijedloga </w:t>
      </w:r>
    </w:p>
    <w:p w14:paraId="0AC0A279" w14:textId="77777777" w:rsidR="00F5737E" w:rsidRDefault="00F5737E" w:rsidP="00F5737E"/>
    <w:p w14:paraId="1B25ABC4" w14:textId="77777777" w:rsidR="00F5737E" w:rsidRDefault="00F5737E" w:rsidP="00F5737E"/>
    <w:p w14:paraId="6C46F962" w14:textId="79517617" w:rsidR="00F5737E" w:rsidRPr="00EE2A35" w:rsidRDefault="00F5737E" w:rsidP="00F5737E">
      <w:r>
        <w:rPr>
          <w:b/>
        </w:rPr>
        <w:t>Mjesto održavanja:</w:t>
      </w:r>
      <w:r>
        <w:t xml:space="preserve"> Tirana, Albanija</w:t>
      </w:r>
    </w:p>
    <w:p w14:paraId="79DA06D4" w14:textId="0FD47F38" w:rsidR="00F5737E" w:rsidRPr="00EE2A35" w:rsidRDefault="00F5737E" w:rsidP="00F5737E">
      <w:pPr>
        <w:jc w:val="both"/>
      </w:pPr>
      <w:r>
        <w:rPr>
          <w:b/>
        </w:rPr>
        <w:t>Datumi:</w:t>
      </w:r>
      <w:r>
        <w:t xml:space="preserve"> 21. – 23. svibnja 2018. </w:t>
      </w:r>
    </w:p>
    <w:p w14:paraId="3C44F850" w14:textId="77777777" w:rsidR="00F5737E" w:rsidRDefault="00F5737E" w:rsidP="00F5737E">
      <w:pPr>
        <w:jc w:val="both"/>
      </w:pPr>
    </w:p>
    <w:p w14:paraId="6D913CA0" w14:textId="77777777" w:rsidR="00CB7E95" w:rsidRPr="00EE2A35" w:rsidRDefault="00CB7E95" w:rsidP="00F5737E">
      <w:pPr>
        <w:jc w:val="both"/>
      </w:pPr>
    </w:p>
    <w:p w14:paraId="3CF6F44C" w14:textId="77777777" w:rsidR="00F5737E" w:rsidRPr="00EE2A35" w:rsidRDefault="00F5737E" w:rsidP="00F5737E">
      <w:pPr>
        <w:jc w:val="both"/>
      </w:pPr>
      <w:r>
        <w:rPr>
          <w:b/>
        </w:rPr>
        <w:t xml:space="preserve">Pozadina </w:t>
      </w:r>
    </w:p>
    <w:p w14:paraId="40D3D121" w14:textId="5B592F07" w:rsidR="003B47DA" w:rsidRDefault="00F5737E" w:rsidP="00F5737E">
      <w:pPr>
        <w:spacing w:before="240" w:after="240" w:line="276" w:lineRule="auto"/>
        <w:jc w:val="both"/>
      </w:pPr>
      <w:r>
        <w:t xml:space="preserve">Glavni je cilj programa PEMPAL jačati profesionalne vještine stručnjaka za javne financije u državama članicama te ih podržati u provedbi različitih aspekata reformi njihovih nacionalnih sustava upravljanja javnim financijama. Glavni alati kojima se program koristi kako bi ostvario taj cilj razmjena su iskustva i prijenos znanja među tim stručnjacima. Rad PEMPAL-a organiziran je među tri tematske zajednice prakse (Zajednice prakse za proračun, Zajednice prakse za riznicu, Zajednice prakse za unutarnju reviziju).  </w:t>
      </w:r>
    </w:p>
    <w:p w14:paraId="6906DC47" w14:textId="2D8494DE" w:rsidR="00F5737E" w:rsidRDefault="00F37428" w:rsidP="00F5737E">
      <w:pPr>
        <w:spacing w:before="240" w:after="240" w:line="276" w:lineRule="auto"/>
        <w:jc w:val="both"/>
      </w:pPr>
      <w:r>
        <w:t xml:space="preserve">Trenutačni su članovi Zajednice prakse za riznicu (TCOP) PEMPAL-a predstavnici nacionalnih riznica i ministarstava financija 21 zemlje iz regije Europe i srednje Azije. Plan aktivnosti Zajednice prakse utvrđuje Izvršni odbor koji je sastavljen od dobrovoljaca iz zemalja sudionica. Plenarne sjednice TCOP-a održavaju se jednom godišnje kao dio plana aktivnosti Zajednice prakse. Teme plenarne sjednice određuju se anketiranjem članova tijekom plenarnih sjednica.       </w:t>
      </w:r>
    </w:p>
    <w:p w14:paraId="638A588D" w14:textId="41CA332A" w:rsidR="00B754F2" w:rsidRDefault="003B47DA" w:rsidP="00F5737E">
      <w:pPr>
        <w:spacing w:after="240" w:line="276" w:lineRule="auto"/>
        <w:jc w:val="both"/>
      </w:pPr>
      <w:r>
        <w:t xml:space="preserve">Nakon zadnje provedbe ankete među članovima, TCOP je utvrdio kako je područje monitoringa učinka od ključnog interesa za članove zajednice prakse te je odlučio posvetiti svoju sljedeću plenarnu sjednicu toj temi. Dok se o toj temi raspravljalo na nekim ranijim skupovima zajednice prakse, ovo će biti prva prilika da se TCOP sustavno pozabavi tom temom. </w:t>
      </w:r>
    </w:p>
    <w:p w14:paraId="1B7FECB7" w14:textId="37897DA6" w:rsidR="00F5737E" w:rsidRPr="00463964" w:rsidRDefault="00B754F2" w:rsidP="0056547A">
      <w:pPr>
        <w:spacing w:after="240" w:line="276" w:lineRule="auto"/>
        <w:jc w:val="both"/>
      </w:pPr>
      <w:r>
        <w:t xml:space="preserve">Sve veća usmjerenost na učinak u upravljanju javnim financijama opći je trend u zemljama članicama PEMPAL-a. Mnoge zemlje imaju strategije za reformu PFM-a i/ili akcijske planove koji obuhvaćaju funkcije riznice. U mnogim su slučajevima ti dokumenti sastavljeni i njihova se provedba prati uz potporu razvojnih partnera. U tom kontekstu mnoge zemlje imaju iskustva i s različitim ocjenama učinka PFM-a. Stupanj razvoja internih sustava monitoringa učinka razlikuje se među zemljama, ali istodobno postoji i velik interes za učenje o razvoju takvih sustava iz iskustava kolega. Članovi TCOP-a posebno su zainteresirani za istraživanje ključnih pokazatelja učinka i alata koji bi se mogli upotrijebiti za monitoring učinka ključnih funkcija koje obavljaju institucije nacionalnih riznica, uključujući upravljanje državnim računima, procese plaćanja i kontrole izvršenja proračuna, upravljanje novcem, konsolidirane financijske izvještaje, upravljanje informacijskim sustavima za financijsko upravljanje. </w:t>
      </w:r>
    </w:p>
    <w:p w14:paraId="0CA563FC" w14:textId="77777777" w:rsidR="00E32ACF" w:rsidRDefault="00E32ACF" w:rsidP="00F5737E">
      <w:pPr>
        <w:spacing w:after="240"/>
        <w:jc w:val="both"/>
        <w:rPr>
          <w:b/>
        </w:rPr>
      </w:pPr>
    </w:p>
    <w:p w14:paraId="15A8DCDC" w14:textId="699ED02E" w:rsidR="00F5737E" w:rsidRPr="00EE2A35" w:rsidRDefault="00F5737E" w:rsidP="00F5737E">
      <w:pPr>
        <w:spacing w:after="240"/>
        <w:jc w:val="both"/>
        <w:rPr>
          <w:b/>
        </w:rPr>
      </w:pPr>
      <w:r>
        <w:rPr>
          <w:b/>
        </w:rPr>
        <w:t>Ciljevi</w:t>
      </w:r>
    </w:p>
    <w:p w14:paraId="0A2D9621" w14:textId="49C51322" w:rsidR="00F5737E" w:rsidRPr="00877DAF" w:rsidRDefault="00F5737E" w:rsidP="00F5737E">
      <w:pPr>
        <w:spacing w:after="240" w:line="276" w:lineRule="auto"/>
        <w:jc w:val="both"/>
      </w:pPr>
      <w:r>
        <w:t xml:space="preserve">Glavni cilj godišnje plenarne sjednice TCOP-a u Tirani jest poboljšati razumijevanje pristupa monitoringu učinka te razmijeniti ideje i iskustva o tome kako bi se oni mogli primijeniti u ključnim funkcijama nacionalne riznice u zemljama sudionicama. Na skupu će se također pregledati rezultati aktivnosti TCOP-a tijekom protekle godine i ažurirat će se srednjoročni strateški plan zajednice prakse za buduće razdoblje.   </w:t>
      </w:r>
    </w:p>
    <w:p w14:paraId="11E517EE" w14:textId="77777777" w:rsidR="00F5737E" w:rsidRPr="00976312" w:rsidRDefault="00F5737E" w:rsidP="00F5737E">
      <w:pPr>
        <w:spacing w:after="240"/>
        <w:jc w:val="both"/>
        <w:rPr>
          <w:b/>
        </w:rPr>
      </w:pPr>
      <w:r>
        <w:rPr>
          <w:b/>
        </w:rPr>
        <w:t>Sadržaj</w:t>
      </w:r>
    </w:p>
    <w:p w14:paraId="37F45D63" w14:textId="7EB405AF" w:rsidR="006C3708" w:rsidRDefault="006C3708" w:rsidP="006C3708">
      <w:pPr>
        <w:spacing w:after="240" w:line="276" w:lineRule="auto"/>
        <w:jc w:val="both"/>
      </w:pPr>
      <w:r>
        <w:t xml:space="preserve">U skladu s dugogodišnjom praksom TCOP-a sjednice se temelje na dogovorima postignutim s domaćinima. Sjednica će započeti izlaganjima albanskog Ministarstva financija i ekonomije o postojećim mehanizmima za monitoring učinka ključnih funkcija. Naglasak će biti na funkcijama koje su u izravnoj nadležnosti Uprave za riznicu, kao i na onima koje su usko povezane s funkcijama riznice. Dnevni red će započeti pregledom albanske Strategije za upravljanje javnim financijama i postojećih mehanizama za monitoring njezine provedbe. Nakon toga će uslijediti izlaganja predstavnika glavnih uprava za riznicu; za usklađivanje unutarnjih financijskih kontrola u javnom sektoru, za proračun i za upravljanje dugom. Naglasak izlaganja bit će na ključnim pokazateljima učinka i alatima za monitoring učinka odabranih funkcija i procesa na različitim razinama. Prvi će dan završiti grupnom raspravom  o izlaganjima domaćina s naglaskom na lekcije koje se mogu primijeniti na druge zemlje sudionice.  </w:t>
      </w:r>
    </w:p>
    <w:p w14:paraId="48AC402D" w14:textId="45BB0371" w:rsidR="006C3708" w:rsidRDefault="006C3708" w:rsidP="006C3708">
      <w:pPr>
        <w:spacing w:after="240" w:line="276" w:lineRule="auto"/>
        <w:jc w:val="both"/>
      </w:pPr>
      <w:r>
        <w:t xml:space="preserve">Drugi će dan biti posvećen raspravama o zemlji članici i međunarodnom iskustvu u monitoringu učinka riznice. Dan će započeti izlaganjima resursnih stručnjaka o modernim pristupima i alatima koje upotrebljavaju institucije PFM-a za upravljanje učinkom u razvijenim zemljama i najnovijim okvirom PEFA-e kao međunarodno priznatog alata za ocjenu učinka PFM-a  Nakon toga će uslijediti izlaganja zemalja sudionica o tome kako je monitoring učinka ključnih funkcija organiziran u nacionalnim institucijama riznice. Druga polovica drugog dana bit će posvećena daljnjim grupnim raspravama  na tu temu. Grupe će raspraviti o važnim porukama iz tematskih izlaganja i rasprava, uključujući naglašavanje problema, izazova i mogućih rješenja. Svaka će grupa izraditi sažetak ključnih poruka u prezentaciji u PowerPointu. </w:t>
      </w:r>
    </w:p>
    <w:p w14:paraId="5082F44E" w14:textId="0AD46E89" w:rsidR="00F5737E" w:rsidRDefault="006C3708" w:rsidP="00F5737E">
      <w:pPr>
        <w:spacing w:after="240" w:line="276" w:lineRule="auto"/>
        <w:jc w:val="both"/>
      </w:pPr>
      <w:r>
        <w:t>Treći će dan započeti izvještajem o grupnim raspravama  od drugog dana. Preostali dio trećeg dana bit će posvećen pregledu rezultata aktivnosti zajednice prakse tijekom protekle godine i najnovijim informacijama o srednjoročnom strateškom planu zajednice prakse za sljedeće razdoblje.</w:t>
      </w:r>
    </w:p>
    <w:p w14:paraId="0B71A35D" w14:textId="20082007" w:rsidR="00F5737E" w:rsidRDefault="00F102C8" w:rsidP="00F5737E">
      <w:pPr>
        <w:spacing w:after="240" w:line="276" w:lineRule="auto"/>
        <w:jc w:val="both"/>
      </w:pPr>
      <w:r>
        <w:t xml:space="preserve">Sve će zemlje članice biti pozvane na sastanak u Tirani. Ukupan broj sudionika koji se očekuje jest oko 65, uključujući stručnjake i pozvane govornike. Sastanak će biti vrlo neformalnog oblika u svrhu poticanja rasprave i sudjelovanja predstavnika zemalja. Radni jezici skupa bit će ruski, engleski i bosansko-hrvatsko-srpski te će biti osigurano simultano prevođenje. </w:t>
      </w:r>
    </w:p>
    <w:p w14:paraId="2194E1E8" w14:textId="00A444F3" w:rsidR="00F5737E" w:rsidRDefault="00F5737E" w:rsidP="00F5737E">
      <w:pPr>
        <w:spacing w:after="240" w:line="276" w:lineRule="auto"/>
        <w:jc w:val="both"/>
      </w:pPr>
      <w:r>
        <w:t xml:space="preserve">Pripremu i provedbu ovog skupa omogućuje tim za resurse Svjetske banke u suradnji s TCOP-om, uključujući Elenu Nikulinu, voditeljicu tima za program PEMPAL-a i Marka Silinsa, tematskog savjetnika Zajednice prakse za riznicu. </w:t>
      </w:r>
    </w:p>
    <w:p w14:paraId="5476054A" w14:textId="77777777" w:rsidR="00EC1441" w:rsidRDefault="00EC1441" w:rsidP="00EC1441">
      <w:pPr>
        <w:spacing w:after="240" w:line="276" w:lineRule="auto"/>
        <w:rPr>
          <w:lang w:eastAsia="sl-SI"/>
        </w:rPr>
      </w:pPr>
    </w:p>
    <w:p w14:paraId="07084EEA" w14:textId="4EB5DD38" w:rsidR="006F267E" w:rsidRPr="00625319" w:rsidRDefault="00F5737E" w:rsidP="00EC1441">
      <w:pPr>
        <w:spacing w:after="240" w:line="276" w:lineRule="auto"/>
        <w:jc w:val="center"/>
      </w:pPr>
      <w:r>
        <w:t>PRELIMINARNI DNEVNI RED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00"/>
      </w:tblGrid>
      <w:tr w:rsidR="007C41B3" w14:paraId="5CC98CDF"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0A6B77" w14:textId="77777777" w:rsidR="007C41B3" w:rsidRDefault="007C41B3">
            <w:pPr>
              <w:rPr>
                <w:rFonts w:cs="Calibri"/>
                <w:color w:val="000000"/>
                <w:sz w:val="32"/>
                <w:szCs w:val="32"/>
              </w:rPr>
            </w:pPr>
            <w:r>
              <w:rPr>
                <w:b/>
                <w:color w:val="000000"/>
                <w:sz w:val="32"/>
                <w:szCs w:val="32"/>
                <w:u w:val="single"/>
              </w:rPr>
              <w:t xml:space="preserve">20. svibnja  </w:t>
            </w:r>
          </w:p>
        </w:tc>
      </w:tr>
      <w:tr w:rsidR="007C41B3" w14:paraId="6421852A" w14:textId="77777777" w:rsidTr="007C41B3">
        <w:tc>
          <w:tcPr>
            <w:tcW w:w="1728" w:type="dxa"/>
            <w:tcBorders>
              <w:top w:val="single" w:sz="4" w:space="0" w:color="auto"/>
              <w:left w:val="single" w:sz="4" w:space="0" w:color="auto"/>
              <w:bottom w:val="single" w:sz="4" w:space="0" w:color="auto"/>
              <w:right w:val="single" w:sz="4" w:space="0" w:color="auto"/>
            </w:tcBorders>
            <w:hideMark/>
          </w:tcPr>
          <w:p w14:paraId="592C0EB5" w14:textId="19435AE3" w:rsidR="007C41B3" w:rsidRDefault="007C41B3">
            <w:pPr>
              <w:jc w:val="center"/>
              <w:rPr>
                <w:rFonts w:cs="Calibri"/>
                <w:color w:val="0070C0"/>
              </w:rPr>
            </w:pPr>
            <w:r>
              <w:rPr>
                <w:color w:val="000000"/>
              </w:rPr>
              <w:t xml:space="preserve">          </w:t>
            </w:r>
          </w:p>
        </w:tc>
        <w:tc>
          <w:tcPr>
            <w:tcW w:w="8100" w:type="dxa"/>
            <w:tcBorders>
              <w:top w:val="single" w:sz="4" w:space="0" w:color="auto"/>
              <w:left w:val="single" w:sz="4" w:space="0" w:color="auto"/>
              <w:bottom w:val="single" w:sz="4" w:space="0" w:color="auto"/>
              <w:right w:val="single" w:sz="4" w:space="0" w:color="auto"/>
            </w:tcBorders>
            <w:hideMark/>
          </w:tcPr>
          <w:p w14:paraId="0A3D137E" w14:textId="65BB34BF" w:rsidR="007C41B3" w:rsidRDefault="007A1A62">
            <w:pPr>
              <w:rPr>
                <w:rFonts w:cs="Calibri"/>
                <w:i/>
                <w:color w:val="0070C0"/>
              </w:rPr>
            </w:pPr>
            <w:r>
              <w:rPr>
                <w:color w:val="000000"/>
              </w:rPr>
              <w:t>Prijem dobrodošlice</w:t>
            </w:r>
          </w:p>
        </w:tc>
      </w:tr>
      <w:tr w:rsidR="007C41B3" w14:paraId="651FF0FA"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D9D9D9"/>
          </w:tcPr>
          <w:p w14:paraId="74FE8587" w14:textId="77777777" w:rsidR="007C41B3" w:rsidRDefault="007C41B3">
            <w:pPr>
              <w:rPr>
                <w:rFonts w:cs="Calibri"/>
                <w:b/>
                <w:color w:val="000000"/>
                <w:sz w:val="32"/>
                <w:szCs w:val="32"/>
                <w:u w:val="single"/>
              </w:rPr>
            </w:pPr>
          </w:p>
          <w:p w14:paraId="6355941C" w14:textId="77777777" w:rsidR="007C41B3" w:rsidRDefault="007C41B3" w:rsidP="0056547A">
            <w:pPr>
              <w:spacing w:after="240"/>
              <w:rPr>
                <w:rFonts w:cs="Calibri"/>
                <w:color w:val="000000"/>
                <w:sz w:val="32"/>
                <w:szCs w:val="32"/>
              </w:rPr>
            </w:pPr>
            <w:r>
              <w:rPr>
                <w:b/>
                <w:color w:val="000000"/>
                <w:sz w:val="32"/>
                <w:szCs w:val="32"/>
                <w:u w:val="single"/>
              </w:rPr>
              <w:t xml:space="preserve">21. svibnja – 1. dan </w:t>
            </w:r>
          </w:p>
        </w:tc>
      </w:tr>
      <w:tr w:rsidR="007C41B3" w14:paraId="62CDAC0B"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99C84CB" w14:textId="521C80A0" w:rsidR="007C41B3" w:rsidRDefault="007A1A62">
            <w:pPr>
              <w:jc w:val="center"/>
              <w:rPr>
                <w:rFonts w:cs="Calibri"/>
              </w:rPr>
            </w:pPr>
            <w:r>
              <w:t xml:space="preserve">Tematski blok 1.       </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2433659B" w14:textId="40F1FD3B" w:rsidR="007C41B3" w:rsidRPr="0056547A" w:rsidRDefault="007C41B3" w:rsidP="0056547A">
            <w:pPr>
              <w:tabs>
                <w:tab w:val="left" w:pos="720"/>
              </w:tabs>
              <w:spacing w:after="240"/>
              <w:rPr>
                <w:rFonts w:cs="Calibri"/>
              </w:rPr>
            </w:pPr>
            <w:r>
              <w:t>Dobrodošlica, uvodni govori</w:t>
            </w:r>
          </w:p>
        </w:tc>
      </w:tr>
      <w:tr w:rsidR="007C41B3" w14:paraId="27CB45FE"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4397D54" w14:textId="698396C7" w:rsidR="007C41B3" w:rsidRDefault="007C41B3">
            <w:pPr>
              <w:jc w:val="center"/>
              <w:rPr>
                <w:rFonts w:cs="Calibri"/>
              </w:rPr>
            </w:pPr>
            <w: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0C89F0E3" w14:textId="480264B2" w:rsidR="007C41B3" w:rsidRDefault="007C41B3">
            <w:pPr>
              <w:rPr>
                <w:rFonts w:cs="Calibri"/>
              </w:rPr>
            </w:pPr>
            <w:r>
              <w:rPr>
                <w:b/>
              </w:rPr>
              <w:t>Pokazatelji monitoringa reforme PFM-a u Albaniji</w:t>
            </w:r>
            <w:r>
              <w:t xml:space="preserve"> </w:t>
            </w:r>
          </w:p>
          <w:p w14:paraId="22EAE120" w14:textId="2DA3F6A0" w:rsidR="007C41B3" w:rsidRDefault="007C41B3" w:rsidP="0056547A">
            <w:pPr>
              <w:spacing w:after="240"/>
              <w:rPr>
                <w:rFonts w:cs="Calibri"/>
              </w:rPr>
            </w:pPr>
            <w:r>
              <w:t>Uprava za upravljanje reformama u upravljanju javnim financijama</w:t>
            </w:r>
          </w:p>
        </w:tc>
      </w:tr>
      <w:tr w:rsidR="007C41B3" w14:paraId="4D9DE2A2"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C48F20C" w14:textId="1EB8561F" w:rsidR="007C41B3" w:rsidRDefault="007C41B3">
            <w:pPr>
              <w:jc w:val="center"/>
              <w:rPr>
                <w:rFonts w:cs="Calibri"/>
                <w:lang w:val="ro-RO"/>
              </w:rPr>
            </w:pP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557A88DB" w14:textId="7784EDA3" w:rsidR="007C41B3" w:rsidRDefault="007C41B3">
            <w:pPr>
              <w:rPr>
                <w:rFonts w:cs="Calibri"/>
                <w:i/>
                <w:color w:val="548DD4"/>
              </w:rPr>
            </w:pPr>
            <w:r>
              <w:rPr>
                <w:b/>
                <w:color w:val="000000"/>
              </w:rPr>
              <w:t>Pokazatelji učinka PIFC-a</w:t>
            </w:r>
            <w:r>
              <w:rPr>
                <w:color w:val="000000"/>
              </w:rPr>
              <w:t xml:space="preserve"> </w:t>
            </w:r>
          </w:p>
          <w:p w14:paraId="58E112DF" w14:textId="4E39EC29" w:rsidR="007C41B3" w:rsidRDefault="007C41B3" w:rsidP="0056547A">
            <w:pPr>
              <w:spacing w:after="240"/>
              <w:rPr>
                <w:rFonts w:cs="Calibri"/>
              </w:rPr>
            </w:pPr>
            <w:r>
              <w:rPr>
                <w:color w:val="000000"/>
              </w:rPr>
              <w:t>Glavna uprava za usklađivanje unutarnjih financijskih kontrola u javnom sektoru</w:t>
            </w:r>
          </w:p>
        </w:tc>
      </w:tr>
      <w:tr w:rsidR="007C41B3" w14:paraId="43DB303F"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9E1BEFD" w14:textId="184ECC94" w:rsidR="007C41B3" w:rsidRDefault="007A1A62">
            <w:pPr>
              <w:jc w:val="center"/>
              <w:rPr>
                <w:rFonts w:cs="Calibri"/>
              </w:rPr>
            </w:pPr>
            <w:r>
              <w:t xml:space="preserve">Tematski blok 2.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5468C627" w14:textId="14212BA6" w:rsidR="007C41B3" w:rsidRDefault="007C41B3">
            <w:pPr>
              <w:jc w:val="both"/>
              <w:rPr>
                <w:rFonts w:cs="Calibri"/>
              </w:rPr>
            </w:pPr>
            <w:r>
              <w:rPr>
                <w:b/>
              </w:rPr>
              <w:t>Pokazatelji učinka riznice</w:t>
            </w:r>
            <w:r>
              <w:t xml:space="preserve"> </w:t>
            </w:r>
          </w:p>
          <w:p w14:paraId="0CE4E2BD" w14:textId="1F25B989" w:rsidR="007C41B3" w:rsidRDefault="007C41B3" w:rsidP="0056547A">
            <w:pPr>
              <w:spacing w:after="240"/>
              <w:ind w:left="74"/>
              <w:jc w:val="both"/>
              <w:rPr>
                <w:rFonts w:cs="Calibri"/>
              </w:rPr>
            </w:pPr>
            <w:r>
              <w:t xml:space="preserve">Glavna uprava za riznicu </w:t>
            </w:r>
          </w:p>
        </w:tc>
      </w:tr>
      <w:tr w:rsidR="007C41B3" w14:paraId="176CBA38"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7F1ECA0" w14:textId="3F2E583C" w:rsidR="007C41B3" w:rsidRDefault="007C41B3">
            <w:pPr>
              <w:jc w:val="center"/>
              <w:rPr>
                <w:rFonts w:cs="Calibri"/>
              </w:rPr>
            </w:pPr>
            <w: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21CF60F4" w14:textId="77777777" w:rsidR="008721EF" w:rsidRDefault="007C41B3" w:rsidP="0056547A">
            <w:pPr>
              <w:rPr>
                <w:rFonts w:cs="Calibri"/>
                <w:color w:val="000000"/>
              </w:rPr>
            </w:pPr>
            <w:r>
              <w:rPr>
                <w:b/>
                <w:color w:val="000000"/>
              </w:rPr>
              <w:t>Pokazatelji računovodstvene reforme u javnom sektoru</w:t>
            </w:r>
          </w:p>
          <w:p w14:paraId="769D9BBE" w14:textId="01A49406" w:rsidR="007C41B3" w:rsidRDefault="007C41B3" w:rsidP="0056547A">
            <w:pPr>
              <w:spacing w:after="240"/>
              <w:rPr>
                <w:rFonts w:cs="Calibri"/>
              </w:rPr>
            </w:pPr>
            <w:r>
              <w:rPr>
                <w:color w:val="000000"/>
              </w:rPr>
              <w:t xml:space="preserve"> Glavna uprava za usklađivanje unutarnjih financijskih kontrola u javnom sektoru</w:t>
            </w:r>
          </w:p>
        </w:tc>
      </w:tr>
      <w:tr w:rsidR="007C41B3" w14:paraId="28A42BFB" w14:textId="77777777" w:rsidTr="0056547A">
        <w:trPr>
          <w:trHeight w:val="620"/>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175CA0D" w14:textId="4527F8E0" w:rsidR="007C41B3" w:rsidRDefault="007A1A62">
            <w:pPr>
              <w:jc w:val="center"/>
              <w:rPr>
                <w:rFonts w:cs="Calibri"/>
              </w:rPr>
            </w:pPr>
            <w:r>
              <w:t>Tematski blok 3.</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5ED52232" w14:textId="049A8A3D" w:rsidR="007C41B3" w:rsidRDefault="007C41B3">
            <w:pPr>
              <w:rPr>
                <w:rFonts w:cs="Calibri"/>
                <w:i/>
                <w:color w:val="548DD4"/>
              </w:rPr>
            </w:pPr>
            <w:r>
              <w:rPr>
                <w:b/>
                <w:color w:val="000000"/>
              </w:rPr>
              <w:t>Pokazatelji duga</w:t>
            </w:r>
            <w:r>
              <w:rPr>
                <w:color w:val="000000"/>
              </w:rPr>
              <w:t xml:space="preserve"> </w:t>
            </w:r>
          </w:p>
          <w:p w14:paraId="318DD153" w14:textId="0CCF71B4" w:rsidR="007C41B3" w:rsidRDefault="007C41B3" w:rsidP="0056547A">
            <w:pPr>
              <w:spacing w:after="200" w:line="276" w:lineRule="auto"/>
              <w:ind w:left="74"/>
              <w:jc w:val="both"/>
              <w:rPr>
                <w:rFonts w:cs="Calibri"/>
              </w:rPr>
            </w:pPr>
            <w:r>
              <w:rPr>
                <w:color w:val="000000"/>
              </w:rPr>
              <w:t>Glavna uprava za proračun i upravljanje dugom</w:t>
            </w:r>
          </w:p>
        </w:tc>
      </w:tr>
      <w:tr w:rsidR="007C41B3" w14:paraId="1E84D731"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F60C68B" w14:textId="18BAD692" w:rsidR="007C41B3" w:rsidRDefault="007C41B3">
            <w:pPr>
              <w:jc w:val="center"/>
              <w:rPr>
                <w:rFonts w:cs="Calibri"/>
                <w:lang w:val="ro-RO"/>
              </w:rPr>
            </w:pP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6EADB5E2" w14:textId="6F0D4BF7" w:rsidR="007C41B3" w:rsidRDefault="007C41B3">
            <w:pPr>
              <w:rPr>
                <w:rFonts w:cs="Calibri"/>
              </w:rPr>
            </w:pPr>
            <w:r>
              <w:rPr>
                <w:b/>
              </w:rPr>
              <w:t>Poboljšanje učinka procesa planiranja proračuna, njegova izvršenja i izvještavanja o njemu s pomoću automatizacije</w:t>
            </w:r>
          </w:p>
          <w:p w14:paraId="192794D1" w14:textId="2B657A30" w:rsidR="007C41B3" w:rsidRDefault="007C41B3" w:rsidP="0056547A">
            <w:pPr>
              <w:spacing w:after="240"/>
              <w:rPr>
                <w:rFonts w:cs="Calibri"/>
              </w:rPr>
            </w:pPr>
            <w:r>
              <w:t>Jedinica za obradu  poslovanja riznice, Glavna uprava za riznicu</w:t>
            </w:r>
          </w:p>
        </w:tc>
      </w:tr>
      <w:tr w:rsidR="007C41B3" w14:paraId="37DB7FBA"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3BFF8AF" w14:textId="16761AC5" w:rsidR="007C41B3" w:rsidRDefault="008721EF">
            <w:pPr>
              <w:jc w:val="center"/>
              <w:rPr>
                <w:rFonts w:cs="Calibri"/>
              </w:rPr>
            </w:pPr>
            <w:r>
              <w:t>Tematski blok 4.</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36B42425" w14:textId="37B60AA5" w:rsidR="007C41B3" w:rsidRDefault="007C41B3" w:rsidP="0056547A">
            <w:pPr>
              <w:spacing w:after="240"/>
              <w:jc w:val="both"/>
              <w:rPr>
                <w:rFonts w:cs="Calibri"/>
              </w:rPr>
            </w:pPr>
            <w:r>
              <w:t xml:space="preserve">Panel rasprave o </w:t>
            </w:r>
            <w:r>
              <w:rPr>
                <w:b/>
              </w:rPr>
              <w:t>albanskim</w:t>
            </w:r>
            <w:r>
              <w:t xml:space="preserve"> izlaganjima</w:t>
            </w:r>
          </w:p>
        </w:tc>
      </w:tr>
      <w:tr w:rsidR="007C41B3" w14:paraId="737AE9D6"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D9D9D9"/>
          </w:tcPr>
          <w:p w14:paraId="7F4EBDDE" w14:textId="77777777" w:rsidR="007C41B3" w:rsidRDefault="007C41B3">
            <w:pPr>
              <w:rPr>
                <w:rFonts w:cs="Calibri"/>
                <w:b/>
                <w:color w:val="000000"/>
                <w:sz w:val="32"/>
                <w:szCs w:val="32"/>
                <w:u w:val="single"/>
              </w:rPr>
            </w:pPr>
          </w:p>
          <w:p w14:paraId="0AD6F4D3" w14:textId="77777777" w:rsidR="007C41B3" w:rsidRDefault="007C41B3">
            <w:pPr>
              <w:rPr>
                <w:rFonts w:cs="Calibri"/>
                <w:b/>
                <w:i/>
                <w:color w:val="365F91"/>
                <w:sz w:val="32"/>
                <w:szCs w:val="32"/>
                <w:u w:val="single"/>
              </w:rPr>
            </w:pPr>
            <w:r>
              <w:rPr>
                <w:b/>
                <w:color w:val="000000"/>
                <w:sz w:val="32"/>
                <w:szCs w:val="32"/>
                <w:u w:val="single"/>
              </w:rPr>
              <w:t>22. svibnja – 2. dan</w:t>
            </w:r>
          </w:p>
        </w:tc>
      </w:tr>
      <w:tr w:rsidR="007C41B3" w14:paraId="6B9953DD" w14:textId="77777777" w:rsidTr="007C41B3">
        <w:trPr>
          <w:trHeight w:val="350"/>
        </w:trPr>
        <w:tc>
          <w:tcPr>
            <w:tcW w:w="9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D69B6DE" w14:textId="24CE9D2E" w:rsidR="007C41B3" w:rsidRDefault="007C41B3">
            <w:pPr>
              <w:rPr>
                <w:rFonts w:cs="Calibri"/>
                <w:color w:val="000000"/>
                <w:sz w:val="22"/>
                <w:szCs w:val="22"/>
              </w:rPr>
            </w:pPr>
            <w:r>
              <w:rPr>
                <w:i/>
                <w:color w:val="000000"/>
              </w:rPr>
              <w:t xml:space="preserve">  </w:t>
            </w:r>
          </w:p>
        </w:tc>
      </w:tr>
      <w:tr w:rsidR="007C41B3" w14:paraId="167B2A9B"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43330BB" w14:textId="76FD4287" w:rsidR="007C41B3" w:rsidRDefault="001C1090">
            <w:pPr>
              <w:jc w:val="center"/>
              <w:rPr>
                <w:rFonts w:cs="Calibri"/>
              </w:rPr>
            </w:pPr>
            <w:r>
              <w:t xml:space="preserve">Tematski blok 1.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637B911E" w14:textId="2EDD698E" w:rsidR="007C41B3" w:rsidRDefault="001C1090" w:rsidP="0056547A">
            <w:pPr>
              <w:spacing w:after="240"/>
              <w:jc w:val="both"/>
              <w:rPr>
                <w:rFonts w:cs="Calibri"/>
              </w:rPr>
            </w:pPr>
            <w:r>
              <w:t>Stručno izlaganje o međunarodnim iskustvima u monitoringu učinka ključnih funkcija riznice</w:t>
            </w:r>
          </w:p>
        </w:tc>
      </w:tr>
      <w:tr w:rsidR="006D4EA9" w14:paraId="3896755B"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tcPr>
          <w:p w14:paraId="79857106" w14:textId="77777777" w:rsidR="006D4EA9" w:rsidRDefault="006D4EA9">
            <w:pPr>
              <w:jc w:val="center"/>
              <w:rPr>
                <w:rFonts w:cs="Calibri"/>
              </w:rPr>
            </w:pP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0F4DD94F" w14:textId="7D793B1B" w:rsidR="006D4EA9" w:rsidRDefault="006D4EA9" w:rsidP="0056547A">
            <w:pPr>
              <w:spacing w:after="240"/>
              <w:jc w:val="both"/>
              <w:rPr>
                <w:rFonts w:cs="Calibri"/>
              </w:rPr>
            </w:pPr>
            <w:r>
              <w:t xml:space="preserve">Primjena pokazatelja koji su se upotrebljavali za ocjenu učinka ključnih funkcija riznice u okviru PEFA-e </w:t>
            </w:r>
          </w:p>
        </w:tc>
      </w:tr>
      <w:tr w:rsidR="007C41B3" w14:paraId="0E6D4F14" w14:textId="77777777" w:rsidTr="0056547A">
        <w:trPr>
          <w:trHeight w:val="440"/>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0550F28C" w14:textId="1050F331" w:rsidR="007C41B3" w:rsidRDefault="001C1090">
            <w:pPr>
              <w:jc w:val="center"/>
              <w:rPr>
                <w:rFonts w:cs="Calibri"/>
              </w:rPr>
            </w:pPr>
            <w:r>
              <w:t xml:space="preserve">Tematski blok 2.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759273B1" w14:textId="69F2120D" w:rsidR="007C41B3" w:rsidRDefault="008721EF" w:rsidP="0056547A">
            <w:pPr>
              <w:spacing w:after="240"/>
              <w:jc w:val="both"/>
              <w:rPr>
                <w:rFonts w:cs="Calibri"/>
              </w:rPr>
            </w:pPr>
            <w:r>
              <w:t xml:space="preserve">Iskustva zemalja PEMPAL-a – kombinacija slučajeva zemalja kako bi se demonstrirali pristupi i alati koji su se upotrebljavali za monitoring učinka ključnih funkcija riznice (predstavnici tematskih skupina TCOP-a) </w:t>
            </w:r>
          </w:p>
        </w:tc>
      </w:tr>
      <w:tr w:rsidR="007C41B3" w14:paraId="042135EE"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5BF39020" w14:textId="5DEEC997" w:rsidR="007C41B3" w:rsidRDefault="001C1090">
            <w:pPr>
              <w:jc w:val="center"/>
              <w:rPr>
                <w:rFonts w:cs="Calibri"/>
                <w:color w:val="000000"/>
              </w:rPr>
            </w:pPr>
            <w:r>
              <w:t xml:space="preserve">Tematski blokovi 3. i 4.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29ECFFE1" w14:textId="7DA98DA8" w:rsidR="007C41B3" w:rsidRDefault="007C41B3" w:rsidP="0056547A">
            <w:pPr>
              <w:spacing w:after="240"/>
              <w:jc w:val="both"/>
              <w:rPr>
                <w:rFonts w:cs="Calibri"/>
                <w:color w:val="000000"/>
              </w:rPr>
            </w:pPr>
            <w:r>
              <w:t>Rasprave u manjim skupinama o izazovima u monitoringu učinka riznice.</w:t>
            </w:r>
          </w:p>
        </w:tc>
      </w:tr>
      <w:tr w:rsidR="007C41B3" w14:paraId="0F3E9B5A"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D9D9D9"/>
          </w:tcPr>
          <w:p w14:paraId="5150990A" w14:textId="77777777" w:rsidR="007C41B3" w:rsidRDefault="007C41B3">
            <w:pPr>
              <w:rPr>
                <w:rFonts w:cs="Calibri"/>
                <w:b/>
                <w:color w:val="000000"/>
                <w:sz w:val="32"/>
                <w:szCs w:val="32"/>
                <w:u w:val="single"/>
              </w:rPr>
            </w:pPr>
          </w:p>
          <w:p w14:paraId="1C0BE436" w14:textId="77777777" w:rsidR="007C41B3" w:rsidRDefault="007C41B3">
            <w:pPr>
              <w:rPr>
                <w:rFonts w:cs="Calibri"/>
                <w:b/>
                <w:i/>
                <w:color w:val="365F91"/>
                <w:sz w:val="32"/>
                <w:szCs w:val="32"/>
                <w:u w:val="single"/>
              </w:rPr>
            </w:pPr>
            <w:r>
              <w:rPr>
                <w:b/>
                <w:color w:val="000000"/>
                <w:sz w:val="32"/>
                <w:szCs w:val="32"/>
                <w:u w:val="single"/>
              </w:rPr>
              <w:t>23. svibnja – 3. dan</w:t>
            </w:r>
          </w:p>
        </w:tc>
      </w:tr>
      <w:tr w:rsidR="007C41B3" w14:paraId="7BC836CA" w14:textId="77777777" w:rsidTr="007C41B3">
        <w:trPr>
          <w:trHeight w:val="449"/>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A916D02" w14:textId="5E02A9F4" w:rsidR="007C41B3" w:rsidRDefault="001C1090">
            <w:pPr>
              <w:jc w:val="center"/>
              <w:rPr>
                <w:rFonts w:cs="Calibri"/>
              </w:rPr>
            </w:pPr>
            <w:r>
              <w:rPr>
                <w:color w:val="000000"/>
              </w:rPr>
              <w:t xml:space="preserve">Tematski blok 1.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280FA8B7" w14:textId="5FA14829" w:rsidR="007C41B3" w:rsidRPr="0056547A" w:rsidRDefault="007C41B3" w:rsidP="0056547A">
            <w:pPr>
              <w:spacing w:after="240"/>
              <w:rPr>
                <w:rFonts w:cs="Calibri"/>
                <w:i/>
                <w:color w:val="4F81BD"/>
              </w:rPr>
            </w:pPr>
            <w:r>
              <w:t xml:space="preserve">Izvještaji s rasprava u skupinama i zaključci tematskog rasporeda </w:t>
            </w:r>
          </w:p>
        </w:tc>
      </w:tr>
      <w:tr w:rsidR="007C41B3" w14:paraId="132B9DC2"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85713C7" w14:textId="3952B47F" w:rsidR="007C41B3" w:rsidRDefault="001C1090">
            <w:pPr>
              <w:jc w:val="center"/>
              <w:rPr>
                <w:rFonts w:eastAsia="Calibri" w:cs="Calibri"/>
                <w:color w:val="000000"/>
              </w:rPr>
            </w:pPr>
            <w:r>
              <w:t xml:space="preserve">Tematski blok 2.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4F9E9E4C" w14:textId="241D19C6" w:rsidR="007C41B3" w:rsidRDefault="008721EF" w:rsidP="0056547A">
            <w:pPr>
              <w:pStyle w:val="ListParagraph"/>
              <w:tabs>
                <w:tab w:val="left" w:pos="0"/>
              </w:tabs>
              <w:spacing w:after="240"/>
              <w:ind w:left="0"/>
              <w:jc w:val="both"/>
              <w:rPr>
                <w:rFonts w:eastAsia="Times New Roman" w:cs="Calibri"/>
                <w:szCs w:val="24"/>
              </w:rPr>
            </w:pPr>
            <w:r>
              <w:rPr>
                <w:color w:val="000000"/>
                <w:szCs w:val="24"/>
              </w:rPr>
              <w:t>Ažuriranje plana aktivnosti TCOP-a za razdoblje 2019. – 2020.</w:t>
            </w:r>
          </w:p>
        </w:tc>
      </w:tr>
      <w:tr w:rsidR="007C41B3" w14:paraId="363916C1"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89762D8" w14:textId="293D9599" w:rsidR="007C41B3" w:rsidRDefault="001C1090">
            <w:pPr>
              <w:jc w:val="center"/>
              <w:rPr>
                <w:rFonts w:cs="Calibri"/>
              </w:rPr>
            </w:pPr>
            <w:r>
              <w:t xml:space="preserve">Tematski blok 3.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12B7F4DA" w14:textId="0EDCA77C" w:rsidR="007C41B3" w:rsidRPr="0056547A" w:rsidRDefault="001C1090">
            <w:pPr>
              <w:jc w:val="both"/>
              <w:rPr>
                <w:rFonts w:cs="Calibri"/>
              </w:rPr>
            </w:pPr>
            <w:r>
              <w:t>Zaključak i zatvaranje skupa</w:t>
            </w:r>
          </w:p>
        </w:tc>
      </w:tr>
      <w:tr w:rsidR="007C41B3" w14:paraId="16A53471" w14:textId="77777777" w:rsidTr="0056547A">
        <w:trPr>
          <w:trHeight w:val="242"/>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0D42804" w14:textId="1111DDDF" w:rsidR="007C41B3" w:rsidRDefault="007C41B3">
            <w:pPr>
              <w:jc w:val="center"/>
              <w:rPr>
                <w:rFonts w:cs="Calibri"/>
              </w:rPr>
            </w:pPr>
            <w:r>
              <w:rPr>
                <w:color w:val="000000"/>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360FC92B" w14:textId="261A4CF3" w:rsidR="007C41B3" w:rsidRDefault="007C41B3">
            <w:pPr>
              <w:rPr>
                <w:rFonts w:cs="Calibri"/>
                <w:b/>
              </w:rPr>
            </w:pPr>
            <w:r>
              <w:rPr>
                <w:color w:val="000000"/>
              </w:rPr>
              <w:br/>
            </w:r>
          </w:p>
        </w:tc>
      </w:tr>
      <w:tr w:rsidR="007C41B3" w14:paraId="6533246A"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AD980E8" w14:textId="3CFBA011" w:rsidR="007C41B3" w:rsidRDefault="007C41B3">
            <w:pPr>
              <w:rPr>
                <w:rFonts w:cs="Calibri"/>
                <w:color w:val="000000"/>
                <w:lang w:val="ro-RO"/>
              </w:rPr>
            </w:pPr>
          </w:p>
        </w:tc>
      </w:tr>
      <w:tr w:rsidR="007C41B3" w14:paraId="3857E9E0"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608D211" w14:textId="05262E65" w:rsidR="007C41B3" w:rsidRDefault="007C41B3">
            <w:pPr>
              <w:rPr>
                <w:rFonts w:cs="Calibri"/>
                <w:color w:val="000000"/>
              </w:rPr>
            </w:pPr>
            <w:r>
              <w:rPr>
                <w:color w:val="000000"/>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4B6FD507" w14:textId="06143FAE" w:rsidR="007C41B3" w:rsidRDefault="001C1090">
            <w:pPr>
              <w:jc w:val="both"/>
              <w:rPr>
                <w:rFonts w:cs="Calibri"/>
              </w:rPr>
            </w:pPr>
            <w:r>
              <w:t xml:space="preserve">Društveni program i večera u organizaciji albanskog Ministarstva financija i ekonomije </w:t>
            </w:r>
          </w:p>
          <w:p w14:paraId="1C4C5B51" w14:textId="77777777" w:rsidR="007C41B3" w:rsidRDefault="007C41B3">
            <w:pPr>
              <w:jc w:val="both"/>
              <w:rPr>
                <w:rFonts w:cs="Calibri"/>
                <w:color w:val="000000"/>
              </w:rPr>
            </w:pPr>
          </w:p>
        </w:tc>
      </w:tr>
    </w:tbl>
    <w:p w14:paraId="2B5F91C6" w14:textId="77777777" w:rsidR="00F5737E" w:rsidRPr="0056547A" w:rsidRDefault="00F5737E" w:rsidP="00F5737E">
      <w:pPr>
        <w:jc w:val="center"/>
        <w:rPr>
          <w:color w:val="0070C0"/>
        </w:rPr>
      </w:pPr>
    </w:p>
    <w:p w14:paraId="539D2411" w14:textId="2B7D5678" w:rsidR="007C41B3" w:rsidRDefault="007C41B3" w:rsidP="00E32ACF">
      <w:pPr>
        <w:spacing w:after="240" w:line="276" w:lineRule="auto"/>
        <w:ind w:left="900"/>
        <w:jc w:val="both"/>
      </w:pPr>
    </w:p>
    <w:sectPr w:rsidR="007C41B3" w:rsidSect="0080118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7099" w14:textId="77777777" w:rsidR="00324057" w:rsidRDefault="00324057" w:rsidP="00870FDE">
      <w:r>
        <w:separator/>
      </w:r>
    </w:p>
  </w:endnote>
  <w:endnote w:type="continuationSeparator" w:id="0">
    <w:p w14:paraId="1DBC2B3E" w14:textId="77777777" w:rsidR="00324057" w:rsidRDefault="00324057" w:rsidP="0087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C96D3" w14:textId="77777777" w:rsidR="00324057" w:rsidRDefault="00324057" w:rsidP="00870FDE">
      <w:r>
        <w:separator/>
      </w:r>
    </w:p>
  </w:footnote>
  <w:footnote w:type="continuationSeparator" w:id="0">
    <w:p w14:paraId="047395FE" w14:textId="77777777" w:rsidR="00324057" w:rsidRDefault="00324057" w:rsidP="0087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196"/>
    <w:multiLevelType w:val="hybridMultilevel"/>
    <w:tmpl w:val="641AAA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FA9"/>
    <w:multiLevelType w:val="hybridMultilevel"/>
    <w:tmpl w:val="96A6C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616"/>
    <w:multiLevelType w:val="hybridMultilevel"/>
    <w:tmpl w:val="0DEA39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743EDA"/>
    <w:multiLevelType w:val="hybridMultilevel"/>
    <w:tmpl w:val="E89673F6"/>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CF34A91"/>
    <w:multiLevelType w:val="hybridMultilevel"/>
    <w:tmpl w:val="C676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11139"/>
    <w:multiLevelType w:val="hybridMultilevel"/>
    <w:tmpl w:val="4F086F8A"/>
    <w:lvl w:ilvl="0" w:tplc="C7965EA8">
      <w:start w:val="1"/>
      <w:numFmt w:val="bullet"/>
      <w:lvlText w:val=""/>
      <w:lvlJc w:val="left"/>
      <w:pPr>
        <w:ind w:left="810" w:hanging="360"/>
      </w:pPr>
      <w:rPr>
        <w:rFonts w:ascii="Wingdings" w:hAnsi="Wingdings" w:hint="default"/>
        <w:color w:val="000000"/>
        <w:lang w:val="en-US"/>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4BB406EA"/>
    <w:multiLevelType w:val="hybridMultilevel"/>
    <w:tmpl w:val="E0DCD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20395"/>
    <w:multiLevelType w:val="hybridMultilevel"/>
    <w:tmpl w:val="6D8E3C34"/>
    <w:lvl w:ilvl="0" w:tplc="13E6E44C">
      <w:start w:val="1"/>
      <w:numFmt w:val="bullet"/>
      <w:lvlText w:val=""/>
      <w:lvlJc w:val="left"/>
      <w:pPr>
        <w:ind w:left="540" w:hanging="360"/>
      </w:pPr>
      <w:rPr>
        <w:rFonts w:ascii="Wingdings" w:hAnsi="Wingdings" w:hint="default"/>
        <w:color w:val="000000"/>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8" w15:restartNumberingAfterBreak="0">
    <w:nsid w:val="5E28738B"/>
    <w:multiLevelType w:val="hybridMultilevel"/>
    <w:tmpl w:val="EAA07B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B61B7"/>
    <w:multiLevelType w:val="hybridMultilevel"/>
    <w:tmpl w:val="2C60A8FA"/>
    <w:lvl w:ilvl="0" w:tplc="C7965EA8">
      <w:start w:val="1"/>
      <w:numFmt w:val="bullet"/>
      <w:lvlText w:val=""/>
      <w:lvlJc w:val="left"/>
      <w:pPr>
        <w:ind w:left="360" w:hanging="360"/>
      </w:pPr>
      <w:rPr>
        <w:rFonts w:ascii="Wingdings" w:hAnsi="Wingdings" w:hint="default"/>
        <w:color w:val="000000"/>
        <w:lang w:val="en-US"/>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1"/>
  </w:num>
  <w:num w:numId="6">
    <w:abstractNumId w:val="2"/>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ru-RU" w:vendorID="64" w:dllVersion="0" w:nlCheck="1" w:checkStyle="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7E"/>
    <w:rsid w:val="00034615"/>
    <w:rsid w:val="000C4736"/>
    <w:rsid w:val="0011386B"/>
    <w:rsid w:val="0016566B"/>
    <w:rsid w:val="00171DC6"/>
    <w:rsid w:val="001C1090"/>
    <w:rsid w:val="001F0E86"/>
    <w:rsid w:val="002109EE"/>
    <w:rsid w:val="00226673"/>
    <w:rsid w:val="00235D02"/>
    <w:rsid w:val="00244917"/>
    <w:rsid w:val="00276D24"/>
    <w:rsid w:val="002D1C06"/>
    <w:rsid w:val="002D64C1"/>
    <w:rsid w:val="00303110"/>
    <w:rsid w:val="00305383"/>
    <w:rsid w:val="00324057"/>
    <w:rsid w:val="00324F0E"/>
    <w:rsid w:val="00346874"/>
    <w:rsid w:val="00355582"/>
    <w:rsid w:val="003826DF"/>
    <w:rsid w:val="003B0CDB"/>
    <w:rsid w:val="003B43A6"/>
    <w:rsid w:val="003B47DA"/>
    <w:rsid w:val="003D1BBE"/>
    <w:rsid w:val="003D1DFF"/>
    <w:rsid w:val="004A344A"/>
    <w:rsid w:val="004A72A7"/>
    <w:rsid w:val="004B4675"/>
    <w:rsid w:val="004C38B8"/>
    <w:rsid w:val="004C61F6"/>
    <w:rsid w:val="004D56ED"/>
    <w:rsid w:val="005511FC"/>
    <w:rsid w:val="0056547A"/>
    <w:rsid w:val="00573A26"/>
    <w:rsid w:val="005753EF"/>
    <w:rsid w:val="005B4EF4"/>
    <w:rsid w:val="005D0FF9"/>
    <w:rsid w:val="00606BC3"/>
    <w:rsid w:val="00625319"/>
    <w:rsid w:val="00661839"/>
    <w:rsid w:val="00676A06"/>
    <w:rsid w:val="006C3708"/>
    <w:rsid w:val="006D28C2"/>
    <w:rsid w:val="006D4EA9"/>
    <w:rsid w:val="006F267E"/>
    <w:rsid w:val="007A1A62"/>
    <w:rsid w:val="007A5C0B"/>
    <w:rsid w:val="007C41B3"/>
    <w:rsid w:val="00801184"/>
    <w:rsid w:val="00821177"/>
    <w:rsid w:val="00870FDE"/>
    <w:rsid w:val="008721EF"/>
    <w:rsid w:val="00883DD2"/>
    <w:rsid w:val="008A57A8"/>
    <w:rsid w:val="008D5CA6"/>
    <w:rsid w:val="00907C1A"/>
    <w:rsid w:val="00915878"/>
    <w:rsid w:val="00963695"/>
    <w:rsid w:val="009A514E"/>
    <w:rsid w:val="00A23249"/>
    <w:rsid w:val="00A409FE"/>
    <w:rsid w:val="00A434B2"/>
    <w:rsid w:val="00A6277A"/>
    <w:rsid w:val="00AA46EE"/>
    <w:rsid w:val="00AA6A74"/>
    <w:rsid w:val="00B4063B"/>
    <w:rsid w:val="00B754F2"/>
    <w:rsid w:val="00B777E5"/>
    <w:rsid w:val="00BA75CC"/>
    <w:rsid w:val="00C01E41"/>
    <w:rsid w:val="00C57805"/>
    <w:rsid w:val="00C66408"/>
    <w:rsid w:val="00CB7E95"/>
    <w:rsid w:val="00CC0E90"/>
    <w:rsid w:val="00CC6FC2"/>
    <w:rsid w:val="00D450A4"/>
    <w:rsid w:val="00D64287"/>
    <w:rsid w:val="00D645C6"/>
    <w:rsid w:val="00D650A7"/>
    <w:rsid w:val="00DA5885"/>
    <w:rsid w:val="00DC3885"/>
    <w:rsid w:val="00DD1620"/>
    <w:rsid w:val="00DE35DF"/>
    <w:rsid w:val="00DE5879"/>
    <w:rsid w:val="00DF1805"/>
    <w:rsid w:val="00E32ACF"/>
    <w:rsid w:val="00E925FB"/>
    <w:rsid w:val="00EC1441"/>
    <w:rsid w:val="00ED0CCF"/>
    <w:rsid w:val="00EE67A2"/>
    <w:rsid w:val="00F102C8"/>
    <w:rsid w:val="00F137D9"/>
    <w:rsid w:val="00F37428"/>
    <w:rsid w:val="00F5737E"/>
    <w:rsid w:val="00F724DD"/>
    <w:rsid w:val="00FA6217"/>
    <w:rsid w:val="00FD6B8B"/>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DE13"/>
  <w14:defaultImageDpi w14:val="32767"/>
  <w15:docId w15:val="{B1B6BA0D-D4BD-4494-AE48-1ACF39D7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3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Use Case List Paragraph,Celula,Tabela,Numbered Paragraph,Main numbered paragraph,Bullets,Numbered List Paragraph,List Paragraph1"/>
    <w:basedOn w:val="Normal"/>
    <w:link w:val="ListParagraphChar"/>
    <w:uiPriority w:val="34"/>
    <w:qFormat/>
    <w:rsid w:val="00F5737E"/>
    <w:pPr>
      <w:ind w:left="720"/>
      <w:contextualSpacing/>
    </w:pPr>
    <w:rPr>
      <w:rFonts w:eastAsia="Calibri"/>
      <w:szCs w:val="20"/>
    </w:rPr>
  </w:style>
  <w:style w:type="character" w:styleId="CommentReference">
    <w:name w:val="annotation reference"/>
    <w:basedOn w:val="DefaultParagraphFont"/>
    <w:uiPriority w:val="99"/>
    <w:semiHidden/>
    <w:unhideWhenUsed/>
    <w:rsid w:val="00244917"/>
    <w:rPr>
      <w:sz w:val="18"/>
      <w:szCs w:val="18"/>
    </w:rPr>
  </w:style>
  <w:style w:type="paragraph" w:styleId="CommentText">
    <w:name w:val="annotation text"/>
    <w:basedOn w:val="Normal"/>
    <w:link w:val="CommentTextChar"/>
    <w:uiPriority w:val="99"/>
    <w:semiHidden/>
    <w:unhideWhenUsed/>
    <w:rsid w:val="00244917"/>
  </w:style>
  <w:style w:type="character" w:customStyle="1" w:styleId="CommentTextChar">
    <w:name w:val="Comment Text Char"/>
    <w:basedOn w:val="DefaultParagraphFont"/>
    <w:link w:val="CommentText"/>
    <w:uiPriority w:val="99"/>
    <w:semiHidden/>
    <w:rsid w:val="0024491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44917"/>
    <w:rPr>
      <w:b/>
      <w:bCs/>
      <w:sz w:val="20"/>
      <w:szCs w:val="20"/>
    </w:rPr>
  </w:style>
  <w:style w:type="character" w:customStyle="1" w:styleId="CommentSubjectChar">
    <w:name w:val="Comment Subject Char"/>
    <w:basedOn w:val="CommentTextChar"/>
    <w:link w:val="CommentSubject"/>
    <w:uiPriority w:val="99"/>
    <w:semiHidden/>
    <w:rsid w:val="002449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4917"/>
    <w:rPr>
      <w:sz w:val="18"/>
      <w:szCs w:val="18"/>
    </w:rPr>
  </w:style>
  <w:style w:type="character" w:customStyle="1" w:styleId="BalloonTextChar">
    <w:name w:val="Balloon Text Char"/>
    <w:basedOn w:val="DefaultParagraphFont"/>
    <w:link w:val="BalloonText"/>
    <w:uiPriority w:val="99"/>
    <w:semiHidden/>
    <w:rsid w:val="00244917"/>
    <w:rPr>
      <w:rFonts w:ascii="Times New Roman" w:eastAsia="Times New Roman" w:hAnsi="Times New Roman" w:cs="Times New Roman"/>
      <w:sz w:val="18"/>
      <w:szCs w:val="18"/>
    </w:rPr>
  </w:style>
  <w:style w:type="paragraph" w:styleId="FootnoteText">
    <w:name w:val="footnote text"/>
    <w:basedOn w:val="Normal"/>
    <w:link w:val="FootnoteTextChar"/>
    <w:uiPriority w:val="99"/>
    <w:unhideWhenUsed/>
    <w:rsid w:val="00870FDE"/>
  </w:style>
  <w:style w:type="character" w:customStyle="1" w:styleId="FootnoteTextChar">
    <w:name w:val="Footnote Text Char"/>
    <w:basedOn w:val="DefaultParagraphFont"/>
    <w:link w:val="FootnoteText"/>
    <w:uiPriority w:val="99"/>
    <w:rsid w:val="00870FDE"/>
    <w:rPr>
      <w:rFonts w:ascii="Times New Roman" w:eastAsia="Times New Roman" w:hAnsi="Times New Roman" w:cs="Times New Roman"/>
    </w:rPr>
  </w:style>
  <w:style w:type="character" w:styleId="FootnoteReference">
    <w:name w:val="footnote reference"/>
    <w:basedOn w:val="DefaultParagraphFont"/>
    <w:uiPriority w:val="99"/>
    <w:unhideWhenUsed/>
    <w:rsid w:val="00870FDE"/>
    <w:rPr>
      <w:vertAlign w:val="superscript"/>
    </w:rPr>
  </w:style>
  <w:style w:type="character" w:styleId="LineNumber">
    <w:name w:val="line number"/>
    <w:basedOn w:val="DefaultParagraphFont"/>
    <w:uiPriority w:val="99"/>
    <w:semiHidden/>
    <w:unhideWhenUsed/>
    <w:rsid w:val="00B754F2"/>
  </w:style>
  <w:style w:type="table" w:customStyle="1" w:styleId="GridTable4-Accent51">
    <w:name w:val="Grid Table 4 - Accent 51"/>
    <w:basedOn w:val="TableNormal"/>
    <w:uiPriority w:val="49"/>
    <w:rsid w:val="006C3708"/>
    <w:rPr>
      <w:rFonts w:eastAsiaTheme="minorEastAsia"/>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aliases w:val="List Paragraph (numbered (a)) Char,Use Case List Paragraph Char,Celula Char,Tabela Char,Numbered Paragraph Char,Main numbered paragraph Char,Bullets Char,Numbered List Paragraph Char,List Paragraph1 Char"/>
    <w:link w:val="ListParagraph"/>
    <w:uiPriority w:val="34"/>
    <w:locked/>
    <w:rsid w:val="007C41B3"/>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85696">
      <w:bodyDiv w:val="1"/>
      <w:marLeft w:val="0"/>
      <w:marRight w:val="0"/>
      <w:marTop w:val="0"/>
      <w:marBottom w:val="0"/>
      <w:divBdr>
        <w:top w:val="none" w:sz="0" w:space="0" w:color="auto"/>
        <w:left w:val="none" w:sz="0" w:space="0" w:color="auto"/>
        <w:bottom w:val="none" w:sz="0" w:space="0" w:color="auto"/>
        <w:right w:val="none" w:sz="0" w:space="0" w:color="auto"/>
      </w:divBdr>
    </w:div>
    <w:div w:id="1850679537">
      <w:bodyDiv w:val="1"/>
      <w:marLeft w:val="0"/>
      <w:marRight w:val="0"/>
      <w:marTop w:val="0"/>
      <w:marBottom w:val="0"/>
      <w:divBdr>
        <w:top w:val="none" w:sz="0" w:space="0" w:color="auto"/>
        <w:left w:val="none" w:sz="0" w:space="0" w:color="auto"/>
        <w:bottom w:val="none" w:sz="0" w:space="0" w:color="auto"/>
        <w:right w:val="none" w:sz="0" w:space="0" w:color="auto"/>
      </w:divBdr>
    </w:div>
    <w:div w:id="2120563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Silins</dc:creator>
  <cp:lastModifiedBy>Ekaterina A Zaleeva</cp:lastModifiedBy>
  <cp:revision>2</cp:revision>
  <dcterms:created xsi:type="dcterms:W3CDTF">2018-03-26T10:13:00Z</dcterms:created>
  <dcterms:modified xsi:type="dcterms:W3CDTF">2018-03-26T10:13:00Z</dcterms:modified>
</cp:coreProperties>
</file>