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p>
    <w:p w14:paraId="39C6D245" w14:textId="77777777" w:rsidR="00822854" w:rsidRPr="00AA75CD" w:rsidRDefault="00304158" w:rsidP="00035C5A">
      <w:pPr>
        <w:jc w:val="center"/>
        <w:rPr>
          <w:rFonts w:ascii="Times New Roman" w:eastAsia="Times New Roman" w:hAnsi="Times New Roman" w:cs="Times New Roman"/>
          <w:b/>
          <w:color w:val="0070C0"/>
          <w:sz w:val="30"/>
          <w:szCs w:val="30"/>
          <w:lang w:eastAsia="bs-Latn-BA"/>
        </w:rPr>
      </w:pPr>
      <w:r w:rsidRPr="00AA75CD">
        <w:rPr>
          <w:rFonts w:ascii="Times New Roman" w:eastAsia="Times New Roman" w:hAnsi="Times New Roman" w:cs="Times New Roman"/>
          <w:b/>
          <w:color w:val="0070C0"/>
          <w:sz w:val="30"/>
          <w:szCs w:val="30"/>
          <w:lang w:eastAsia="bs-Latn-BA"/>
        </w:rPr>
        <w:t xml:space="preserve">PEMPAL BCOP </w:t>
      </w:r>
      <w:r w:rsidR="00F6610A" w:rsidRPr="00AA75CD">
        <w:rPr>
          <w:rFonts w:ascii="Times New Roman" w:eastAsia="Times New Roman" w:hAnsi="Times New Roman" w:cs="Times New Roman"/>
          <w:b/>
          <w:color w:val="0070C0"/>
          <w:sz w:val="30"/>
          <w:szCs w:val="30"/>
          <w:lang w:eastAsia="bs-Latn-BA"/>
        </w:rPr>
        <w:t>Annual Plen</w:t>
      </w:r>
      <w:r w:rsidR="004F16A4" w:rsidRPr="00AA75CD">
        <w:rPr>
          <w:rFonts w:ascii="Times New Roman" w:eastAsia="Times New Roman" w:hAnsi="Times New Roman" w:cs="Times New Roman"/>
          <w:b/>
          <w:color w:val="0070C0"/>
          <w:sz w:val="30"/>
          <w:szCs w:val="30"/>
          <w:lang w:eastAsia="bs-Latn-BA"/>
        </w:rPr>
        <w:t xml:space="preserve">ary meeting – </w:t>
      </w:r>
      <w:r w:rsidR="00822854" w:rsidRPr="00AA75CD">
        <w:rPr>
          <w:rFonts w:ascii="Times New Roman" w:eastAsia="Times New Roman" w:hAnsi="Times New Roman" w:cs="Times New Roman"/>
          <w:b/>
          <w:color w:val="0070C0"/>
          <w:sz w:val="30"/>
          <w:szCs w:val="30"/>
          <w:lang w:eastAsia="bs-Latn-BA"/>
        </w:rPr>
        <w:t>March 14-16</w:t>
      </w:r>
      <w:r w:rsidR="004F16A4" w:rsidRPr="00AA75CD">
        <w:rPr>
          <w:rFonts w:ascii="Times New Roman" w:eastAsia="Times New Roman" w:hAnsi="Times New Roman" w:cs="Times New Roman"/>
          <w:b/>
          <w:color w:val="0070C0"/>
          <w:sz w:val="30"/>
          <w:szCs w:val="30"/>
          <w:lang w:eastAsia="bs-Latn-BA"/>
        </w:rPr>
        <w:t>, 201</w:t>
      </w:r>
      <w:r w:rsidR="00822854" w:rsidRPr="00AA75CD">
        <w:rPr>
          <w:rFonts w:ascii="Times New Roman" w:eastAsia="Times New Roman" w:hAnsi="Times New Roman" w:cs="Times New Roman"/>
          <w:b/>
          <w:color w:val="0070C0"/>
          <w:sz w:val="30"/>
          <w:szCs w:val="30"/>
          <w:lang w:eastAsia="bs-Latn-BA"/>
        </w:rPr>
        <w:t>8</w:t>
      </w:r>
      <w:r w:rsidR="004F16A4" w:rsidRPr="00AA75CD">
        <w:rPr>
          <w:rFonts w:ascii="Times New Roman" w:eastAsia="Times New Roman" w:hAnsi="Times New Roman" w:cs="Times New Roman"/>
          <w:b/>
          <w:color w:val="0070C0"/>
          <w:sz w:val="30"/>
          <w:szCs w:val="30"/>
          <w:lang w:eastAsia="bs-Latn-BA"/>
        </w:rPr>
        <w:t xml:space="preserve">: </w:t>
      </w:r>
    </w:p>
    <w:p w14:paraId="39663C6A" w14:textId="5DD1D6B7" w:rsidR="00822854" w:rsidRDefault="00822854" w:rsidP="00035C5A">
      <w:pPr>
        <w:jc w:val="center"/>
        <w:rPr>
          <w:rFonts w:ascii="Times New Roman" w:eastAsia="Times New Roman" w:hAnsi="Times New Roman" w:cs="Times New Roman"/>
          <w:b/>
          <w:color w:val="0070C0"/>
          <w:lang w:eastAsia="bs-Latn-BA"/>
        </w:rPr>
      </w:pPr>
      <w:r w:rsidRPr="00822854">
        <w:rPr>
          <w:rFonts w:ascii="Times New Roman" w:eastAsia="Times New Roman" w:hAnsi="Times New Roman" w:cs="Times New Roman"/>
          <w:b/>
          <w:caps/>
          <w:color w:val="0070C0"/>
          <w:lang w:eastAsia="bs-Latn-BA"/>
        </w:rPr>
        <w:t>Improving Effectiveness and Accountability of Public Expenditures</w:t>
      </w:r>
      <w:r>
        <w:rPr>
          <w:rFonts w:ascii="Times New Roman" w:eastAsia="Times New Roman" w:hAnsi="Times New Roman" w:cs="Times New Roman"/>
          <w:b/>
          <w:color w:val="0070C0"/>
          <w:lang w:eastAsia="bs-Latn-BA"/>
        </w:rPr>
        <w:t xml:space="preserve">: </w:t>
      </w:r>
      <w:r w:rsidR="00AA75CD">
        <w:rPr>
          <w:rFonts w:ascii="Times New Roman" w:eastAsia="Times New Roman" w:hAnsi="Times New Roman" w:cs="Times New Roman"/>
          <w:b/>
          <w:color w:val="0070C0"/>
          <w:lang w:eastAsia="bs-Latn-BA"/>
        </w:rPr>
        <w:t xml:space="preserve">     </w:t>
      </w:r>
      <w:r w:rsidRPr="00822854">
        <w:rPr>
          <w:rFonts w:ascii="Times New Roman" w:eastAsia="Times New Roman" w:hAnsi="Times New Roman" w:cs="Times New Roman"/>
          <w:b/>
          <w:color w:val="0070C0"/>
          <w:lang w:eastAsia="bs-Latn-BA"/>
        </w:rPr>
        <w:t>Trends in Intergovernmental Fiscal Relations, Performance Budgeting and Budget Participation</w:t>
      </w:r>
      <w:r w:rsidR="00F6610A" w:rsidRPr="00F528EF">
        <w:rPr>
          <w:rFonts w:ascii="Times New Roman" w:eastAsia="Times New Roman" w:hAnsi="Times New Roman" w:cs="Times New Roman"/>
          <w:b/>
          <w:color w:val="0070C0"/>
          <w:lang w:eastAsia="bs-Latn-BA"/>
        </w:rPr>
        <w:t xml:space="preserve"> </w:t>
      </w:r>
    </w:p>
    <w:p w14:paraId="25814F8D" w14:textId="7ADC7F90" w:rsidR="00D40C40" w:rsidRPr="00F528EF" w:rsidRDefault="00822854" w:rsidP="00035C5A">
      <w:pPr>
        <w:jc w:val="center"/>
        <w:rPr>
          <w:rFonts w:ascii="Times New Roman" w:eastAsia="Times New Roman" w:hAnsi="Times New Roman" w:cs="Times New Roman"/>
          <w:b/>
          <w:color w:val="0070C0"/>
          <w:lang w:eastAsia="bs-Latn-BA"/>
        </w:rPr>
      </w:pPr>
      <w:r>
        <w:rPr>
          <w:rFonts w:ascii="Times New Roman" w:eastAsia="Times New Roman" w:hAnsi="Times New Roman" w:cs="Times New Roman"/>
          <w:b/>
          <w:color w:val="0070C0"/>
          <w:lang w:eastAsia="bs-Latn-BA"/>
        </w:rPr>
        <w:t>Vienna, Austria</w:t>
      </w:r>
    </w:p>
    <w:p w14:paraId="674D6A35" w14:textId="50800224" w:rsidR="00BC0FAF" w:rsidRPr="00F528EF" w:rsidRDefault="00BC0FAF" w:rsidP="00035C5A">
      <w:pPr>
        <w:jc w:val="center"/>
        <w:rPr>
          <w:rFonts w:ascii="Times New Roman" w:eastAsia="Times New Roman" w:hAnsi="Times New Roman" w:cs="Times New Roman"/>
          <w:b/>
          <w:color w:val="0070C0"/>
          <w:lang w:eastAsia="bs-Latn-BA"/>
        </w:rPr>
      </w:pPr>
      <w:r w:rsidRPr="00F528EF">
        <w:rPr>
          <w:rFonts w:ascii="Times New Roman" w:eastAsia="Times New Roman" w:hAnsi="Times New Roman" w:cs="Times New Roman"/>
          <w:b/>
          <w:color w:val="0070C0"/>
          <w:lang w:eastAsia="bs-Latn-BA"/>
        </w:rPr>
        <w:t>EVENT REPORT</w:t>
      </w:r>
    </w:p>
    <w:sdt>
      <w:sdtPr>
        <w:rPr>
          <w:rFonts w:ascii="Times New Roman" w:eastAsiaTheme="minorHAnsi" w:hAnsi="Times New Roman" w:cs="Times New Roman"/>
          <w:b w:val="0"/>
          <w:bCs w:val="0"/>
          <w:color w:val="auto"/>
          <w:sz w:val="24"/>
          <w:szCs w:val="24"/>
        </w:rPr>
        <w:id w:val="-140118596"/>
        <w:docPartObj>
          <w:docPartGallery w:val="Table of Contents"/>
          <w:docPartUnique/>
        </w:docPartObj>
      </w:sdtPr>
      <w:sdtEndPr>
        <w:rPr>
          <w:noProof/>
        </w:rPr>
      </w:sdtEndPr>
      <w:sdtContent>
        <w:p w14:paraId="125F1995" w14:textId="68C22A09" w:rsidR="00035C5A" w:rsidRPr="00AA75CD" w:rsidRDefault="00035C5A">
          <w:pPr>
            <w:pStyle w:val="TOCHeading"/>
            <w:rPr>
              <w:rFonts w:ascii="Times New Roman" w:hAnsi="Times New Roman" w:cs="Times New Roman"/>
              <w:bCs w:val="0"/>
              <w:sz w:val="24"/>
              <w:szCs w:val="24"/>
            </w:rPr>
          </w:pPr>
          <w:r w:rsidRPr="00AA75CD">
            <w:rPr>
              <w:rFonts w:ascii="Times New Roman" w:hAnsi="Times New Roman" w:cs="Times New Roman"/>
              <w:bCs w:val="0"/>
              <w:sz w:val="24"/>
              <w:szCs w:val="24"/>
            </w:rPr>
            <w:t>Table of Contents</w:t>
          </w:r>
        </w:p>
        <w:p w14:paraId="6E89D20E" w14:textId="317B5DEC" w:rsidR="00AA75CD" w:rsidRPr="00AA75CD" w:rsidRDefault="00035C5A" w:rsidP="00AA75CD">
          <w:pPr>
            <w:pStyle w:val="TOC1"/>
            <w:rPr>
              <w:rFonts w:ascii="Times New Roman" w:eastAsiaTheme="minorEastAsia" w:hAnsi="Times New Roman" w:cs="Times New Roman"/>
              <w:noProof/>
            </w:rPr>
          </w:pPr>
          <w:r w:rsidRPr="00AA75CD">
            <w:rPr>
              <w:rFonts w:ascii="Times New Roman" w:hAnsi="Times New Roman" w:cs="Times New Roman"/>
            </w:rPr>
            <w:fldChar w:fldCharType="begin"/>
          </w:r>
          <w:r w:rsidRPr="00AA75CD">
            <w:rPr>
              <w:rFonts w:ascii="Times New Roman" w:hAnsi="Times New Roman" w:cs="Times New Roman"/>
            </w:rPr>
            <w:instrText xml:space="preserve"> TOC \o "1-3" \h \z \u </w:instrText>
          </w:r>
          <w:r w:rsidRPr="00AA75CD">
            <w:rPr>
              <w:rFonts w:ascii="Times New Roman" w:hAnsi="Times New Roman" w:cs="Times New Roman"/>
            </w:rPr>
            <w:fldChar w:fldCharType="separate"/>
          </w:r>
          <w:hyperlink w:anchor="_Toc511655345" w:history="1">
            <w:r w:rsidR="00AA75CD" w:rsidRPr="00AA75CD">
              <w:rPr>
                <w:rStyle w:val="Hyperlink"/>
                <w:rFonts w:ascii="Times New Roman" w:eastAsia="Times New Roman" w:hAnsi="Times New Roman" w:cs="Times New Roman"/>
                <w:noProof/>
                <w:lang w:eastAsia="bs-Latn-BA"/>
              </w:rPr>
              <w:t>1.</w:t>
            </w:r>
            <w:r w:rsidR="00AA75CD" w:rsidRPr="00AA75CD">
              <w:rPr>
                <w:rFonts w:ascii="Times New Roman" w:eastAsiaTheme="minorEastAsia" w:hAnsi="Times New Roman" w:cs="Times New Roman"/>
                <w:noProof/>
              </w:rPr>
              <w:tab/>
            </w:r>
            <w:r w:rsidR="00AA75CD" w:rsidRPr="00AA75CD">
              <w:rPr>
                <w:rStyle w:val="Hyperlink"/>
                <w:rFonts w:ascii="Times New Roman" w:eastAsia="Times New Roman" w:hAnsi="Times New Roman" w:cs="Times New Roman"/>
                <w:noProof/>
                <w:lang w:eastAsia="bs-Latn-BA"/>
              </w:rPr>
              <w:t>Background</w:t>
            </w:r>
            <w:r w:rsidR="00AA75CD" w:rsidRPr="00AA75CD">
              <w:rPr>
                <w:rFonts w:ascii="Times New Roman" w:hAnsi="Times New Roman" w:cs="Times New Roman"/>
                <w:noProof/>
                <w:webHidden/>
              </w:rPr>
              <w:tab/>
            </w:r>
            <w:r w:rsidR="00AA75CD" w:rsidRPr="00AA75CD">
              <w:rPr>
                <w:rFonts w:ascii="Times New Roman" w:hAnsi="Times New Roman" w:cs="Times New Roman"/>
                <w:noProof/>
                <w:webHidden/>
              </w:rPr>
              <w:fldChar w:fldCharType="begin"/>
            </w:r>
            <w:r w:rsidR="00AA75CD" w:rsidRPr="00AA75CD">
              <w:rPr>
                <w:rFonts w:ascii="Times New Roman" w:hAnsi="Times New Roman" w:cs="Times New Roman"/>
                <w:noProof/>
                <w:webHidden/>
              </w:rPr>
              <w:instrText xml:space="preserve"> PAGEREF _Toc511655345 \h </w:instrText>
            </w:r>
            <w:r w:rsidR="00AA75CD" w:rsidRPr="00AA75CD">
              <w:rPr>
                <w:rFonts w:ascii="Times New Roman" w:hAnsi="Times New Roman" w:cs="Times New Roman"/>
                <w:noProof/>
                <w:webHidden/>
              </w:rPr>
            </w:r>
            <w:r w:rsidR="00AA75CD" w:rsidRPr="00AA75CD">
              <w:rPr>
                <w:rFonts w:ascii="Times New Roman" w:hAnsi="Times New Roman" w:cs="Times New Roman"/>
                <w:noProof/>
                <w:webHidden/>
              </w:rPr>
              <w:fldChar w:fldCharType="separate"/>
            </w:r>
            <w:r w:rsidR="003B4FB8">
              <w:rPr>
                <w:rFonts w:ascii="Times New Roman" w:hAnsi="Times New Roman" w:cs="Times New Roman"/>
                <w:noProof/>
                <w:webHidden/>
              </w:rPr>
              <w:t>1</w:t>
            </w:r>
            <w:r w:rsidR="00AA75CD" w:rsidRPr="00AA75CD">
              <w:rPr>
                <w:rFonts w:ascii="Times New Roman" w:hAnsi="Times New Roman" w:cs="Times New Roman"/>
                <w:noProof/>
                <w:webHidden/>
              </w:rPr>
              <w:fldChar w:fldCharType="end"/>
            </w:r>
          </w:hyperlink>
        </w:p>
        <w:p w14:paraId="384C55F4" w14:textId="4E12BBB5" w:rsidR="00AA75CD" w:rsidRPr="00AA75CD" w:rsidRDefault="009105EE" w:rsidP="00AA75CD">
          <w:pPr>
            <w:pStyle w:val="TOC3"/>
            <w:tabs>
              <w:tab w:val="left" w:pos="180"/>
              <w:tab w:val="left" w:pos="540"/>
            </w:tabs>
            <w:rPr>
              <w:rFonts w:eastAsiaTheme="minorEastAsia"/>
              <w:color w:val="auto"/>
              <w:sz w:val="24"/>
              <w:szCs w:val="24"/>
            </w:rPr>
          </w:pPr>
          <w:hyperlink w:anchor="_Toc511655346" w:history="1">
            <w:r w:rsidR="00AA75CD" w:rsidRPr="00AA75CD">
              <w:rPr>
                <w:rStyle w:val="Hyperlink"/>
                <w:b/>
                <w:color w:val="034990" w:themeColor="hyperlink" w:themeShade="BF"/>
                <w:sz w:val="24"/>
                <w:szCs w:val="24"/>
              </w:rPr>
              <w:t>Event Objectives and Participants</w:t>
            </w:r>
            <w:r w:rsidR="00AA75CD" w:rsidRPr="00AA75CD">
              <w:rPr>
                <w:webHidden/>
                <w:sz w:val="24"/>
                <w:szCs w:val="24"/>
              </w:rPr>
              <w:tab/>
            </w:r>
            <w:r w:rsidR="00AA75CD" w:rsidRPr="00AA75CD">
              <w:rPr>
                <w:webHidden/>
                <w:sz w:val="24"/>
                <w:szCs w:val="24"/>
              </w:rPr>
              <w:fldChar w:fldCharType="begin"/>
            </w:r>
            <w:r w:rsidR="00AA75CD" w:rsidRPr="00AA75CD">
              <w:rPr>
                <w:webHidden/>
                <w:sz w:val="24"/>
                <w:szCs w:val="24"/>
              </w:rPr>
              <w:instrText xml:space="preserve"> PAGEREF _Toc511655346 \h </w:instrText>
            </w:r>
            <w:r w:rsidR="00AA75CD" w:rsidRPr="00AA75CD">
              <w:rPr>
                <w:webHidden/>
                <w:sz w:val="24"/>
                <w:szCs w:val="24"/>
              </w:rPr>
            </w:r>
            <w:r w:rsidR="00AA75CD" w:rsidRPr="00AA75CD">
              <w:rPr>
                <w:webHidden/>
                <w:sz w:val="24"/>
                <w:szCs w:val="24"/>
              </w:rPr>
              <w:fldChar w:fldCharType="separate"/>
            </w:r>
            <w:r w:rsidR="003B4FB8">
              <w:rPr>
                <w:webHidden/>
                <w:sz w:val="24"/>
                <w:szCs w:val="24"/>
              </w:rPr>
              <w:t>1</w:t>
            </w:r>
            <w:r w:rsidR="00AA75CD" w:rsidRPr="00AA75CD">
              <w:rPr>
                <w:webHidden/>
                <w:sz w:val="24"/>
                <w:szCs w:val="24"/>
              </w:rPr>
              <w:fldChar w:fldCharType="end"/>
            </w:r>
          </w:hyperlink>
        </w:p>
        <w:p w14:paraId="638A36A6" w14:textId="7271DD45" w:rsidR="00AA75CD" w:rsidRPr="00AA75CD" w:rsidRDefault="009105EE" w:rsidP="00AA75CD">
          <w:pPr>
            <w:pStyle w:val="TOC1"/>
            <w:rPr>
              <w:rFonts w:ascii="Times New Roman" w:eastAsiaTheme="minorEastAsia" w:hAnsi="Times New Roman" w:cs="Times New Roman"/>
              <w:noProof/>
            </w:rPr>
          </w:pPr>
          <w:hyperlink w:anchor="_Toc511655347" w:history="1">
            <w:r w:rsidR="00AA75CD" w:rsidRPr="00AA75CD">
              <w:rPr>
                <w:rStyle w:val="Hyperlink"/>
                <w:rFonts w:ascii="Times New Roman" w:eastAsia="Times New Roman" w:hAnsi="Times New Roman" w:cs="Times New Roman"/>
                <w:noProof/>
                <w:lang w:eastAsia="bs-Latn-BA"/>
              </w:rPr>
              <w:t>2.</w:t>
            </w:r>
            <w:r w:rsidR="00AA75CD" w:rsidRPr="00AA75CD">
              <w:rPr>
                <w:rFonts w:ascii="Times New Roman" w:eastAsiaTheme="minorEastAsia" w:hAnsi="Times New Roman" w:cs="Times New Roman"/>
                <w:noProof/>
              </w:rPr>
              <w:tab/>
            </w:r>
            <w:r w:rsidR="00AA75CD" w:rsidRPr="00AA75CD">
              <w:rPr>
                <w:rStyle w:val="Hyperlink"/>
                <w:rFonts w:ascii="Times New Roman" w:eastAsia="Times New Roman" w:hAnsi="Times New Roman" w:cs="Times New Roman"/>
                <w:noProof/>
                <w:lang w:eastAsia="bs-Latn-BA"/>
              </w:rPr>
              <w:t>Agenda Overview</w:t>
            </w:r>
            <w:r w:rsidR="00AA75CD" w:rsidRPr="00AA75CD">
              <w:rPr>
                <w:rFonts w:ascii="Times New Roman" w:hAnsi="Times New Roman" w:cs="Times New Roman"/>
                <w:noProof/>
                <w:webHidden/>
              </w:rPr>
              <w:tab/>
            </w:r>
            <w:r w:rsidR="00AA75CD" w:rsidRPr="00AA75CD">
              <w:rPr>
                <w:rFonts w:ascii="Times New Roman" w:hAnsi="Times New Roman" w:cs="Times New Roman"/>
                <w:noProof/>
                <w:webHidden/>
              </w:rPr>
              <w:fldChar w:fldCharType="begin"/>
            </w:r>
            <w:r w:rsidR="00AA75CD" w:rsidRPr="00AA75CD">
              <w:rPr>
                <w:rFonts w:ascii="Times New Roman" w:hAnsi="Times New Roman" w:cs="Times New Roman"/>
                <w:noProof/>
                <w:webHidden/>
              </w:rPr>
              <w:instrText xml:space="preserve"> PAGEREF _Toc511655347 \h </w:instrText>
            </w:r>
            <w:r w:rsidR="00AA75CD" w:rsidRPr="00AA75CD">
              <w:rPr>
                <w:rFonts w:ascii="Times New Roman" w:hAnsi="Times New Roman" w:cs="Times New Roman"/>
                <w:noProof/>
                <w:webHidden/>
              </w:rPr>
            </w:r>
            <w:r w:rsidR="00AA75CD" w:rsidRPr="00AA75CD">
              <w:rPr>
                <w:rFonts w:ascii="Times New Roman" w:hAnsi="Times New Roman" w:cs="Times New Roman"/>
                <w:noProof/>
                <w:webHidden/>
              </w:rPr>
              <w:fldChar w:fldCharType="separate"/>
            </w:r>
            <w:r w:rsidR="003B4FB8">
              <w:rPr>
                <w:rFonts w:ascii="Times New Roman" w:hAnsi="Times New Roman" w:cs="Times New Roman"/>
                <w:noProof/>
                <w:webHidden/>
              </w:rPr>
              <w:t>2</w:t>
            </w:r>
            <w:r w:rsidR="00AA75CD" w:rsidRPr="00AA75CD">
              <w:rPr>
                <w:rFonts w:ascii="Times New Roman" w:hAnsi="Times New Roman" w:cs="Times New Roman"/>
                <w:noProof/>
                <w:webHidden/>
              </w:rPr>
              <w:fldChar w:fldCharType="end"/>
            </w:r>
          </w:hyperlink>
        </w:p>
        <w:p w14:paraId="485F634F" w14:textId="7A6D2451" w:rsidR="00AA75CD" w:rsidRPr="00AA75CD" w:rsidRDefault="009105EE" w:rsidP="00AA75CD">
          <w:pPr>
            <w:pStyle w:val="TOC1"/>
            <w:rPr>
              <w:rFonts w:ascii="Times New Roman" w:eastAsiaTheme="minorEastAsia" w:hAnsi="Times New Roman" w:cs="Times New Roman"/>
              <w:noProof/>
            </w:rPr>
          </w:pPr>
          <w:hyperlink w:anchor="_Toc511655348" w:history="1">
            <w:r w:rsidR="00AA75CD" w:rsidRPr="00AA75CD">
              <w:rPr>
                <w:rStyle w:val="Hyperlink"/>
                <w:rFonts w:ascii="Times New Roman" w:eastAsia="Times New Roman" w:hAnsi="Times New Roman" w:cs="Times New Roman"/>
                <w:noProof/>
                <w:lang w:eastAsia="bs-Latn-BA"/>
              </w:rPr>
              <w:t>3.</w:t>
            </w:r>
            <w:r w:rsidR="00AA75CD" w:rsidRPr="00AA75CD">
              <w:rPr>
                <w:rFonts w:ascii="Times New Roman" w:eastAsiaTheme="minorEastAsia" w:hAnsi="Times New Roman" w:cs="Times New Roman"/>
                <w:noProof/>
              </w:rPr>
              <w:tab/>
            </w:r>
            <w:r w:rsidR="00AA75CD" w:rsidRPr="00AA75CD">
              <w:rPr>
                <w:rStyle w:val="Hyperlink"/>
                <w:rFonts w:ascii="Times New Roman" w:eastAsia="Times New Roman" w:hAnsi="Times New Roman" w:cs="Times New Roman"/>
                <w:noProof/>
                <w:lang w:eastAsia="bs-Latn-BA"/>
              </w:rPr>
              <w:t>Day One – Intergovernmental Fiscal Relations</w:t>
            </w:r>
            <w:r w:rsidR="00AA75CD" w:rsidRPr="00AA75CD">
              <w:rPr>
                <w:rFonts w:ascii="Times New Roman" w:hAnsi="Times New Roman" w:cs="Times New Roman"/>
                <w:noProof/>
                <w:webHidden/>
              </w:rPr>
              <w:tab/>
            </w:r>
            <w:r w:rsidR="00AA75CD" w:rsidRPr="00AA75CD">
              <w:rPr>
                <w:rFonts w:ascii="Times New Roman" w:hAnsi="Times New Roman" w:cs="Times New Roman"/>
                <w:noProof/>
                <w:webHidden/>
              </w:rPr>
              <w:fldChar w:fldCharType="begin"/>
            </w:r>
            <w:r w:rsidR="00AA75CD" w:rsidRPr="00AA75CD">
              <w:rPr>
                <w:rFonts w:ascii="Times New Roman" w:hAnsi="Times New Roman" w:cs="Times New Roman"/>
                <w:noProof/>
                <w:webHidden/>
              </w:rPr>
              <w:instrText xml:space="preserve"> PAGEREF _Toc511655348 \h </w:instrText>
            </w:r>
            <w:r w:rsidR="00AA75CD" w:rsidRPr="00AA75CD">
              <w:rPr>
                <w:rFonts w:ascii="Times New Roman" w:hAnsi="Times New Roman" w:cs="Times New Roman"/>
                <w:noProof/>
                <w:webHidden/>
              </w:rPr>
            </w:r>
            <w:r w:rsidR="00AA75CD" w:rsidRPr="00AA75CD">
              <w:rPr>
                <w:rFonts w:ascii="Times New Roman" w:hAnsi="Times New Roman" w:cs="Times New Roman"/>
                <w:noProof/>
                <w:webHidden/>
              </w:rPr>
              <w:fldChar w:fldCharType="separate"/>
            </w:r>
            <w:r w:rsidR="003B4FB8">
              <w:rPr>
                <w:rFonts w:ascii="Times New Roman" w:hAnsi="Times New Roman" w:cs="Times New Roman"/>
                <w:noProof/>
                <w:webHidden/>
              </w:rPr>
              <w:t>3</w:t>
            </w:r>
            <w:r w:rsidR="00AA75CD" w:rsidRPr="00AA75CD">
              <w:rPr>
                <w:rFonts w:ascii="Times New Roman" w:hAnsi="Times New Roman" w:cs="Times New Roman"/>
                <w:noProof/>
                <w:webHidden/>
              </w:rPr>
              <w:fldChar w:fldCharType="end"/>
            </w:r>
          </w:hyperlink>
        </w:p>
        <w:p w14:paraId="0E71A1D9" w14:textId="1933236E" w:rsidR="00AA75CD" w:rsidRPr="00AA75CD" w:rsidRDefault="009105EE" w:rsidP="00AA75CD">
          <w:pPr>
            <w:pStyle w:val="TOC3"/>
            <w:tabs>
              <w:tab w:val="left" w:pos="180"/>
              <w:tab w:val="left" w:pos="540"/>
            </w:tabs>
            <w:rPr>
              <w:rFonts w:eastAsiaTheme="minorEastAsia"/>
              <w:color w:val="auto"/>
              <w:sz w:val="24"/>
              <w:szCs w:val="24"/>
            </w:rPr>
          </w:pPr>
          <w:hyperlink w:anchor="_Toc511655349" w:history="1">
            <w:r w:rsidR="00AA75CD" w:rsidRPr="00AA75CD">
              <w:rPr>
                <w:rStyle w:val="Hyperlink"/>
                <w:b/>
                <w:color w:val="034990" w:themeColor="hyperlink" w:themeShade="BF"/>
                <w:sz w:val="24"/>
                <w:szCs w:val="24"/>
              </w:rPr>
              <w:t>Intergovernmental Fiscal Transfers: Trends and</w:t>
            </w:r>
            <w:bookmarkStart w:id="0" w:name="_GoBack"/>
            <w:bookmarkEnd w:id="0"/>
            <w:r w:rsidR="00AA75CD" w:rsidRPr="00AA75CD">
              <w:rPr>
                <w:rStyle w:val="Hyperlink"/>
                <w:b/>
                <w:color w:val="034990" w:themeColor="hyperlink" w:themeShade="BF"/>
                <w:sz w:val="24"/>
                <w:szCs w:val="24"/>
              </w:rPr>
              <w:t xml:space="preserve"> Challenges in PEMPAL Countries</w:t>
            </w:r>
            <w:r w:rsidR="00AA75CD" w:rsidRPr="00AA75CD">
              <w:rPr>
                <w:webHidden/>
                <w:sz w:val="24"/>
                <w:szCs w:val="24"/>
              </w:rPr>
              <w:tab/>
            </w:r>
            <w:r w:rsidR="00AA75CD" w:rsidRPr="00AA75CD">
              <w:rPr>
                <w:webHidden/>
                <w:sz w:val="24"/>
                <w:szCs w:val="24"/>
              </w:rPr>
              <w:fldChar w:fldCharType="begin"/>
            </w:r>
            <w:r w:rsidR="00AA75CD" w:rsidRPr="00AA75CD">
              <w:rPr>
                <w:webHidden/>
                <w:sz w:val="24"/>
                <w:szCs w:val="24"/>
              </w:rPr>
              <w:instrText xml:space="preserve"> PAGEREF _Toc511655349 \h </w:instrText>
            </w:r>
            <w:r w:rsidR="00AA75CD" w:rsidRPr="00AA75CD">
              <w:rPr>
                <w:webHidden/>
                <w:sz w:val="24"/>
                <w:szCs w:val="24"/>
              </w:rPr>
            </w:r>
            <w:r w:rsidR="00AA75CD" w:rsidRPr="00AA75CD">
              <w:rPr>
                <w:webHidden/>
                <w:sz w:val="24"/>
                <w:szCs w:val="24"/>
              </w:rPr>
              <w:fldChar w:fldCharType="separate"/>
            </w:r>
            <w:r w:rsidR="003B4FB8">
              <w:rPr>
                <w:webHidden/>
                <w:sz w:val="24"/>
                <w:szCs w:val="24"/>
              </w:rPr>
              <w:t>3</w:t>
            </w:r>
            <w:r w:rsidR="00AA75CD" w:rsidRPr="00AA75CD">
              <w:rPr>
                <w:webHidden/>
                <w:sz w:val="24"/>
                <w:szCs w:val="24"/>
              </w:rPr>
              <w:fldChar w:fldCharType="end"/>
            </w:r>
          </w:hyperlink>
        </w:p>
        <w:p w14:paraId="385AB4A2" w14:textId="16158333" w:rsidR="00AA75CD" w:rsidRPr="00AA75CD" w:rsidRDefault="009105EE" w:rsidP="00AA75CD">
          <w:pPr>
            <w:pStyle w:val="TOC3"/>
            <w:tabs>
              <w:tab w:val="left" w:pos="180"/>
              <w:tab w:val="left" w:pos="540"/>
            </w:tabs>
            <w:rPr>
              <w:rFonts w:eastAsiaTheme="minorEastAsia"/>
              <w:color w:val="auto"/>
              <w:sz w:val="24"/>
              <w:szCs w:val="24"/>
            </w:rPr>
          </w:pPr>
          <w:hyperlink w:anchor="_Toc511655350" w:history="1">
            <w:r w:rsidR="00AA75CD" w:rsidRPr="00AA75CD">
              <w:rPr>
                <w:rStyle w:val="Hyperlink"/>
                <w:b/>
                <w:color w:val="034990" w:themeColor="hyperlink" w:themeShade="BF"/>
                <w:sz w:val="24"/>
                <w:szCs w:val="24"/>
              </w:rPr>
              <w:t>What Do PEFA Assessments Tell Us About Intergovernmental Fiscal Relations?</w:t>
            </w:r>
            <w:r w:rsidR="00AA75CD" w:rsidRPr="00AA75CD">
              <w:rPr>
                <w:webHidden/>
                <w:sz w:val="24"/>
                <w:szCs w:val="24"/>
              </w:rPr>
              <w:tab/>
            </w:r>
            <w:r w:rsidR="00AA75CD" w:rsidRPr="00AA75CD">
              <w:rPr>
                <w:webHidden/>
                <w:sz w:val="24"/>
                <w:szCs w:val="24"/>
              </w:rPr>
              <w:fldChar w:fldCharType="begin"/>
            </w:r>
            <w:r w:rsidR="00AA75CD" w:rsidRPr="00AA75CD">
              <w:rPr>
                <w:webHidden/>
                <w:sz w:val="24"/>
                <w:szCs w:val="24"/>
              </w:rPr>
              <w:instrText xml:space="preserve"> PAGEREF _Toc511655350 \h </w:instrText>
            </w:r>
            <w:r w:rsidR="00AA75CD" w:rsidRPr="00AA75CD">
              <w:rPr>
                <w:webHidden/>
                <w:sz w:val="24"/>
                <w:szCs w:val="24"/>
              </w:rPr>
            </w:r>
            <w:r w:rsidR="00AA75CD" w:rsidRPr="00AA75CD">
              <w:rPr>
                <w:webHidden/>
                <w:sz w:val="24"/>
                <w:szCs w:val="24"/>
              </w:rPr>
              <w:fldChar w:fldCharType="separate"/>
            </w:r>
            <w:r w:rsidR="003B4FB8">
              <w:rPr>
                <w:webHidden/>
                <w:sz w:val="24"/>
                <w:szCs w:val="24"/>
              </w:rPr>
              <w:t>4</w:t>
            </w:r>
            <w:r w:rsidR="00AA75CD" w:rsidRPr="00AA75CD">
              <w:rPr>
                <w:webHidden/>
                <w:sz w:val="24"/>
                <w:szCs w:val="24"/>
              </w:rPr>
              <w:fldChar w:fldCharType="end"/>
            </w:r>
          </w:hyperlink>
        </w:p>
        <w:p w14:paraId="0AD08A8A" w14:textId="4A546860" w:rsidR="00AA75CD" w:rsidRPr="00AA75CD" w:rsidRDefault="009105EE" w:rsidP="00AA75CD">
          <w:pPr>
            <w:pStyle w:val="TOC3"/>
            <w:tabs>
              <w:tab w:val="left" w:pos="180"/>
              <w:tab w:val="left" w:pos="540"/>
            </w:tabs>
            <w:rPr>
              <w:rFonts w:eastAsiaTheme="minorEastAsia"/>
              <w:color w:val="auto"/>
              <w:sz w:val="24"/>
              <w:szCs w:val="24"/>
            </w:rPr>
          </w:pPr>
          <w:hyperlink w:anchor="_Toc511655351" w:history="1">
            <w:r w:rsidR="00AA75CD" w:rsidRPr="00AA75CD">
              <w:rPr>
                <w:rStyle w:val="Hyperlink"/>
                <w:b/>
                <w:color w:val="034990" w:themeColor="hyperlink" w:themeShade="BF"/>
                <w:sz w:val="24"/>
                <w:szCs w:val="24"/>
              </w:rPr>
              <w:t>Messages from the OECD’s Fiscal Network</w:t>
            </w:r>
            <w:r w:rsidR="00AA75CD" w:rsidRPr="00AA75CD">
              <w:rPr>
                <w:webHidden/>
                <w:sz w:val="24"/>
                <w:szCs w:val="24"/>
              </w:rPr>
              <w:tab/>
            </w:r>
            <w:r w:rsidR="00AA75CD" w:rsidRPr="00AA75CD">
              <w:rPr>
                <w:webHidden/>
                <w:sz w:val="24"/>
                <w:szCs w:val="24"/>
              </w:rPr>
              <w:fldChar w:fldCharType="begin"/>
            </w:r>
            <w:r w:rsidR="00AA75CD" w:rsidRPr="00AA75CD">
              <w:rPr>
                <w:webHidden/>
                <w:sz w:val="24"/>
                <w:szCs w:val="24"/>
              </w:rPr>
              <w:instrText xml:space="preserve"> PAGEREF _Toc511655351 \h </w:instrText>
            </w:r>
            <w:r w:rsidR="00AA75CD" w:rsidRPr="00AA75CD">
              <w:rPr>
                <w:webHidden/>
                <w:sz w:val="24"/>
                <w:szCs w:val="24"/>
              </w:rPr>
            </w:r>
            <w:r w:rsidR="00AA75CD" w:rsidRPr="00AA75CD">
              <w:rPr>
                <w:webHidden/>
                <w:sz w:val="24"/>
                <w:szCs w:val="24"/>
              </w:rPr>
              <w:fldChar w:fldCharType="separate"/>
            </w:r>
            <w:r w:rsidR="003B4FB8">
              <w:rPr>
                <w:webHidden/>
                <w:sz w:val="24"/>
                <w:szCs w:val="24"/>
              </w:rPr>
              <w:t>5</w:t>
            </w:r>
            <w:r w:rsidR="00AA75CD" w:rsidRPr="00AA75CD">
              <w:rPr>
                <w:webHidden/>
                <w:sz w:val="24"/>
                <w:szCs w:val="24"/>
              </w:rPr>
              <w:fldChar w:fldCharType="end"/>
            </w:r>
          </w:hyperlink>
        </w:p>
        <w:p w14:paraId="7D5F81E2" w14:textId="5A2AC1FD" w:rsidR="00AA75CD" w:rsidRPr="00AA75CD" w:rsidRDefault="009105EE" w:rsidP="00AA75CD">
          <w:pPr>
            <w:pStyle w:val="TOC3"/>
            <w:tabs>
              <w:tab w:val="left" w:pos="180"/>
              <w:tab w:val="left" w:pos="540"/>
            </w:tabs>
            <w:rPr>
              <w:rFonts w:eastAsiaTheme="minorEastAsia"/>
              <w:color w:val="auto"/>
              <w:sz w:val="24"/>
              <w:szCs w:val="24"/>
            </w:rPr>
          </w:pPr>
          <w:hyperlink w:anchor="_Toc511655352" w:history="1">
            <w:r w:rsidR="00AA75CD" w:rsidRPr="00AA75CD">
              <w:rPr>
                <w:rStyle w:val="Hyperlink"/>
                <w:b/>
                <w:color w:val="034990" w:themeColor="hyperlink" w:themeShade="BF"/>
                <w:sz w:val="24"/>
                <w:szCs w:val="24"/>
              </w:rPr>
              <w:t>Intergovernmental Fiscal Relations: The Austrian Experience</w:t>
            </w:r>
            <w:r w:rsidR="00AA75CD" w:rsidRPr="00AA75CD">
              <w:rPr>
                <w:webHidden/>
                <w:sz w:val="24"/>
                <w:szCs w:val="24"/>
              </w:rPr>
              <w:tab/>
            </w:r>
            <w:r w:rsidR="00AA75CD" w:rsidRPr="00AA75CD">
              <w:rPr>
                <w:webHidden/>
                <w:sz w:val="24"/>
                <w:szCs w:val="24"/>
              </w:rPr>
              <w:fldChar w:fldCharType="begin"/>
            </w:r>
            <w:r w:rsidR="00AA75CD" w:rsidRPr="00AA75CD">
              <w:rPr>
                <w:webHidden/>
                <w:sz w:val="24"/>
                <w:szCs w:val="24"/>
              </w:rPr>
              <w:instrText xml:space="preserve"> PAGEREF _Toc511655352 \h </w:instrText>
            </w:r>
            <w:r w:rsidR="00AA75CD" w:rsidRPr="00AA75CD">
              <w:rPr>
                <w:webHidden/>
                <w:sz w:val="24"/>
                <w:szCs w:val="24"/>
              </w:rPr>
            </w:r>
            <w:r w:rsidR="00AA75CD" w:rsidRPr="00AA75CD">
              <w:rPr>
                <w:webHidden/>
                <w:sz w:val="24"/>
                <w:szCs w:val="24"/>
              </w:rPr>
              <w:fldChar w:fldCharType="separate"/>
            </w:r>
            <w:r w:rsidR="003B4FB8">
              <w:rPr>
                <w:webHidden/>
                <w:sz w:val="24"/>
                <w:szCs w:val="24"/>
              </w:rPr>
              <w:t>6</w:t>
            </w:r>
            <w:r w:rsidR="00AA75CD" w:rsidRPr="00AA75CD">
              <w:rPr>
                <w:webHidden/>
                <w:sz w:val="24"/>
                <w:szCs w:val="24"/>
              </w:rPr>
              <w:fldChar w:fldCharType="end"/>
            </w:r>
          </w:hyperlink>
        </w:p>
        <w:p w14:paraId="5406AC51" w14:textId="3B8F36C6" w:rsidR="00AA75CD" w:rsidRPr="00AA75CD" w:rsidRDefault="009105EE" w:rsidP="00AA75CD">
          <w:pPr>
            <w:pStyle w:val="TOC1"/>
            <w:tabs>
              <w:tab w:val="clear" w:pos="180"/>
              <w:tab w:val="clear" w:pos="440"/>
              <w:tab w:val="left" w:pos="450"/>
            </w:tabs>
            <w:ind w:left="450" w:hanging="450"/>
            <w:rPr>
              <w:rFonts w:ascii="Times New Roman" w:eastAsiaTheme="minorEastAsia" w:hAnsi="Times New Roman" w:cs="Times New Roman"/>
              <w:noProof/>
            </w:rPr>
          </w:pPr>
          <w:hyperlink w:anchor="_Toc511655353" w:history="1">
            <w:r w:rsidR="00AA75CD" w:rsidRPr="00AA75CD">
              <w:rPr>
                <w:rStyle w:val="Hyperlink"/>
                <w:rFonts w:ascii="Times New Roman" w:eastAsia="Times New Roman" w:hAnsi="Times New Roman" w:cs="Times New Roman"/>
                <w:noProof/>
                <w:lang w:eastAsia="bs-Latn-BA"/>
              </w:rPr>
              <w:t>4.</w:t>
            </w:r>
            <w:r w:rsidR="00AA75CD" w:rsidRPr="00AA75CD">
              <w:rPr>
                <w:rFonts w:ascii="Times New Roman" w:eastAsiaTheme="minorEastAsia" w:hAnsi="Times New Roman" w:cs="Times New Roman"/>
                <w:noProof/>
              </w:rPr>
              <w:tab/>
            </w:r>
            <w:r w:rsidR="00AA75CD" w:rsidRPr="00AA75CD">
              <w:rPr>
                <w:rStyle w:val="Hyperlink"/>
                <w:rFonts w:ascii="Times New Roman" w:eastAsia="Times New Roman" w:hAnsi="Times New Roman" w:cs="Times New Roman"/>
                <w:noProof/>
                <w:lang w:eastAsia="bs-Latn-BA"/>
              </w:rPr>
              <w:t>Day Two – Hosted by the Program and Performance Budgeting Working Group (PPBWG), with the Focus on Performance Indicators</w:t>
            </w:r>
            <w:r w:rsidR="00AA75CD" w:rsidRPr="00AA75CD">
              <w:rPr>
                <w:rFonts w:ascii="Times New Roman" w:hAnsi="Times New Roman" w:cs="Times New Roman"/>
                <w:noProof/>
                <w:webHidden/>
              </w:rPr>
              <w:tab/>
            </w:r>
            <w:r w:rsidR="00AA75CD" w:rsidRPr="00AA75CD">
              <w:rPr>
                <w:rFonts w:ascii="Times New Roman" w:hAnsi="Times New Roman" w:cs="Times New Roman"/>
                <w:noProof/>
                <w:webHidden/>
              </w:rPr>
              <w:fldChar w:fldCharType="begin"/>
            </w:r>
            <w:r w:rsidR="00AA75CD" w:rsidRPr="00AA75CD">
              <w:rPr>
                <w:rFonts w:ascii="Times New Roman" w:hAnsi="Times New Roman" w:cs="Times New Roman"/>
                <w:noProof/>
                <w:webHidden/>
              </w:rPr>
              <w:instrText xml:space="preserve"> PAGEREF _Toc511655353 \h </w:instrText>
            </w:r>
            <w:r w:rsidR="00AA75CD" w:rsidRPr="00AA75CD">
              <w:rPr>
                <w:rFonts w:ascii="Times New Roman" w:hAnsi="Times New Roman" w:cs="Times New Roman"/>
                <w:noProof/>
                <w:webHidden/>
              </w:rPr>
            </w:r>
            <w:r w:rsidR="00AA75CD" w:rsidRPr="00AA75CD">
              <w:rPr>
                <w:rFonts w:ascii="Times New Roman" w:hAnsi="Times New Roman" w:cs="Times New Roman"/>
                <w:noProof/>
                <w:webHidden/>
              </w:rPr>
              <w:fldChar w:fldCharType="separate"/>
            </w:r>
            <w:r w:rsidR="003B4FB8">
              <w:rPr>
                <w:rFonts w:ascii="Times New Roman" w:hAnsi="Times New Roman" w:cs="Times New Roman"/>
                <w:noProof/>
                <w:webHidden/>
              </w:rPr>
              <w:t>6</w:t>
            </w:r>
            <w:r w:rsidR="00AA75CD" w:rsidRPr="00AA75CD">
              <w:rPr>
                <w:rFonts w:ascii="Times New Roman" w:hAnsi="Times New Roman" w:cs="Times New Roman"/>
                <w:noProof/>
                <w:webHidden/>
              </w:rPr>
              <w:fldChar w:fldCharType="end"/>
            </w:r>
          </w:hyperlink>
        </w:p>
        <w:p w14:paraId="1F0D8AF3" w14:textId="0B15A635" w:rsidR="00AA75CD" w:rsidRPr="00AA75CD" w:rsidRDefault="009105EE" w:rsidP="00AA75CD">
          <w:pPr>
            <w:pStyle w:val="TOC1"/>
            <w:ind w:left="450" w:hanging="450"/>
            <w:rPr>
              <w:rFonts w:ascii="Times New Roman" w:eastAsiaTheme="minorEastAsia" w:hAnsi="Times New Roman" w:cs="Times New Roman"/>
              <w:noProof/>
            </w:rPr>
          </w:pPr>
          <w:hyperlink w:anchor="_Toc511655354" w:history="1">
            <w:r w:rsidR="00AA75CD" w:rsidRPr="00AA75CD">
              <w:rPr>
                <w:rStyle w:val="Hyperlink"/>
                <w:rFonts w:ascii="Times New Roman" w:eastAsia="Times New Roman" w:hAnsi="Times New Roman" w:cs="Times New Roman"/>
                <w:noProof/>
                <w:lang w:eastAsia="bs-Latn-BA"/>
              </w:rPr>
              <w:t>5.</w:t>
            </w:r>
            <w:r w:rsidR="00AA75CD" w:rsidRPr="00AA75CD">
              <w:rPr>
                <w:rFonts w:ascii="Times New Roman" w:eastAsiaTheme="minorEastAsia" w:hAnsi="Times New Roman" w:cs="Times New Roman"/>
                <w:noProof/>
              </w:rPr>
              <w:tab/>
            </w:r>
            <w:r w:rsidR="00AA75CD" w:rsidRPr="00AA75CD">
              <w:rPr>
                <w:rStyle w:val="Hyperlink"/>
                <w:rFonts w:ascii="Times New Roman" w:eastAsia="Times New Roman" w:hAnsi="Times New Roman" w:cs="Times New Roman"/>
                <w:noProof/>
                <w:lang w:eastAsia="bs-Latn-BA"/>
              </w:rPr>
              <w:t>Day Three – Hosted by the Budget Literacy and Transparency Working Group (BLTWG), with the Focus on Public Participation in Fiscal Policy and Budget Process</w:t>
            </w:r>
            <w:r w:rsidR="00AA75CD" w:rsidRPr="00AA75CD">
              <w:rPr>
                <w:rFonts w:ascii="Times New Roman" w:hAnsi="Times New Roman" w:cs="Times New Roman"/>
                <w:noProof/>
                <w:webHidden/>
              </w:rPr>
              <w:tab/>
            </w:r>
            <w:r w:rsidR="00AA75CD" w:rsidRPr="00AA75CD">
              <w:rPr>
                <w:rFonts w:ascii="Times New Roman" w:hAnsi="Times New Roman" w:cs="Times New Roman"/>
                <w:noProof/>
                <w:webHidden/>
              </w:rPr>
              <w:fldChar w:fldCharType="begin"/>
            </w:r>
            <w:r w:rsidR="00AA75CD" w:rsidRPr="00AA75CD">
              <w:rPr>
                <w:rFonts w:ascii="Times New Roman" w:hAnsi="Times New Roman" w:cs="Times New Roman"/>
                <w:noProof/>
                <w:webHidden/>
              </w:rPr>
              <w:instrText xml:space="preserve"> PAGEREF _Toc511655354 \h </w:instrText>
            </w:r>
            <w:r w:rsidR="00AA75CD" w:rsidRPr="00AA75CD">
              <w:rPr>
                <w:rFonts w:ascii="Times New Roman" w:hAnsi="Times New Roman" w:cs="Times New Roman"/>
                <w:noProof/>
                <w:webHidden/>
              </w:rPr>
            </w:r>
            <w:r w:rsidR="00AA75CD" w:rsidRPr="00AA75CD">
              <w:rPr>
                <w:rFonts w:ascii="Times New Roman" w:hAnsi="Times New Roman" w:cs="Times New Roman"/>
                <w:noProof/>
                <w:webHidden/>
              </w:rPr>
              <w:fldChar w:fldCharType="separate"/>
            </w:r>
            <w:r w:rsidR="003B4FB8">
              <w:rPr>
                <w:rFonts w:ascii="Times New Roman" w:hAnsi="Times New Roman" w:cs="Times New Roman"/>
                <w:noProof/>
                <w:webHidden/>
              </w:rPr>
              <w:t>10</w:t>
            </w:r>
            <w:r w:rsidR="00AA75CD" w:rsidRPr="00AA75CD">
              <w:rPr>
                <w:rFonts w:ascii="Times New Roman" w:hAnsi="Times New Roman" w:cs="Times New Roman"/>
                <w:noProof/>
                <w:webHidden/>
              </w:rPr>
              <w:fldChar w:fldCharType="end"/>
            </w:r>
          </w:hyperlink>
        </w:p>
        <w:p w14:paraId="659858DA" w14:textId="1D6F897A" w:rsidR="00AA75CD" w:rsidRPr="00AA75CD" w:rsidRDefault="009105EE" w:rsidP="00AA75CD">
          <w:pPr>
            <w:pStyle w:val="TOC1"/>
            <w:rPr>
              <w:rFonts w:ascii="Times New Roman" w:eastAsiaTheme="minorEastAsia" w:hAnsi="Times New Roman" w:cs="Times New Roman"/>
              <w:noProof/>
            </w:rPr>
          </w:pPr>
          <w:hyperlink w:anchor="_Toc511655355" w:history="1">
            <w:r w:rsidR="00AA75CD" w:rsidRPr="00AA75CD">
              <w:rPr>
                <w:rStyle w:val="Hyperlink"/>
                <w:rFonts w:ascii="Times New Roman" w:hAnsi="Times New Roman" w:cs="Times New Roman"/>
                <w:noProof/>
              </w:rPr>
              <w:t>Annex: Event Agenda</w:t>
            </w:r>
            <w:r w:rsidR="00AA75CD" w:rsidRPr="00AA75CD">
              <w:rPr>
                <w:rFonts w:ascii="Times New Roman" w:hAnsi="Times New Roman" w:cs="Times New Roman"/>
                <w:noProof/>
                <w:webHidden/>
              </w:rPr>
              <w:tab/>
            </w:r>
            <w:r w:rsidR="00AA75CD" w:rsidRPr="00AA75CD">
              <w:rPr>
                <w:rFonts w:ascii="Times New Roman" w:hAnsi="Times New Roman" w:cs="Times New Roman"/>
                <w:noProof/>
                <w:webHidden/>
              </w:rPr>
              <w:fldChar w:fldCharType="begin"/>
            </w:r>
            <w:r w:rsidR="00AA75CD" w:rsidRPr="00AA75CD">
              <w:rPr>
                <w:rFonts w:ascii="Times New Roman" w:hAnsi="Times New Roman" w:cs="Times New Roman"/>
                <w:noProof/>
                <w:webHidden/>
              </w:rPr>
              <w:instrText xml:space="preserve"> PAGEREF _Toc511655355 \h </w:instrText>
            </w:r>
            <w:r w:rsidR="00AA75CD" w:rsidRPr="00AA75CD">
              <w:rPr>
                <w:rFonts w:ascii="Times New Roman" w:hAnsi="Times New Roman" w:cs="Times New Roman"/>
                <w:noProof/>
                <w:webHidden/>
              </w:rPr>
            </w:r>
            <w:r w:rsidR="00AA75CD" w:rsidRPr="00AA75CD">
              <w:rPr>
                <w:rFonts w:ascii="Times New Roman" w:hAnsi="Times New Roman" w:cs="Times New Roman"/>
                <w:noProof/>
                <w:webHidden/>
              </w:rPr>
              <w:fldChar w:fldCharType="separate"/>
            </w:r>
            <w:r w:rsidR="003B4FB8">
              <w:rPr>
                <w:rFonts w:ascii="Times New Roman" w:hAnsi="Times New Roman" w:cs="Times New Roman"/>
                <w:noProof/>
                <w:webHidden/>
              </w:rPr>
              <w:t>16</w:t>
            </w:r>
            <w:r w:rsidR="00AA75CD" w:rsidRPr="00AA75CD">
              <w:rPr>
                <w:rFonts w:ascii="Times New Roman" w:hAnsi="Times New Roman" w:cs="Times New Roman"/>
                <w:noProof/>
                <w:webHidden/>
              </w:rPr>
              <w:fldChar w:fldCharType="end"/>
            </w:r>
          </w:hyperlink>
        </w:p>
        <w:p w14:paraId="762ADFC5" w14:textId="1FCBF52F" w:rsidR="00D40C40" w:rsidRPr="006677F4" w:rsidRDefault="00035C5A" w:rsidP="00AA75CD">
          <w:pPr>
            <w:tabs>
              <w:tab w:val="left" w:pos="180"/>
              <w:tab w:val="left" w:pos="540"/>
            </w:tabs>
            <w:rPr>
              <w:rFonts w:ascii="Times New Roman" w:hAnsi="Times New Roman" w:cs="Times New Roman"/>
              <w:sz w:val="24"/>
              <w:szCs w:val="24"/>
            </w:rPr>
          </w:pPr>
          <w:r w:rsidRPr="00AA75CD">
            <w:rPr>
              <w:rFonts w:ascii="Times New Roman" w:hAnsi="Times New Roman" w:cs="Times New Roman"/>
              <w:b/>
              <w:noProof/>
              <w:sz w:val="24"/>
              <w:szCs w:val="24"/>
            </w:rPr>
            <w:fldChar w:fldCharType="end"/>
          </w:r>
        </w:p>
      </w:sdtContent>
    </w:sdt>
    <w:p w14:paraId="08E458E3" w14:textId="4093A8EF" w:rsidR="00B80AFE" w:rsidRPr="006677F4" w:rsidRDefault="00B80AFE" w:rsidP="001978F0">
      <w:pPr>
        <w:pStyle w:val="Heading1"/>
        <w:numPr>
          <w:ilvl w:val="0"/>
          <w:numId w:val="36"/>
        </w:numPr>
        <w:rPr>
          <w:rFonts w:ascii="Times New Roman" w:eastAsia="Times New Roman" w:hAnsi="Times New Roman" w:cs="Times New Roman"/>
          <w:b/>
          <w:sz w:val="24"/>
          <w:szCs w:val="24"/>
          <w:lang w:eastAsia="bs-Latn-BA"/>
        </w:rPr>
      </w:pPr>
      <w:bookmarkStart w:id="1" w:name="_Toc511655345"/>
      <w:r w:rsidRPr="006677F4">
        <w:rPr>
          <w:rFonts w:ascii="Times New Roman" w:eastAsia="Times New Roman" w:hAnsi="Times New Roman" w:cs="Times New Roman"/>
          <w:b/>
          <w:sz w:val="24"/>
          <w:szCs w:val="24"/>
          <w:lang w:eastAsia="bs-Latn-BA"/>
        </w:rPr>
        <w:t>Background</w:t>
      </w:r>
      <w:bookmarkEnd w:id="1"/>
    </w:p>
    <w:p w14:paraId="4AD3B73C" w14:textId="3124A9A1" w:rsidR="001C1A7E" w:rsidRPr="006677F4" w:rsidRDefault="001C1A7E" w:rsidP="00E43B56">
      <w:pPr>
        <w:spacing w:line="240" w:lineRule="auto"/>
        <w:jc w:val="both"/>
        <w:rPr>
          <w:rFonts w:ascii="Times New Roman" w:hAnsi="Times New Roman" w:cs="Times New Roman"/>
          <w:b/>
          <w:sz w:val="24"/>
          <w:szCs w:val="24"/>
        </w:rPr>
      </w:pPr>
      <w:r w:rsidRPr="006677F4">
        <w:rPr>
          <w:rFonts w:ascii="Times New Roman" w:hAnsi="Times New Roman" w:cs="Times New Roman"/>
          <w:b/>
          <w:sz w:val="24"/>
          <w:szCs w:val="24"/>
        </w:rPr>
        <w:t xml:space="preserve">This event report captures the key </w:t>
      </w:r>
      <w:r w:rsidRPr="000D61FB">
        <w:rPr>
          <w:rFonts w:ascii="Times New Roman" w:hAnsi="Times New Roman" w:cs="Times New Roman"/>
          <w:b/>
          <w:sz w:val="24"/>
          <w:szCs w:val="24"/>
        </w:rPr>
        <w:t>discussions and decisions made at</w:t>
      </w:r>
      <w:r w:rsidRPr="006677F4">
        <w:rPr>
          <w:rFonts w:ascii="Times New Roman" w:hAnsi="Times New Roman" w:cs="Times New Roman"/>
          <w:b/>
          <w:sz w:val="24"/>
          <w:szCs w:val="24"/>
        </w:rPr>
        <w:t xml:space="preserve"> the 201</w:t>
      </w:r>
      <w:r w:rsidR="00822854" w:rsidRPr="006677F4">
        <w:rPr>
          <w:rFonts w:ascii="Times New Roman" w:hAnsi="Times New Roman" w:cs="Times New Roman"/>
          <w:b/>
          <w:sz w:val="24"/>
          <w:szCs w:val="24"/>
        </w:rPr>
        <w:t>8</w:t>
      </w:r>
      <w:r w:rsidRPr="006677F4">
        <w:rPr>
          <w:rFonts w:ascii="Times New Roman" w:hAnsi="Times New Roman" w:cs="Times New Roman"/>
          <w:b/>
          <w:sz w:val="24"/>
          <w:szCs w:val="24"/>
        </w:rPr>
        <w:t xml:space="preserve"> Budget Community of Practice (BCOP) </w:t>
      </w:r>
      <w:r w:rsidR="00A16961" w:rsidRPr="006677F4">
        <w:rPr>
          <w:rFonts w:ascii="Times New Roman" w:hAnsi="Times New Roman" w:cs="Times New Roman"/>
          <w:b/>
          <w:sz w:val="24"/>
          <w:szCs w:val="24"/>
        </w:rPr>
        <w:t xml:space="preserve">annual plenary </w:t>
      </w:r>
      <w:r w:rsidRPr="006677F4">
        <w:rPr>
          <w:rFonts w:ascii="Times New Roman" w:hAnsi="Times New Roman" w:cs="Times New Roman"/>
          <w:b/>
          <w:sz w:val="24"/>
          <w:szCs w:val="24"/>
        </w:rPr>
        <w:t xml:space="preserve">meeting held </w:t>
      </w:r>
      <w:r w:rsidR="00B66CE9" w:rsidRPr="006677F4">
        <w:rPr>
          <w:rFonts w:ascii="Times New Roman" w:hAnsi="Times New Roman" w:cs="Times New Roman"/>
          <w:b/>
          <w:sz w:val="24"/>
          <w:szCs w:val="24"/>
        </w:rPr>
        <w:t>on</w:t>
      </w:r>
      <w:r w:rsidR="00822854" w:rsidRPr="006677F4">
        <w:rPr>
          <w:rFonts w:ascii="Times New Roman" w:hAnsi="Times New Roman" w:cs="Times New Roman"/>
          <w:b/>
          <w:sz w:val="24"/>
          <w:szCs w:val="24"/>
        </w:rPr>
        <w:t xml:space="preserve"> March 14-16</w:t>
      </w:r>
      <w:r w:rsidRPr="006677F4">
        <w:rPr>
          <w:rFonts w:ascii="Times New Roman" w:hAnsi="Times New Roman" w:cs="Times New Roman"/>
          <w:b/>
          <w:sz w:val="24"/>
          <w:szCs w:val="24"/>
        </w:rPr>
        <w:t xml:space="preserve"> in </w:t>
      </w:r>
      <w:r w:rsidR="00A14983" w:rsidRPr="006677F4">
        <w:rPr>
          <w:rFonts w:ascii="Times New Roman" w:hAnsi="Times New Roman" w:cs="Times New Roman"/>
          <w:b/>
          <w:sz w:val="24"/>
          <w:szCs w:val="24"/>
        </w:rPr>
        <w:t>Vienna, Austria,</w:t>
      </w:r>
      <w:r w:rsidR="003C5D88">
        <w:rPr>
          <w:rFonts w:ascii="Times New Roman" w:hAnsi="Times New Roman" w:cs="Times New Roman"/>
          <w:b/>
          <w:sz w:val="24"/>
          <w:szCs w:val="24"/>
        </w:rPr>
        <w:t xml:space="preserve"> focused</w:t>
      </w:r>
      <w:r w:rsidR="00A14983" w:rsidRPr="006677F4">
        <w:rPr>
          <w:rFonts w:ascii="Times New Roman" w:hAnsi="Times New Roman" w:cs="Times New Roman"/>
          <w:b/>
          <w:sz w:val="24"/>
          <w:szCs w:val="24"/>
        </w:rPr>
        <w:t xml:space="preserve"> on improving effectiveness and accountability of public expenditures</w:t>
      </w:r>
      <w:r w:rsidRPr="006677F4">
        <w:rPr>
          <w:rFonts w:ascii="Times New Roman" w:hAnsi="Times New Roman" w:cs="Times New Roman"/>
          <w:b/>
          <w:sz w:val="24"/>
          <w:szCs w:val="24"/>
        </w:rPr>
        <w:t>.</w:t>
      </w:r>
      <w:r w:rsidRPr="006677F4">
        <w:rPr>
          <w:rFonts w:ascii="Times New Roman" w:hAnsi="Times New Roman" w:cs="Times New Roman"/>
          <w:sz w:val="24"/>
          <w:szCs w:val="24"/>
        </w:rPr>
        <w:t xml:space="preserve"> </w:t>
      </w:r>
      <w:r w:rsidRPr="006677F4">
        <w:rPr>
          <w:rFonts w:ascii="Times New Roman" w:eastAsia="Times New Roman" w:hAnsi="Times New Roman" w:cs="Times New Roman"/>
          <w:color w:val="222222"/>
          <w:sz w:val="24"/>
          <w:szCs w:val="24"/>
          <w:lang w:eastAsia="bs-Latn-BA"/>
        </w:rPr>
        <w:t xml:space="preserve">The report was prepared by </w:t>
      </w:r>
      <w:r w:rsidR="007A5DC8">
        <w:rPr>
          <w:rFonts w:ascii="Times New Roman" w:eastAsia="Times New Roman" w:hAnsi="Times New Roman" w:cs="Times New Roman"/>
          <w:color w:val="222222"/>
          <w:sz w:val="24"/>
          <w:szCs w:val="24"/>
          <w:lang w:eastAsia="bs-Latn-BA"/>
        </w:rPr>
        <w:t xml:space="preserve">the World Bank BCOP Resource Team </w:t>
      </w:r>
      <w:r w:rsidR="004A72D6" w:rsidRPr="006677F4">
        <w:rPr>
          <w:rFonts w:ascii="Times New Roman" w:eastAsia="Times New Roman" w:hAnsi="Times New Roman" w:cs="Times New Roman"/>
          <w:color w:val="222222"/>
          <w:sz w:val="24"/>
          <w:szCs w:val="24"/>
          <w:lang w:eastAsia="bs-Latn-BA"/>
        </w:rPr>
        <w:t>a</w:t>
      </w:r>
      <w:r w:rsidR="007A5DC8">
        <w:rPr>
          <w:rFonts w:ascii="Times New Roman" w:eastAsia="Times New Roman" w:hAnsi="Times New Roman" w:cs="Times New Roman"/>
          <w:color w:val="222222"/>
          <w:sz w:val="24"/>
          <w:szCs w:val="24"/>
          <w:lang w:eastAsia="bs-Latn-BA"/>
        </w:rPr>
        <w:t xml:space="preserve">nd reviewed by the speakers </w:t>
      </w:r>
      <w:r w:rsidRPr="006677F4">
        <w:rPr>
          <w:rFonts w:ascii="Times New Roman" w:eastAsia="Times New Roman" w:hAnsi="Times New Roman" w:cs="Times New Roman"/>
          <w:color w:val="222222"/>
          <w:sz w:val="24"/>
          <w:szCs w:val="24"/>
          <w:lang w:eastAsia="bs-Latn-BA"/>
        </w:rPr>
        <w:t>and BCOP Executive Committee before being shared with all event participants and posted on the PEMPAL public</w:t>
      </w:r>
      <w:r w:rsidR="003D793D" w:rsidRPr="006677F4">
        <w:rPr>
          <w:rFonts w:ascii="Times New Roman" w:eastAsia="Times New Roman" w:hAnsi="Times New Roman" w:cs="Times New Roman"/>
          <w:color w:val="222222"/>
          <w:sz w:val="24"/>
          <w:szCs w:val="24"/>
          <w:lang w:eastAsia="bs-Latn-BA"/>
        </w:rPr>
        <w:t xml:space="preserve"> website</w:t>
      </w:r>
      <w:r w:rsidRPr="006677F4">
        <w:rPr>
          <w:rFonts w:ascii="Times New Roman" w:eastAsia="Times New Roman" w:hAnsi="Times New Roman" w:cs="Times New Roman"/>
          <w:color w:val="222222"/>
          <w:sz w:val="24"/>
          <w:szCs w:val="24"/>
          <w:lang w:eastAsia="bs-Latn-BA"/>
        </w:rPr>
        <w:t>.</w:t>
      </w:r>
      <w:r w:rsidR="00E43B56" w:rsidRPr="006677F4">
        <w:rPr>
          <w:rFonts w:ascii="Times New Roman" w:eastAsia="Times New Roman" w:hAnsi="Times New Roman" w:cs="Times New Roman"/>
          <w:color w:val="222222"/>
          <w:sz w:val="24"/>
          <w:szCs w:val="24"/>
          <w:lang w:eastAsia="bs-Latn-BA"/>
        </w:rPr>
        <w:t xml:space="preserve"> </w:t>
      </w:r>
    </w:p>
    <w:p w14:paraId="3B32C48C" w14:textId="0EF5F725" w:rsidR="00B80AFE" w:rsidRDefault="00B80AFE" w:rsidP="00AA75CD">
      <w:pPr>
        <w:pStyle w:val="Heading3"/>
        <w:rPr>
          <w:rFonts w:ascii="Times New Roman" w:hAnsi="Times New Roman" w:cs="Times New Roman"/>
          <w:b/>
          <w:color w:val="538135" w:themeColor="accent6" w:themeShade="BF"/>
        </w:rPr>
      </w:pPr>
      <w:bookmarkStart w:id="2" w:name="_Toc511655346"/>
      <w:r w:rsidRPr="00AA75CD">
        <w:rPr>
          <w:rFonts w:ascii="Times New Roman" w:hAnsi="Times New Roman" w:cs="Times New Roman"/>
          <w:b/>
          <w:color w:val="538135" w:themeColor="accent6" w:themeShade="BF"/>
        </w:rPr>
        <w:t>Event Objectives and Participants</w:t>
      </w:r>
      <w:bookmarkEnd w:id="2"/>
      <w:r w:rsidRPr="00AA75CD">
        <w:rPr>
          <w:rFonts w:ascii="Times New Roman" w:hAnsi="Times New Roman" w:cs="Times New Roman"/>
          <w:b/>
          <w:color w:val="538135" w:themeColor="accent6" w:themeShade="BF"/>
        </w:rPr>
        <w:t xml:space="preserve"> </w:t>
      </w:r>
    </w:p>
    <w:p w14:paraId="57A00AD6" w14:textId="65117FDE" w:rsidR="00AE5AB4" w:rsidRPr="006677F4" w:rsidRDefault="003C5D88" w:rsidP="00AE5AB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 meeting gathered </w:t>
      </w:r>
      <w:r w:rsidR="008303CE" w:rsidRPr="006677F4">
        <w:rPr>
          <w:rFonts w:ascii="Times New Roman" w:hAnsi="Times New Roman" w:cs="Times New Roman"/>
          <w:b/>
          <w:sz w:val="24"/>
          <w:szCs w:val="24"/>
        </w:rPr>
        <w:t xml:space="preserve">BCOP representatives </w:t>
      </w:r>
      <w:r w:rsidR="00F6610A" w:rsidRPr="006677F4">
        <w:rPr>
          <w:rFonts w:ascii="Times New Roman" w:hAnsi="Times New Roman" w:cs="Times New Roman"/>
          <w:b/>
          <w:sz w:val="24"/>
          <w:szCs w:val="24"/>
        </w:rPr>
        <w:t xml:space="preserve">from </w:t>
      </w:r>
      <w:r w:rsidR="0050387C" w:rsidRPr="006677F4">
        <w:rPr>
          <w:rFonts w:ascii="Times New Roman" w:hAnsi="Times New Roman" w:cs="Times New Roman"/>
          <w:b/>
          <w:sz w:val="24"/>
          <w:szCs w:val="24"/>
        </w:rPr>
        <w:t xml:space="preserve">Ministries of Finance </w:t>
      </w:r>
      <w:r w:rsidR="00B12DE2" w:rsidRPr="006677F4">
        <w:rPr>
          <w:rFonts w:ascii="Times New Roman" w:hAnsi="Times New Roman" w:cs="Times New Roman"/>
          <w:b/>
          <w:sz w:val="24"/>
          <w:szCs w:val="24"/>
        </w:rPr>
        <w:t xml:space="preserve">(MOFs) </w:t>
      </w:r>
      <w:r w:rsidR="00663EB1" w:rsidRPr="006677F4">
        <w:rPr>
          <w:rFonts w:ascii="Times New Roman" w:hAnsi="Times New Roman" w:cs="Times New Roman"/>
          <w:b/>
          <w:sz w:val="24"/>
          <w:szCs w:val="24"/>
        </w:rPr>
        <w:t>from</w:t>
      </w:r>
      <w:r w:rsidR="0050387C" w:rsidRPr="006677F4">
        <w:rPr>
          <w:rFonts w:ascii="Times New Roman" w:hAnsi="Times New Roman" w:cs="Times New Roman"/>
          <w:b/>
          <w:sz w:val="24"/>
          <w:szCs w:val="24"/>
        </w:rPr>
        <w:t xml:space="preserve"> 1</w:t>
      </w:r>
      <w:r w:rsidR="00A14983" w:rsidRPr="006677F4">
        <w:rPr>
          <w:rFonts w:ascii="Times New Roman" w:hAnsi="Times New Roman" w:cs="Times New Roman"/>
          <w:b/>
          <w:sz w:val="24"/>
          <w:szCs w:val="24"/>
        </w:rPr>
        <w:t xml:space="preserve">9 </w:t>
      </w:r>
      <w:r w:rsidR="008F3DD8" w:rsidRPr="006677F4">
        <w:rPr>
          <w:rFonts w:ascii="Times New Roman" w:hAnsi="Times New Roman" w:cs="Times New Roman"/>
          <w:b/>
          <w:sz w:val="24"/>
          <w:szCs w:val="24"/>
        </w:rPr>
        <w:t>BCOP member Governments from the E</w:t>
      </w:r>
      <w:r w:rsidR="00ED513B" w:rsidRPr="006677F4">
        <w:rPr>
          <w:rFonts w:ascii="Times New Roman" w:hAnsi="Times New Roman" w:cs="Times New Roman"/>
          <w:b/>
          <w:sz w:val="24"/>
          <w:szCs w:val="24"/>
        </w:rPr>
        <w:t xml:space="preserve">urope and </w:t>
      </w:r>
      <w:r w:rsidR="008F3DD8" w:rsidRPr="006677F4">
        <w:rPr>
          <w:rFonts w:ascii="Times New Roman" w:hAnsi="Times New Roman" w:cs="Times New Roman"/>
          <w:b/>
          <w:sz w:val="24"/>
          <w:szCs w:val="24"/>
        </w:rPr>
        <w:t>C</w:t>
      </w:r>
      <w:r w:rsidR="00ED513B" w:rsidRPr="006677F4">
        <w:rPr>
          <w:rFonts w:ascii="Times New Roman" w:hAnsi="Times New Roman" w:cs="Times New Roman"/>
          <w:b/>
          <w:sz w:val="24"/>
          <w:szCs w:val="24"/>
        </w:rPr>
        <w:t xml:space="preserve">entral </w:t>
      </w:r>
      <w:r w:rsidR="008F3DD8" w:rsidRPr="006677F4">
        <w:rPr>
          <w:rFonts w:ascii="Times New Roman" w:hAnsi="Times New Roman" w:cs="Times New Roman"/>
          <w:b/>
          <w:sz w:val="24"/>
          <w:szCs w:val="24"/>
        </w:rPr>
        <w:t>A</w:t>
      </w:r>
      <w:r w:rsidR="00ED513B" w:rsidRPr="006677F4">
        <w:rPr>
          <w:rFonts w:ascii="Times New Roman" w:hAnsi="Times New Roman" w:cs="Times New Roman"/>
          <w:b/>
          <w:sz w:val="24"/>
          <w:szCs w:val="24"/>
        </w:rPr>
        <w:t>sia</w:t>
      </w:r>
      <w:r w:rsidR="008F3DD8" w:rsidRPr="006677F4">
        <w:rPr>
          <w:rFonts w:ascii="Times New Roman" w:hAnsi="Times New Roman" w:cs="Times New Roman"/>
          <w:b/>
          <w:sz w:val="24"/>
          <w:szCs w:val="24"/>
        </w:rPr>
        <w:t xml:space="preserve"> </w:t>
      </w:r>
      <w:r w:rsidR="006179F3" w:rsidRPr="006677F4">
        <w:rPr>
          <w:rFonts w:ascii="Times New Roman" w:hAnsi="Times New Roman" w:cs="Times New Roman"/>
          <w:b/>
          <w:sz w:val="24"/>
          <w:szCs w:val="24"/>
        </w:rPr>
        <w:t xml:space="preserve">(ECA) </w:t>
      </w:r>
      <w:r w:rsidR="008F3DD8" w:rsidRPr="006677F4">
        <w:rPr>
          <w:rFonts w:ascii="Times New Roman" w:hAnsi="Times New Roman" w:cs="Times New Roman"/>
          <w:b/>
          <w:sz w:val="24"/>
          <w:szCs w:val="24"/>
        </w:rPr>
        <w:t>region</w:t>
      </w:r>
      <w:r w:rsidR="008F3DD8" w:rsidRPr="006677F4">
        <w:rPr>
          <w:rFonts w:ascii="Times New Roman" w:hAnsi="Times New Roman" w:cs="Times New Roman"/>
          <w:sz w:val="24"/>
          <w:szCs w:val="24"/>
        </w:rPr>
        <w:t xml:space="preserve">: </w:t>
      </w:r>
      <w:r w:rsidR="002623BF" w:rsidRPr="006677F4">
        <w:rPr>
          <w:rFonts w:ascii="Times New Roman" w:hAnsi="Times New Roman" w:cs="Times New Roman"/>
          <w:sz w:val="24"/>
          <w:szCs w:val="24"/>
        </w:rPr>
        <w:t xml:space="preserve">Albania, </w:t>
      </w:r>
      <w:r w:rsidR="008F3DD8" w:rsidRPr="006677F4">
        <w:rPr>
          <w:rFonts w:ascii="Times New Roman" w:hAnsi="Times New Roman" w:cs="Times New Roman"/>
          <w:sz w:val="24"/>
          <w:szCs w:val="24"/>
        </w:rPr>
        <w:t xml:space="preserve">Armenia, Azerbaijan, Belarus, Bosnia and Herzegovina, Bulgaria, Croatia, Georgia, </w:t>
      </w:r>
      <w:r w:rsidR="00AE5AB4" w:rsidRPr="006677F4">
        <w:rPr>
          <w:rFonts w:ascii="Times New Roman" w:hAnsi="Times New Roman" w:cs="Times New Roman"/>
          <w:sz w:val="24"/>
          <w:szCs w:val="24"/>
        </w:rPr>
        <w:t xml:space="preserve">Kazakhstan, Kosovo, </w:t>
      </w:r>
      <w:r w:rsidR="008F3DD8" w:rsidRPr="006677F4">
        <w:rPr>
          <w:rFonts w:ascii="Times New Roman" w:hAnsi="Times New Roman" w:cs="Times New Roman"/>
          <w:sz w:val="24"/>
          <w:szCs w:val="24"/>
        </w:rPr>
        <w:t xml:space="preserve">Kyrgyz Republic, </w:t>
      </w:r>
      <w:r w:rsidR="00AE5AB4" w:rsidRPr="006677F4">
        <w:rPr>
          <w:rFonts w:ascii="Times New Roman" w:hAnsi="Times New Roman" w:cs="Times New Roman"/>
          <w:sz w:val="24"/>
          <w:szCs w:val="24"/>
        </w:rPr>
        <w:t xml:space="preserve">Macedonia, </w:t>
      </w:r>
      <w:r w:rsidR="008F3DD8" w:rsidRPr="006677F4">
        <w:rPr>
          <w:rFonts w:ascii="Times New Roman" w:hAnsi="Times New Roman" w:cs="Times New Roman"/>
          <w:sz w:val="24"/>
          <w:szCs w:val="24"/>
        </w:rPr>
        <w:t xml:space="preserve">Moldova, </w:t>
      </w:r>
      <w:r w:rsidR="0050387C" w:rsidRPr="006677F4">
        <w:rPr>
          <w:rFonts w:ascii="Times New Roman" w:hAnsi="Times New Roman" w:cs="Times New Roman"/>
          <w:sz w:val="24"/>
          <w:szCs w:val="24"/>
        </w:rPr>
        <w:t xml:space="preserve">Montenegro, </w:t>
      </w:r>
      <w:r w:rsidR="007C0B93" w:rsidRPr="006677F4">
        <w:rPr>
          <w:rFonts w:ascii="Times New Roman" w:hAnsi="Times New Roman" w:cs="Times New Roman"/>
          <w:sz w:val="24"/>
          <w:szCs w:val="24"/>
        </w:rPr>
        <w:t xml:space="preserve">Romania, </w:t>
      </w:r>
      <w:r w:rsidR="008F3DD8" w:rsidRPr="006677F4">
        <w:rPr>
          <w:rFonts w:ascii="Times New Roman" w:hAnsi="Times New Roman" w:cs="Times New Roman"/>
          <w:sz w:val="24"/>
          <w:szCs w:val="24"/>
        </w:rPr>
        <w:t>Russian Fed</w:t>
      </w:r>
      <w:r w:rsidR="007C0B93" w:rsidRPr="006677F4">
        <w:rPr>
          <w:rFonts w:ascii="Times New Roman" w:hAnsi="Times New Roman" w:cs="Times New Roman"/>
          <w:sz w:val="24"/>
          <w:szCs w:val="24"/>
        </w:rPr>
        <w:t xml:space="preserve">eration, </w:t>
      </w:r>
      <w:r w:rsidR="00622A1C" w:rsidRPr="006677F4">
        <w:rPr>
          <w:rFonts w:ascii="Times New Roman" w:hAnsi="Times New Roman" w:cs="Times New Roman"/>
          <w:sz w:val="24"/>
          <w:szCs w:val="24"/>
        </w:rPr>
        <w:t xml:space="preserve">Serbia, </w:t>
      </w:r>
      <w:r w:rsidR="007C0B93" w:rsidRPr="006677F4">
        <w:rPr>
          <w:rFonts w:ascii="Times New Roman" w:hAnsi="Times New Roman" w:cs="Times New Roman"/>
          <w:sz w:val="24"/>
          <w:szCs w:val="24"/>
        </w:rPr>
        <w:t>Ukraine</w:t>
      </w:r>
      <w:r w:rsidR="00AE5AB4" w:rsidRPr="006677F4">
        <w:rPr>
          <w:rFonts w:ascii="Times New Roman" w:hAnsi="Times New Roman" w:cs="Times New Roman"/>
          <w:sz w:val="24"/>
          <w:szCs w:val="24"/>
        </w:rPr>
        <w:t>, and Uzbekistan</w:t>
      </w:r>
      <w:r w:rsidR="006179F3" w:rsidRPr="006677F4">
        <w:rPr>
          <w:rFonts w:ascii="Times New Roman" w:hAnsi="Times New Roman" w:cs="Times New Roman"/>
          <w:sz w:val="24"/>
          <w:szCs w:val="24"/>
        </w:rPr>
        <w:t>. The BCOP R</w:t>
      </w:r>
      <w:r w:rsidR="008F3DD8" w:rsidRPr="006677F4">
        <w:rPr>
          <w:rFonts w:ascii="Times New Roman" w:hAnsi="Times New Roman" w:cs="Times New Roman"/>
          <w:sz w:val="24"/>
          <w:szCs w:val="24"/>
        </w:rPr>
        <w:t>eso</w:t>
      </w:r>
      <w:r w:rsidR="006179F3" w:rsidRPr="006677F4">
        <w:rPr>
          <w:rFonts w:ascii="Times New Roman" w:hAnsi="Times New Roman" w:cs="Times New Roman"/>
          <w:sz w:val="24"/>
          <w:szCs w:val="24"/>
        </w:rPr>
        <w:t>urce T</w:t>
      </w:r>
      <w:r w:rsidR="008630EA" w:rsidRPr="006677F4">
        <w:rPr>
          <w:rFonts w:ascii="Times New Roman" w:hAnsi="Times New Roman" w:cs="Times New Roman"/>
          <w:sz w:val="24"/>
          <w:szCs w:val="24"/>
        </w:rPr>
        <w:t>eam members Maya Gusarova</w:t>
      </w:r>
      <w:r w:rsidR="00AE5AB4" w:rsidRPr="006677F4">
        <w:rPr>
          <w:rFonts w:ascii="Times New Roman" w:hAnsi="Times New Roman" w:cs="Times New Roman"/>
          <w:sz w:val="24"/>
          <w:szCs w:val="24"/>
        </w:rPr>
        <w:t xml:space="preserve"> </w:t>
      </w:r>
      <w:r w:rsidR="00663EB1" w:rsidRPr="006677F4">
        <w:rPr>
          <w:rFonts w:ascii="Times New Roman" w:hAnsi="Times New Roman" w:cs="Times New Roman"/>
          <w:sz w:val="24"/>
          <w:szCs w:val="24"/>
        </w:rPr>
        <w:t xml:space="preserve">and </w:t>
      </w:r>
      <w:r w:rsidR="00ED513B" w:rsidRPr="006677F4">
        <w:rPr>
          <w:rFonts w:ascii="Times New Roman" w:hAnsi="Times New Roman" w:cs="Times New Roman"/>
          <w:sz w:val="24"/>
          <w:szCs w:val="24"/>
        </w:rPr>
        <w:t xml:space="preserve">Naida Čaršimamović </w:t>
      </w:r>
      <w:r w:rsidR="00DD687C" w:rsidRPr="006677F4">
        <w:rPr>
          <w:rFonts w:ascii="Times New Roman" w:hAnsi="Times New Roman" w:cs="Times New Roman"/>
          <w:sz w:val="24"/>
          <w:szCs w:val="24"/>
        </w:rPr>
        <w:t xml:space="preserve">Vukotić </w:t>
      </w:r>
      <w:r w:rsidR="00903B65" w:rsidRPr="006677F4">
        <w:rPr>
          <w:rFonts w:ascii="Times New Roman" w:hAnsi="Times New Roman" w:cs="Times New Roman"/>
          <w:sz w:val="24"/>
          <w:szCs w:val="24"/>
        </w:rPr>
        <w:t xml:space="preserve">provided technical support in </w:t>
      </w:r>
      <w:r w:rsidR="00A97835" w:rsidRPr="006677F4">
        <w:rPr>
          <w:rFonts w:ascii="Times New Roman" w:hAnsi="Times New Roman" w:cs="Times New Roman"/>
          <w:sz w:val="24"/>
          <w:szCs w:val="24"/>
        </w:rPr>
        <w:t xml:space="preserve">preparing the agenda </w:t>
      </w:r>
      <w:r w:rsidR="00903B65" w:rsidRPr="006677F4">
        <w:rPr>
          <w:rFonts w:ascii="Times New Roman" w:hAnsi="Times New Roman" w:cs="Times New Roman"/>
          <w:sz w:val="24"/>
          <w:szCs w:val="24"/>
        </w:rPr>
        <w:t>and facilitating the workshop,</w:t>
      </w:r>
      <w:r w:rsidR="008F3DD8" w:rsidRPr="006677F4">
        <w:rPr>
          <w:rFonts w:ascii="Times New Roman" w:hAnsi="Times New Roman" w:cs="Times New Roman"/>
          <w:sz w:val="24"/>
          <w:szCs w:val="24"/>
        </w:rPr>
        <w:t xml:space="preserve"> </w:t>
      </w:r>
      <w:r w:rsidR="00903B65" w:rsidRPr="006677F4">
        <w:rPr>
          <w:rFonts w:ascii="Times New Roman" w:hAnsi="Times New Roman" w:cs="Times New Roman"/>
          <w:sz w:val="24"/>
          <w:szCs w:val="24"/>
        </w:rPr>
        <w:t xml:space="preserve">while </w:t>
      </w:r>
      <w:r w:rsidR="008F3DD8" w:rsidRPr="006677F4">
        <w:rPr>
          <w:rFonts w:ascii="Times New Roman" w:hAnsi="Times New Roman" w:cs="Times New Roman"/>
          <w:sz w:val="24"/>
          <w:szCs w:val="24"/>
        </w:rPr>
        <w:t>logical and administrative support was provided by Ksenia Galantova and Kristina Zaituna of the PEMPAL Secretariat.</w:t>
      </w:r>
      <w:r w:rsidR="00AE5AB4" w:rsidRPr="006677F4">
        <w:rPr>
          <w:rFonts w:ascii="Times New Roman" w:hAnsi="Times New Roman" w:cs="Times New Roman"/>
          <w:sz w:val="24"/>
          <w:szCs w:val="24"/>
        </w:rPr>
        <w:t xml:space="preserve"> </w:t>
      </w:r>
    </w:p>
    <w:p w14:paraId="25F8D978" w14:textId="2F62C5A2" w:rsidR="007C0B93" w:rsidRPr="006677F4" w:rsidRDefault="00AE5AB4" w:rsidP="006677F4">
      <w:pPr>
        <w:spacing w:after="120" w:line="240" w:lineRule="auto"/>
        <w:jc w:val="both"/>
        <w:rPr>
          <w:rFonts w:ascii="Times New Roman" w:hAnsi="Times New Roman" w:cs="Times New Roman"/>
          <w:sz w:val="24"/>
          <w:szCs w:val="24"/>
        </w:rPr>
      </w:pPr>
      <w:r w:rsidRPr="006677F4">
        <w:rPr>
          <w:rFonts w:ascii="Times New Roman" w:hAnsi="Times New Roman" w:cs="Times New Roman"/>
          <w:b/>
          <w:sz w:val="24"/>
          <w:szCs w:val="24"/>
        </w:rPr>
        <w:t>The key objectives of this plenary</w:t>
      </w:r>
      <w:r w:rsidR="007C0B93" w:rsidRPr="006677F4">
        <w:rPr>
          <w:rFonts w:ascii="Times New Roman" w:hAnsi="Times New Roman" w:cs="Times New Roman"/>
          <w:b/>
          <w:sz w:val="24"/>
          <w:szCs w:val="24"/>
        </w:rPr>
        <w:t xml:space="preserve"> meeting</w:t>
      </w:r>
      <w:r w:rsidR="007C0B93" w:rsidRPr="006677F4">
        <w:rPr>
          <w:rFonts w:ascii="Times New Roman" w:hAnsi="Times New Roman" w:cs="Times New Roman"/>
          <w:sz w:val="24"/>
          <w:szCs w:val="24"/>
        </w:rPr>
        <w:t xml:space="preserve"> </w:t>
      </w:r>
      <w:r w:rsidR="006179F3" w:rsidRPr="006677F4">
        <w:rPr>
          <w:rFonts w:ascii="Times New Roman" w:hAnsi="Times New Roman" w:cs="Times New Roman"/>
          <w:sz w:val="24"/>
          <w:szCs w:val="24"/>
        </w:rPr>
        <w:t>were</w:t>
      </w:r>
      <w:r w:rsidR="007C0B93" w:rsidRPr="006677F4">
        <w:rPr>
          <w:rFonts w:ascii="Times New Roman" w:hAnsi="Times New Roman" w:cs="Times New Roman"/>
          <w:sz w:val="24"/>
          <w:szCs w:val="24"/>
        </w:rPr>
        <w:t xml:space="preserve"> to:</w:t>
      </w:r>
    </w:p>
    <w:p w14:paraId="0201815E" w14:textId="77777777" w:rsidR="00AE5AB4" w:rsidRPr="006677F4" w:rsidRDefault="00AE5AB4" w:rsidP="00AE5AB4">
      <w:pPr>
        <w:numPr>
          <w:ilvl w:val="0"/>
          <w:numId w:val="38"/>
        </w:numPr>
        <w:spacing w:after="0" w:line="240" w:lineRule="auto"/>
        <w:jc w:val="both"/>
        <w:rPr>
          <w:rFonts w:ascii="Times New Roman" w:hAnsi="Times New Roman" w:cs="Times New Roman"/>
          <w:sz w:val="24"/>
          <w:szCs w:val="24"/>
        </w:rPr>
      </w:pPr>
      <w:r w:rsidRPr="006677F4">
        <w:rPr>
          <w:rFonts w:ascii="Times New Roman" w:hAnsi="Times New Roman" w:cs="Times New Roman"/>
          <w:sz w:val="24"/>
          <w:szCs w:val="24"/>
        </w:rPr>
        <w:lastRenderedPageBreak/>
        <w:t>Provide the opportunity for BCOP member countries</w:t>
      </w:r>
      <w:r w:rsidRPr="006677F4">
        <w:rPr>
          <w:rFonts w:ascii="Times New Roman" w:hAnsi="Times New Roman" w:cs="Times New Roman"/>
          <w:b/>
          <w:bCs/>
          <w:sz w:val="24"/>
          <w:szCs w:val="24"/>
        </w:rPr>
        <w:t xml:space="preserve"> </w:t>
      </w:r>
      <w:r w:rsidRPr="006677F4">
        <w:rPr>
          <w:rFonts w:ascii="Times New Roman" w:hAnsi="Times New Roman" w:cs="Times New Roman"/>
          <w:b/>
          <w:bCs/>
          <w:i/>
          <w:iCs/>
          <w:sz w:val="24"/>
          <w:szCs w:val="24"/>
        </w:rPr>
        <w:t>to review approaches and trends in intergovernmental fiscal relations</w:t>
      </w:r>
      <w:r w:rsidRPr="006677F4">
        <w:rPr>
          <w:rFonts w:ascii="Times New Roman" w:hAnsi="Times New Roman" w:cs="Times New Roman"/>
          <w:b/>
          <w:bCs/>
          <w:sz w:val="24"/>
          <w:szCs w:val="24"/>
        </w:rPr>
        <w:t xml:space="preserve">, </w:t>
      </w:r>
      <w:r w:rsidRPr="006677F4">
        <w:rPr>
          <w:rFonts w:ascii="Times New Roman" w:hAnsi="Times New Roman" w:cs="Times New Roman"/>
          <w:sz w:val="24"/>
          <w:szCs w:val="24"/>
        </w:rPr>
        <w:t>familiarize with developments in OECD countries</w:t>
      </w:r>
      <w:r w:rsidRPr="006677F4">
        <w:rPr>
          <w:rFonts w:ascii="Times New Roman" w:hAnsi="Times New Roman" w:cs="Times New Roman"/>
          <w:b/>
          <w:bCs/>
          <w:sz w:val="24"/>
          <w:szCs w:val="24"/>
        </w:rPr>
        <w:t xml:space="preserve"> </w:t>
      </w:r>
      <w:r w:rsidRPr="006677F4">
        <w:rPr>
          <w:rFonts w:ascii="Times New Roman" w:hAnsi="Times New Roman" w:cs="Times New Roman"/>
          <w:sz w:val="24"/>
          <w:szCs w:val="24"/>
        </w:rPr>
        <w:t>and discuss possible approaches and options for PEMPAL countries</w:t>
      </w:r>
    </w:p>
    <w:p w14:paraId="0ECCAC2C" w14:textId="77777777" w:rsidR="00AE5AB4" w:rsidRPr="006677F4" w:rsidRDefault="00AE5AB4" w:rsidP="00AE5AB4">
      <w:pPr>
        <w:numPr>
          <w:ilvl w:val="0"/>
          <w:numId w:val="38"/>
        </w:numPr>
        <w:spacing w:after="0" w:line="240" w:lineRule="auto"/>
        <w:jc w:val="both"/>
        <w:rPr>
          <w:rFonts w:ascii="Times New Roman" w:hAnsi="Times New Roman" w:cs="Times New Roman"/>
          <w:sz w:val="24"/>
          <w:szCs w:val="24"/>
        </w:rPr>
      </w:pPr>
      <w:r w:rsidRPr="006677F4">
        <w:rPr>
          <w:rFonts w:ascii="Times New Roman" w:hAnsi="Times New Roman" w:cs="Times New Roman"/>
          <w:sz w:val="24"/>
          <w:szCs w:val="24"/>
        </w:rPr>
        <w:t>Provide the opportunity for broad BCOP membership to review practices and approaches on the issues of BCOP Working Groups’ focus in the past year -</w:t>
      </w:r>
      <w:r w:rsidRPr="006677F4">
        <w:rPr>
          <w:rFonts w:ascii="Times New Roman" w:hAnsi="Times New Roman" w:cs="Times New Roman"/>
          <w:b/>
          <w:bCs/>
          <w:sz w:val="24"/>
          <w:szCs w:val="24"/>
        </w:rPr>
        <w:t xml:space="preserve"> </w:t>
      </w:r>
      <w:r w:rsidRPr="006677F4">
        <w:rPr>
          <w:rFonts w:ascii="Times New Roman" w:hAnsi="Times New Roman" w:cs="Times New Roman"/>
          <w:b/>
          <w:bCs/>
          <w:i/>
          <w:iCs/>
          <w:sz w:val="24"/>
          <w:szCs w:val="24"/>
        </w:rPr>
        <w:t>use of performance indicators in performance budgeting</w:t>
      </w:r>
      <w:r w:rsidRPr="006677F4">
        <w:rPr>
          <w:rFonts w:ascii="Times New Roman" w:hAnsi="Times New Roman" w:cs="Times New Roman"/>
          <w:b/>
          <w:bCs/>
          <w:sz w:val="24"/>
          <w:szCs w:val="24"/>
        </w:rPr>
        <w:t xml:space="preserve"> </w:t>
      </w:r>
      <w:r w:rsidRPr="006677F4">
        <w:rPr>
          <w:rFonts w:ascii="Times New Roman" w:hAnsi="Times New Roman" w:cs="Times New Roman"/>
          <w:sz w:val="24"/>
          <w:szCs w:val="24"/>
        </w:rPr>
        <w:t>and</w:t>
      </w:r>
      <w:r w:rsidRPr="006677F4">
        <w:rPr>
          <w:rFonts w:ascii="Times New Roman" w:hAnsi="Times New Roman" w:cs="Times New Roman"/>
          <w:b/>
          <w:bCs/>
          <w:sz w:val="24"/>
          <w:szCs w:val="24"/>
        </w:rPr>
        <w:t xml:space="preserve"> </w:t>
      </w:r>
      <w:r w:rsidRPr="006677F4">
        <w:rPr>
          <w:rFonts w:ascii="Times New Roman" w:hAnsi="Times New Roman" w:cs="Times New Roman"/>
          <w:b/>
          <w:bCs/>
          <w:i/>
          <w:iCs/>
          <w:sz w:val="24"/>
          <w:szCs w:val="24"/>
        </w:rPr>
        <w:t>public participation</w:t>
      </w:r>
      <w:r w:rsidRPr="006677F4">
        <w:rPr>
          <w:rFonts w:ascii="Times New Roman" w:hAnsi="Times New Roman" w:cs="Times New Roman"/>
          <w:b/>
          <w:bCs/>
          <w:sz w:val="24"/>
          <w:szCs w:val="24"/>
        </w:rPr>
        <w:t xml:space="preserve">. </w:t>
      </w:r>
      <w:r w:rsidRPr="006677F4">
        <w:rPr>
          <w:rFonts w:ascii="Times New Roman" w:hAnsi="Times New Roman" w:cs="Times New Roman"/>
          <w:sz w:val="24"/>
          <w:szCs w:val="24"/>
        </w:rPr>
        <w:t>Get feedback from BCOP members on the BCOP Working Groups’ most recent work on knowledge products:</w:t>
      </w:r>
    </w:p>
    <w:p w14:paraId="5CF5D03A" w14:textId="77777777" w:rsidR="00AE5AB4" w:rsidRPr="006677F4" w:rsidRDefault="00AE5AB4" w:rsidP="00AE5AB4">
      <w:pPr>
        <w:pStyle w:val="ListParagraph"/>
        <w:numPr>
          <w:ilvl w:val="1"/>
          <w:numId w:val="40"/>
        </w:numPr>
        <w:spacing w:after="0" w:line="240" w:lineRule="auto"/>
        <w:jc w:val="both"/>
        <w:rPr>
          <w:rFonts w:ascii="Times New Roman" w:hAnsi="Times New Roman" w:cs="Times New Roman"/>
          <w:sz w:val="24"/>
          <w:szCs w:val="24"/>
        </w:rPr>
      </w:pPr>
      <w:r w:rsidRPr="006677F4">
        <w:rPr>
          <w:rFonts w:ascii="Times New Roman" w:hAnsi="Times New Roman" w:cs="Times New Roman"/>
          <w:sz w:val="24"/>
          <w:szCs w:val="24"/>
        </w:rPr>
        <w:t xml:space="preserve">Performance Indicators in PEMPAL Countries: Trends and Challenges (by BCOP Program and Performance Budgeting Working Group)  </w:t>
      </w:r>
    </w:p>
    <w:p w14:paraId="5D423369" w14:textId="77777777" w:rsidR="00AE5AB4" w:rsidRPr="006677F4" w:rsidRDefault="00AE5AB4" w:rsidP="00AE5AB4">
      <w:pPr>
        <w:pStyle w:val="ListParagraph"/>
        <w:numPr>
          <w:ilvl w:val="1"/>
          <w:numId w:val="40"/>
        </w:numPr>
        <w:spacing w:after="0" w:line="240" w:lineRule="auto"/>
        <w:jc w:val="both"/>
        <w:rPr>
          <w:rFonts w:ascii="Times New Roman" w:hAnsi="Times New Roman" w:cs="Times New Roman"/>
          <w:sz w:val="24"/>
          <w:szCs w:val="24"/>
        </w:rPr>
      </w:pPr>
      <w:r w:rsidRPr="006677F4">
        <w:rPr>
          <w:rFonts w:ascii="Times New Roman" w:hAnsi="Times New Roman" w:cs="Times New Roman"/>
          <w:sz w:val="24"/>
          <w:szCs w:val="24"/>
        </w:rPr>
        <w:t>Public Participation in Fiscal Policy and the Budget Process – How to establish and/or strengthen mechanisms in PEMPAL countries (by BCOP Budget Transparency and Literacy Working Group).</w:t>
      </w:r>
    </w:p>
    <w:p w14:paraId="4FBB2407" w14:textId="3F7AE2C7" w:rsidR="00AE5AB4" w:rsidRPr="006677F4" w:rsidRDefault="00AE5AB4" w:rsidP="00AE5AB4">
      <w:pPr>
        <w:numPr>
          <w:ilvl w:val="0"/>
          <w:numId w:val="39"/>
        </w:numPr>
        <w:spacing w:after="0" w:line="240" w:lineRule="auto"/>
        <w:jc w:val="both"/>
        <w:rPr>
          <w:rFonts w:ascii="Times New Roman" w:hAnsi="Times New Roman" w:cs="Times New Roman"/>
          <w:sz w:val="24"/>
          <w:szCs w:val="24"/>
        </w:rPr>
      </w:pPr>
      <w:r w:rsidRPr="006677F4">
        <w:rPr>
          <w:rFonts w:ascii="Times New Roman" w:hAnsi="Times New Roman" w:cs="Times New Roman"/>
          <w:sz w:val="24"/>
          <w:szCs w:val="24"/>
        </w:rPr>
        <w:t>Update members on BCOP progress since the last plenary meeting and to report back on countries’ priorities gathered in the pre-meeting survey to inform the development of the BCOP FY2019 Action Plan.</w:t>
      </w:r>
    </w:p>
    <w:p w14:paraId="726001C5" w14:textId="77777777" w:rsidR="00AF2FBB" w:rsidRPr="006677F4" w:rsidRDefault="00AF2FBB" w:rsidP="00AF2FBB">
      <w:pPr>
        <w:spacing w:after="0" w:line="240" w:lineRule="auto"/>
        <w:ind w:left="720"/>
        <w:jc w:val="both"/>
        <w:rPr>
          <w:rFonts w:ascii="Times New Roman" w:hAnsi="Times New Roman" w:cs="Times New Roman"/>
          <w:sz w:val="24"/>
          <w:szCs w:val="24"/>
        </w:rPr>
      </w:pPr>
    </w:p>
    <w:p w14:paraId="5D6820CB" w14:textId="6C9D5D19" w:rsidR="00AE5AB4" w:rsidRPr="006677F4" w:rsidRDefault="007C0B93" w:rsidP="00732577">
      <w:pPr>
        <w:pStyle w:val="NormalWeb"/>
        <w:spacing w:before="0" w:beforeAutospacing="0" w:after="120" w:afterAutospacing="0"/>
        <w:jc w:val="both"/>
      </w:pPr>
      <w:r w:rsidRPr="006677F4">
        <w:rPr>
          <w:b/>
        </w:rPr>
        <w:t xml:space="preserve">The </w:t>
      </w:r>
      <w:r w:rsidR="008630EA" w:rsidRPr="006677F4">
        <w:rPr>
          <w:b/>
        </w:rPr>
        <w:t xml:space="preserve">format </w:t>
      </w:r>
      <w:r w:rsidRPr="006677F4">
        <w:rPr>
          <w:b/>
        </w:rPr>
        <w:t>comprise</w:t>
      </w:r>
      <w:r w:rsidR="008630EA" w:rsidRPr="006677F4">
        <w:rPr>
          <w:b/>
        </w:rPr>
        <w:t xml:space="preserve">d a half day on </w:t>
      </w:r>
      <w:r w:rsidR="00AE5AB4" w:rsidRPr="006677F4">
        <w:rPr>
          <w:b/>
        </w:rPr>
        <w:t>intergovernmental fiscal relations</w:t>
      </w:r>
      <w:r w:rsidR="008630EA" w:rsidRPr="006677F4">
        <w:rPr>
          <w:b/>
        </w:rPr>
        <w:t xml:space="preserve">, with subsequent days being hosted by the two working groups </w:t>
      </w:r>
      <w:r w:rsidR="00ED513B" w:rsidRPr="006677F4">
        <w:rPr>
          <w:b/>
        </w:rPr>
        <w:t>operating under</w:t>
      </w:r>
      <w:r w:rsidR="008630EA" w:rsidRPr="006677F4">
        <w:rPr>
          <w:b/>
        </w:rPr>
        <w:t xml:space="preserve"> BCOP</w:t>
      </w:r>
      <w:r w:rsidR="00ED513B" w:rsidRPr="006677F4">
        <w:t xml:space="preserve"> </w:t>
      </w:r>
      <w:r w:rsidR="00AE5AB4" w:rsidRPr="006677F4">
        <w:t xml:space="preserve">- Program and Performance Budgeting Working Group (PPBWG) which comprises of members from 15 BCOP member countries </w:t>
      </w:r>
      <w:r w:rsidR="00055DD8" w:rsidRPr="006677F4">
        <w:t xml:space="preserve">and is led by Nikolay Begchin from the Ministry of Finance of the Russian Federation </w:t>
      </w:r>
      <w:r w:rsidR="00AE5AB4" w:rsidRPr="006677F4">
        <w:t>and Budget Literacy and Transparency Working Group (BLTWG) wh</w:t>
      </w:r>
      <w:r w:rsidR="00055DD8" w:rsidRPr="006677F4">
        <w:t>ich comprises of members from 16</w:t>
      </w:r>
      <w:r w:rsidR="00AE5AB4" w:rsidRPr="006677F4">
        <w:t xml:space="preserve"> BCOP member countries</w:t>
      </w:r>
      <w:r w:rsidR="00055DD8" w:rsidRPr="006677F4">
        <w:t xml:space="preserve"> and is led by Anna Belenchuk from the Ministry of Finance of the Russian Federation. The PPBWG focus on the subtopic of performance indicators and the BLTWG focused on the subtopic of public participation. </w:t>
      </w:r>
    </w:p>
    <w:p w14:paraId="11CFE960" w14:textId="6FEAAFD8" w:rsidR="005121E7" w:rsidRPr="006677F4" w:rsidRDefault="005121E7" w:rsidP="001978F0">
      <w:pPr>
        <w:pStyle w:val="Heading1"/>
        <w:numPr>
          <w:ilvl w:val="0"/>
          <w:numId w:val="36"/>
        </w:numPr>
        <w:rPr>
          <w:rFonts w:ascii="Times New Roman" w:eastAsia="Times New Roman" w:hAnsi="Times New Roman" w:cs="Times New Roman"/>
          <w:b/>
          <w:sz w:val="24"/>
          <w:szCs w:val="24"/>
          <w:lang w:eastAsia="bs-Latn-BA"/>
        </w:rPr>
      </w:pPr>
      <w:bookmarkStart w:id="3" w:name="_Toc511655347"/>
      <w:r w:rsidRPr="006677F4">
        <w:rPr>
          <w:rFonts w:ascii="Times New Roman" w:eastAsia="Times New Roman" w:hAnsi="Times New Roman" w:cs="Times New Roman"/>
          <w:b/>
          <w:sz w:val="24"/>
          <w:szCs w:val="24"/>
          <w:lang w:eastAsia="bs-Latn-BA"/>
        </w:rPr>
        <w:t>Agenda Overview</w:t>
      </w:r>
      <w:bookmarkEnd w:id="3"/>
    </w:p>
    <w:p w14:paraId="5620CD33" w14:textId="462F05FD" w:rsidR="0019593A" w:rsidRPr="006677F4" w:rsidRDefault="0019593A" w:rsidP="00732577">
      <w:pPr>
        <w:pStyle w:val="NormalWeb"/>
        <w:spacing w:before="0" w:beforeAutospacing="0" w:after="120" w:afterAutospacing="0"/>
        <w:jc w:val="both"/>
        <w:rPr>
          <w:b/>
        </w:rPr>
      </w:pPr>
      <w:r w:rsidRPr="006677F4">
        <w:rPr>
          <w:b/>
          <w:lang w:eastAsia="sl-SI"/>
        </w:rPr>
        <w:t xml:space="preserve">The event was opened by </w:t>
      </w:r>
      <w:r w:rsidR="00CC72E6" w:rsidRPr="006677F4">
        <w:rPr>
          <w:b/>
          <w:lang w:eastAsia="sl-SI"/>
        </w:rPr>
        <w:t xml:space="preserve">Linda Van Gelder, </w:t>
      </w:r>
      <w:r w:rsidR="00CC72E6" w:rsidRPr="006677F4">
        <w:t xml:space="preserve">Country Director, Europe Western Balkans, and Dan Boyce, Chair of PEMPAL Steering Committee and Practice Manager, Governance – ECA East. They stressed the importance of PEMPAL network and the work of BCOP and outlined that the three subtopics of the plenary meeting -  intergovernmental fiscal relations, performance indicators, and public participation </w:t>
      </w:r>
      <w:r w:rsidR="006677F4" w:rsidRPr="006677F4">
        <w:t xml:space="preserve">- </w:t>
      </w:r>
      <w:r w:rsidR="00CC72E6" w:rsidRPr="006677F4">
        <w:t xml:space="preserve">are at </w:t>
      </w:r>
      <w:r w:rsidR="006677F4" w:rsidRPr="006677F4">
        <w:t xml:space="preserve">the </w:t>
      </w:r>
      <w:r w:rsidR="00CC72E6" w:rsidRPr="006677F4">
        <w:t xml:space="preserve">core of the </w:t>
      </w:r>
      <w:r w:rsidR="006677F4" w:rsidRPr="006677F4">
        <w:t xml:space="preserve">countries’ efforts to increase effectiveness and accountability of government spending globally and are instrumental for PEMPAL countries as they further progress in their budgetary reforms. They thanked PEMPAL financial supporters </w:t>
      </w:r>
      <w:r w:rsidR="00ED513B" w:rsidRPr="006677F4">
        <w:t xml:space="preserve">the Ministry of Finance </w:t>
      </w:r>
      <w:r w:rsidR="000C6C9F" w:rsidRPr="006677F4">
        <w:t>of the Russian Federation and SECO f</w:t>
      </w:r>
      <w:r w:rsidR="00ED513B" w:rsidRPr="006677F4">
        <w:t>or the resource support that enabled the network to function.</w:t>
      </w:r>
    </w:p>
    <w:p w14:paraId="72534BA0" w14:textId="28F39674" w:rsidR="007B7AAA" w:rsidRPr="006677F4" w:rsidRDefault="005270C8" w:rsidP="007B7AAA">
      <w:pPr>
        <w:spacing w:after="120" w:line="240" w:lineRule="auto"/>
        <w:jc w:val="both"/>
        <w:rPr>
          <w:rFonts w:ascii="Times New Roman" w:eastAsia="Times New Roman" w:hAnsi="Times New Roman" w:cs="Times New Roman"/>
          <w:sz w:val="24"/>
          <w:szCs w:val="24"/>
        </w:rPr>
      </w:pPr>
      <w:r w:rsidRPr="006677F4">
        <w:rPr>
          <w:rFonts w:ascii="Times New Roman" w:eastAsia="Times New Roman" w:hAnsi="Times New Roman" w:cs="Times New Roman"/>
          <w:b/>
          <w:sz w:val="24"/>
          <w:szCs w:val="24"/>
        </w:rPr>
        <w:t>The Chair of BCOP, Anna Belenchuk</w:t>
      </w:r>
      <w:r w:rsidR="00BF6D26" w:rsidRPr="006677F4">
        <w:rPr>
          <w:rFonts w:ascii="Times New Roman" w:eastAsia="Times New Roman" w:hAnsi="Times New Roman" w:cs="Times New Roman"/>
          <w:b/>
          <w:sz w:val="24"/>
          <w:szCs w:val="24"/>
        </w:rPr>
        <w:t>,</w:t>
      </w:r>
      <w:r w:rsidRPr="006677F4">
        <w:rPr>
          <w:rFonts w:ascii="Times New Roman" w:eastAsia="Times New Roman" w:hAnsi="Times New Roman" w:cs="Times New Roman"/>
          <w:b/>
          <w:sz w:val="24"/>
          <w:szCs w:val="24"/>
        </w:rPr>
        <w:t xml:space="preserve"> </w:t>
      </w:r>
      <w:r w:rsidR="006677F4">
        <w:rPr>
          <w:rFonts w:ascii="Times New Roman" w:eastAsia="Times New Roman" w:hAnsi="Times New Roman" w:cs="Times New Roman"/>
          <w:b/>
          <w:sz w:val="24"/>
          <w:szCs w:val="24"/>
        </w:rPr>
        <w:t xml:space="preserve">thanked the Austrian Ministry of Finance for their contribution to the plenary meeting in providing excellent speakers for the event to discuss Austrian system, experiences, and lessons learnt in intergovernmental fiscal relations, as well as all </w:t>
      </w:r>
      <w:r w:rsidR="007B7AAA">
        <w:rPr>
          <w:rFonts w:ascii="Times New Roman" w:eastAsia="Times New Roman" w:hAnsi="Times New Roman" w:cs="Times New Roman"/>
          <w:b/>
          <w:sz w:val="24"/>
          <w:szCs w:val="24"/>
        </w:rPr>
        <w:t>other</w:t>
      </w:r>
      <w:r w:rsidR="006677F4">
        <w:rPr>
          <w:rFonts w:ascii="Times New Roman" w:eastAsia="Times New Roman" w:hAnsi="Times New Roman" w:cs="Times New Roman"/>
          <w:b/>
          <w:sz w:val="24"/>
          <w:szCs w:val="24"/>
        </w:rPr>
        <w:t xml:space="preserve"> speakers from international organizations (</w:t>
      </w:r>
      <w:r w:rsidR="007B7AAA" w:rsidRPr="007B7AAA">
        <w:rPr>
          <w:rFonts w:ascii="Times New Roman" w:eastAsia="Times New Roman" w:hAnsi="Times New Roman" w:cs="Times New Roman"/>
          <w:sz w:val="24"/>
          <w:szCs w:val="24"/>
        </w:rPr>
        <w:t xml:space="preserve">the World Bank, </w:t>
      </w:r>
      <w:r w:rsidR="006677F4" w:rsidRPr="007B7AAA">
        <w:rPr>
          <w:rFonts w:ascii="Times New Roman" w:eastAsia="Times New Roman" w:hAnsi="Times New Roman" w:cs="Times New Roman"/>
          <w:sz w:val="24"/>
          <w:szCs w:val="24"/>
        </w:rPr>
        <w:t>O</w:t>
      </w:r>
      <w:r w:rsidR="007B7AAA" w:rsidRPr="007B7AAA">
        <w:rPr>
          <w:rFonts w:ascii="Times New Roman" w:eastAsia="Times New Roman" w:hAnsi="Times New Roman" w:cs="Times New Roman"/>
          <w:sz w:val="24"/>
          <w:szCs w:val="24"/>
        </w:rPr>
        <w:t>rganization for Economic Cooperation and Development</w:t>
      </w:r>
      <w:r w:rsidR="008B6ACD">
        <w:rPr>
          <w:rFonts w:ascii="Times New Roman" w:eastAsia="Times New Roman" w:hAnsi="Times New Roman" w:cs="Times New Roman"/>
          <w:sz w:val="24"/>
          <w:szCs w:val="24"/>
        </w:rPr>
        <w:t xml:space="preserve"> (OECD)</w:t>
      </w:r>
      <w:r w:rsidR="007B7AAA" w:rsidRPr="007B7AAA">
        <w:rPr>
          <w:rFonts w:ascii="Times New Roman" w:eastAsia="Times New Roman" w:hAnsi="Times New Roman" w:cs="Times New Roman"/>
          <w:sz w:val="24"/>
          <w:szCs w:val="24"/>
        </w:rPr>
        <w:t xml:space="preserve"> Public Expenditure and Financial Accountability </w:t>
      </w:r>
      <w:r w:rsidR="008B6ACD">
        <w:rPr>
          <w:rFonts w:ascii="Times New Roman" w:eastAsia="Times New Roman" w:hAnsi="Times New Roman" w:cs="Times New Roman"/>
          <w:sz w:val="24"/>
          <w:szCs w:val="24"/>
        </w:rPr>
        <w:t xml:space="preserve">(PEFA) </w:t>
      </w:r>
      <w:r w:rsidR="006677F4" w:rsidRPr="007B7AAA">
        <w:rPr>
          <w:rFonts w:ascii="Times New Roman" w:eastAsia="Times New Roman" w:hAnsi="Times New Roman" w:cs="Times New Roman"/>
          <w:sz w:val="24"/>
          <w:szCs w:val="24"/>
        </w:rPr>
        <w:t xml:space="preserve">Secretariat, </w:t>
      </w:r>
      <w:r w:rsidR="007B7AAA" w:rsidRPr="007B7AAA">
        <w:rPr>
          <w:rFonts w:ascii="Times New Roman" w:eastAsia="Times New Roman" w:hAnsi="Times New Roman" w:cs="Times New Roman"/>
          <w:sz w:val="24"/>
          <w:szCs w:val="24"/>
        </w:rPr>
        <w:t>International Budget Partnership</w:t>
      </w:r>
      <w:r w:rsidR="008B6ACD">
        <w:rPr>
          <w:rFonts w:ascii="Times New Roman" w:eastAsia="Times New Roman" w:hAnsi="Times New Roman" w:cs="Times New Roman"/>
          <w:sz w:val="24"/>
          <w:szCs w:val="24"/>
        </w:rPr>
        <w:t xml:space="preserve"> (IBP)</w:t>
      </w:r>
      <w:r w:rsidR="007B7AAA" w:rsidRPr="007B7AAA">
        <w:rPr>
          <w:rFonts w:ascii="Times New Roman" w:eastAsia="Times New Roman" w:hAnsi="Times New Roman" w:cs="Times New Roman"/>
          <w:sz w:val="24"/>
          <w:szCs w:val="24"/>
        </w:rPr>
        <w:t>, and Global Initiative for Fiscal Transparency</w:t>
      </w:r>
      <w:r w:rsidR="008B6ACD">
        <w:rPr>
          <w:rFonts w:ascii="Times New Roman" w:eastAsia="Times New Roman" w:hAnsi="Times New Roman" w:cs="Times New Roman"/>
          <w:sz w:val="24"/>
          <w:szCs w:val="24"/>
        </w:rPr>
        <w:t>(GIFT)</w:t>
      </w:r>
      <w:r w:rsidR="007B7AAA" w:rsidRPr="007B7AAA">
        <w:rPr>
          <w:rFonts w:ascii="Times New Roman" w:eastAsia="Times New Roman" w:hAnsi="Times New Roman" w:cs="Times New Roman"/>
          <w:sz w:val="24"/>
          <w:szCs w:val="24"/>
        </w:rPr>
        <w:t xml:space="preserve">) </w:t>
      </w:r>
      <w:r w:rsidR="007B7AAA">
        <w:rPr>
          <w:rFonts w:ascii="Times New Roman" w:eastAsia="Times New Roman" w:hAnsi="Times New Roman" w:cs="Times New Roman"/>
          <w:b/>
          <w:sz w:val="24"/>
          <w:szCs w:val="24"/>
        </w:rPr>
        <w:t xml:space="preserve">for their cooperation with the BCOP and presentations on the up-to-date and upcoming research, analyses, and activities of these organizations related to budgetary and fiscal issues. </w:t>
      </w:r>
      <w:r w:rsidR="004F62BF" w:rsidRPr="006677F4">
        <w:rPr>
          <w:rFonts w:ascii="Times New Roman" w:eastAsia="Times New Roman" w:hAnsi="Times New Roman" w:cs="Times New Roman"/>
          <w:sz w:val="24"/>
          <w:szCs w:val="24"/>
        </w:rPr>
        <w:t>An overview of the agenda was also shared and</w:t>
      </w:r>
      <w:r w:rsidR="004F62BF" w:rsidRPr="006677F4">
        <w:rPr>
          <w:rFonts w:ascii="Times New Roman" w:eastAsia="Times New Roman" w:hAnsi="Times New Roman" w:cs="Times New Roman"/>
          <w:b/>
          <w:sz w:val="24"/>
          <w:szCs w:val="24"/>
        </w:rPr>
        <w:t xml:space="preserve"> </w:t>
      </w:r>
      <w:r w:rsidR="004F62BF" w:rsidRPr="007B7AAA">
        <w:rPr>
          <w:rFonts w:ascii="Times New Roman" w:eastAsia="Times New Roman" w:hAnsi="Times New Roman" w:cs="Times New Roman"/>
          <w:sz w:val="24"/>
          <w:szCs w:val="24"/>
        </w:rPr>
        <w:t xml:space="preserve">participants welcomed, including </w:t>
      </w:r>
      <w:r w:rsidR="005E41C2" w:rsidRPr="007B7AAA">
        <w:rPr>
          <w:rFonts w:ascii="Times New Roman" w:eastAsia="Times New Roman" w:hAnsi="Times New Roman" w:cs="Times New Roman"/>
          <w:sz w:val="24"/>
          <w:szCs w:val="24"/>
        </w:rPr>
        <w:t>the BCOP Executive Committee, speakers, experts</w:t>
      </w:r>
      <w:r w:rsidR="007B7AAA" w:rsidRPr="007B7AAA">
        <w:rPr>
          <w:rFonts w:ascii="Times New Roman" w:eastAsia="Times New Roman" w:hAnsi="Times New Roman" w:cs="Times New Roman"/>
          <w:sz w:val="24"/>
          <w:szCs w:val="24"/>
        </w:rPr>
        <w:t>,</w:t>
      </w:r>
      <w:r w:rsidR="005E41C2" w:rsidRPr="007B7AAA">
        <w:rPr>
          <w:rFonts w:ascii="Times New Roman" w:eastAsia="Times New Roman" w:hAnsi="Times New Roman" w:cs="Times New Roman"/>
          <w:sz w:val="24"/>
          <w:szCs w:val="24"/>
        </w:rPr>
        <w:t xml:space="preserve"> and newcomers.  </w:t>
      </w:r>
    </w:p>
    <w:p w14:paraId="001C6157" w14:textId="3993AAB2" w:rsidR="006D6955" w:rsidRPr="006D6955" w:rsidRDefault="005E41C2" w:rsidP="006D6955">
      <w:pPr>
        <w:pStyle w:val="NoSpacing"/>
        <w:jc w:val="both"/>
        <w:rPr>
          <w:rFonts w:ascii="Times New Roman" w:eastAsia="Times New Roman" w:hAnsi="Times New Roman" w:cs="Times New Roman"/>
          <w:color w:val="000000"/>
          <w:sz w:val="24"/>
          <w:szCs w:val="24"/>
        </w:rPr>
      </w:pPr>
      <w:r w:rsidRPr="006677F4">
        <w:rPr>
          <w:rFonts w:ascii="Times New Roman" w:eastAsia="Times New Roman" w:hAnsi="Times New Roman" w:cs="Times New Roman"/>
          <w:b/>
          <w:sz w:val="24"/>
          <w:szCs w:val="24"/>
        </w:rPr>
        <w:t xml:space="preserve">BCOP Executive Committee </w:t>
      </w:r>
      <w:r w:rsidR="007B7AAA">
        <w:rPr>
          <w:rFonts w:ascii="Times New Roman" w:eastAsia="Times New Roman" w:hAnsi="Times New Roman" w:cs="Times New Roman"/>
          <w:b/>
          <w:sz w:val="24"/>
          <w:szCs w:val="24"/>
        </w:rPr>
        <w:t>Depu</w:t>
      </w:r>
      <w:r w:rsidR="006D6955">
        <w:rPr>
          <w:rFonts w:ascii="Times New Roman" w:eastAsia="Times New Roman" w:hAnsi="Times New Roman" w:cs="Times New Roman"/>
          <w:b/>
          <w:sz w:val="24"/>
          <w:szCs w:val="24"/>
        </w:rPr>
        <w:t>t</w:t>
      </w:r>
      <w:r w:rsidR="007B7AAA">
        <w:rPr>
          <w:rFonts w:ascii="Times New Roman" w:eastAsia="Times New Roman" w:hAnsi="Times New Roman" w:cs="Times New Roman"/>
          <w:b/>
          <w:sz w:val="24"/>
          <w:szCs w:val="24"/>
        </w:rPr>
        <w:t xml:space="preserve">y Chair, </w:t>
      </w:r>
      <w:r w:rsidRPr="006677F4">
        <w:rPr>
          <w:rFonts w:ascii="Times New Roman" w:eastAsia="Times New Roman" w:hAnsi="Times New Roman" w:cs="Times New Roman"/>
          <w:b/>
          <w:sz w:val="24"/>
          <w:szCs w:val="24"/>
        </w:rPr>
        <w:t xml:space="preserve">Kanat Asangulov from Kyrgyz Republic provided an overview of the progress of BCOP, </w:t>
      </w:r>
      <w:r w:rsidR="001E33E9" w:rsidRPr="006677F4">
        <w:rPr>
          <w:rFonts w:ascii="Times New Roman" w:eastAsia="Times New Roman" w:hAnsi="Times New Roman" w:cs="Times New Roman"/>
          <w:sz w:val="24"/>
          <w:szCs w:val="24"/>
        </w:rPr>
        <w:t xml:space="preserve">noting that </w:t>
      </w:r>
      <w:r w:rsidR="006D6955">
        <w:rPr>
          <w:rFonts w:ascii="Times New Roman" w:eastAsia="Times New Roman" w:hAnsi="Times New Roman" w:cs="Times New Roman"/>
          <w:sz w:val="24"/>
          <w:szCs w:val="24"/>
        </w:rPr>
        <w:t>i</w:t>
      </w:r>
      <w:r w:rsidR="007B7AAA" w:rsidRPr="007B7AAA">
        <w:rPr>
          <w:rFonts w:ascii="Times New Roman" w:eastAsia="Times New Roman" w:hAnsi="Times New Roman" w:cs="Times New Roman"/>
          <w:color w:val="000000"/>
          <w:sz w:val="24"/>
          <w:szCs w:val="24"/>
        </w:rPr>
        <w:t xml:space="preserve">n 2017, BCOP held six meetings in addition to three meetings of the BCOP Executive Committee and four PEMPAL Steering Committee meetings </w:t>
      </w:r>
      <w:r w:rsidR="007B7AAA" w:rsidRPr="007B7AAA">
        <w:rPr>
          <w:rFonts w:ascii="Times New Roman" w:eastAsia="Times New Roman" w:hAnsi="Times New Roman" w:cs="Times New Roman"/>
          <w:color w:val="000000"/>
          <w:sz w:val="24"/>
          <w:szCs w:val="24"/>
        </w:rPr>
        <w:lastRenderedPageBreak/>
        <w:t>in which BCOP leadership participated. Results from these events and other BCOP activities in the last year were shared with the membership, as well as the results on from the pre-meeting survey sent to BCOP</w:t>
      </w:r>
      <w:r w:rsidR="00AA75CD">
        <w:rPr>
          <w:rFonts w:ascii="Times New Roman" w:eastAsia="Times New Roman" w:hAnsi="Times New Roman" w:cs="Times New Roman"/>
          <w:color w:val="000000"/>
          <w:sz w:val="24"/>
          <w:szCs w:val="24"/>
        </w:rPr>
        <w:t xml:space="preserve">'s 21 </w:t>
      </w:r>
      <w:r w:rsidR="007B7AAA" w:rsidRPr="007B7AAA">
        <w:rPr>
          <w:rFonts w:ascii="Times New Roman" w:eastAsia="Times New Roman" w:hAnsi="Times New Roman" w:cs="Times New Roman"/>
          <w:color w:val="000000"/>
          <w:sz w:val="24"/>
          <w:szCs w:val="24"/>
        </w:rPr>
        <w:t>member countries in terms of country budgeting reform priorities, based on which BCOP Executive Committee will finalize the FY2019 BCOP Action Plan.</w:t>
      </w:r>
      <w:r w:rsidR="00AC5EF1" w:rsidRPr="006677F4">
        <w:rPr>
          <w:rFonts w:ascii="Times New Roman" w:eastAsia="Times New Roman" w:hAnsi="Times New Roman" w:cs="Times New Roman"/>
          <w:sz w:val="24"/>
          <w:szCs w:val="24"/>
        </w:rPr>
        <w:t xml:space="preserve"> In the pre-meeting survey, the 21 </w:t>
      </w:r>
      <w:r w:rsidR="006D6955">
        <w:rPr>
          <w:rFonts w:ascii="Times New Roman" w:eastAsia="Times New Roman" w:hAnsi="Times New Roman" w:cs="Times New Roman"/>
          <w:sz w:val="24"/>
          <w:szCs w:val="24"/>
        </w:rPr>
        <w:t xml:space="preserve"> </w:t>
      </w:r>
      <w:r w:rsidR="00AA75CD">
        <w:rPr>
          <w:rFonts w:ascii="Times New Roman" w:eastAsia="Times New Roman" w:hAnsi="Times New Roman" w:cs="Times New Roman"/>
          <w:sz w:val="24"/>
          <w:szCs w:val="24"/>
        </w:rPr>
        <w:t xml:space="preserve"> </w:t>
      </w:r>
      <w:r w:rsidR="00AC5EF1" w:rsidRPr="006677F4">
        <w:rPr>
          <w:rFonts w:ascii="Times New Roman" w:eastAsia="Times New Roman" w:hAnsi="Times New Roman" w:cs="Times New Roman"/>
          <w:sz w:val="24"/>
          <w:szCs w:val="24"/>
        </w:rPr>
        <w:t>member countries of BCOP were also asked to document their priorities to be addressed in future plena</w:t>
      </w:r>
      <w:r w:rsidR="00BC0D1C" w:rsidRPr="006677F4">
        <w:rPr>
          <w:rFonts w:ascii="Times New Roman" w:eastAsia="Times New Roman" w:hAnsi="Times New Roman" w:cs="Times New Roman"/>
          <w:sz w:val="24"/>
          <w:szCs w:val="24"/>
        </w:rPr>
        <w:t xml:space="preserve">ry and working group meetings. </w:t>
      </w:r>
      <w:r w:rsidR="00AC5EF1" w:rsidRPr="006677F4">
        <w:rPr>
          <w:rFonts w:ascii="Times New Roman" w:eastAsia="Times New Roman" w:hAnsi="Times New Roman" w:cs="Times New Roman"/>
          <w:sz w:val="24"/>
          <w:szCs w:val="24"/>
        </w:rPr>
        <w:t>The BCOP Executive Committee</w:t>
      </w:r>
      <w:r w:rsidR="006D6955">
        <w:rPr>
          <w:rFonts w:ascii="Times New Roman" w:eastAsia="Times New Roman" w:hAnsi="Times New Roman" w:cs="Times New Roman"/>
          <w:sz w:val="24"/>
          <w:szCs w:val="24"/>
        </w:rPr>
        <w:t xml:space="preserve"> analyzed and </w:t>
      </w:r>
      <w:r w:rsidR="00AC5EF1" w:rsidRPr="006677F4">
        <w:rPr>
          <w:rFonts w:ascii="Times New Roman" w:eastAsia="Times New Roman" w:hAnsi="Times New Roman" w:cs="Times New Roman"/>
          <w:sz w:val="24"/>
          <w:szCs w:val="24"/>
        </w:rPr>
        <w:t>discussed the</w:t>
      </w:r>
      <w:r w:rsidR="001E33E9" w:rsidRPr="006677F4">
        <w:rPr>
          <w:rFonts w:ascii="Times New Roman" w:eastAsia="Times New Roman" w:hAnsi="Times New Roman" w:cs="Times New Roman"/>
          <w:sz w:val="24"/>
          <w:szCs w:val="24"/>
        </w:rPr>
        <w:t>se</w:t>
      </w:r>
      <w:r w:rsidR="00AC5EF1" w:rsidRPr="006677F4">
        <w:rPr>
          <w:rFonts w:ascii="Times New Roman" w:eastAsia="Times New Roman" w:hAnsi="Times New Roman" w:cs="Times New Roman"/>
          <w:sz w:val="24"/>
          <w:szCs w:val="24"/>
        </w:rPr>
        <w:t xml:space="preserve"> results </w:t>
      </w:r>
      <w:r w:rsidR="006D6955">
        <w:rPr>
          <w:rFonts w:ascii="Times New Roman" w:eastAsia="Times New Roman" w:hAnsi="Times New Roman" w:cs="Times New Roman"/>
          <w:sz w:val="24"/>
          <w:szCs w:val="24"/>
        </w:rPr>
        <w:t>prior to the plenary meeting on March 13</w:t>
      </w:r>
      <w:r w:rsidR="006D6955" w:rsidRPr="006D6955">
        <w:rPr>
          <w:rFonts w:ascii="Times New Roman" w:eastAsia="Times New Roman" w:hAnsi="Times New Roman" w:cs="Times New Roman"/>
          <w:sz w:val="24"/>
          <w:szCs w:val="24"/>
          <w:vertAlign w:val="superscript"/>
        </w:rPr>
        <w:t>th</w:t>
      </w:r>
      <w:r w:rsidR="006D6955">
        <w:rPr>
          <w:rFonts w:ascii="Times New Roman" w:eastAsia="Times New Roman" w:hAnsi="Times New Roman" w:cs="Times New Roman"/>
          <w:sz w:val="24"/>
          <w:szCs w:val="24"/>
        </w:rPr>
        <w:t xml:space="preserve">. </w:t>
      </w:r>
      <w:r w:rsidR="006D6955" w:rsidRPr="006D6955">
        <w:rPr>
          <w:rFonts w:ascii="Times New Roman" w:eastAsia="Times New Roman" w:hAnsi="Times New Roman" w:cs="Times New Roman"/>
          <w:color w:val="000000"/>
          <w:sz w:val="24"/>
          <w:szCs w:val="24"/>
        </w:rPr>
        <w:t>Mr Asangulov reported on budgeting reform topics listed as the priorities for the BCOP countries in the BCOP pre-event survey conducted in February 2018. The most common priorities are related to topics of the two BCOP working groups. Overall most common priorities are:</w:t>
      </w:r>
    </w:p>
    <w:p w14:paraId="3067F1C4" w14:textId="77777777" w:rsidR="006D6955" w:rsidRPr="006D6955" w:rsidRDefault="006D6955" w:rsidP="006D6955">
      <w:pPr>
        <w:pStyle w:val="NoSpacing"/>
        <w:numPr>
          <w:ilvl w:val="2"/>
          <w:numId w:val="42"/>
        </w:numPr>
        <w:ind w:left="540"/>
        <w:jc w:val="both"/>
        <w:rPr>
          <w:rFonts w:ascii="Times New Roman" w:eastAsia="Times New Roman" w:hAnsi="Times New Roman" w:cs="Times New Roman"/>
          <w:color w:val="000000"/>
          <w:sz w:val="24"/>
          <w:szCs w:val="24"/>
        </w:rPr>
      </w:pPr>
      <w:r w:rsidRPr="006D6955">
        <w:rPr>
          <w:rFonts w:ascii="Times New Roman" w:eastAsia="Times New Roman" w:hAnsi="Times New Roman" w:cs="Times New Roman"/>
          <w:color w:val="000000"/>
          <w:sz w:val="24"/>
          <w:szCs w:val="24"/>
        </w:rPr>
        <w:t xml:space="preserve">topics related to program and performance budgeting (i. programs, ii. performance indicators, and iii. monitoring and evaluations of expenditure including spending reviews); </w:t>
      </w:r>
    </w:p>
    <w:p w14:paraId="1EB2BEDA" w14:textId="77777777" w:rsidR="006D6955" w:rsidRPr="006D6955" w:rsidRDefault="006D6955" w:rsidP="006D6955">
      <w:pPr>
        <w:pStyle w:val="NoSpacing"/>
        <w:numPr>
          <w:ilvl w:val="2"/>
          <w:numId w:val="42"/>
        </w:numPr>
        <w:ind w:left="540"/>
        <w:jc w:val="both"/>
        <w:rPr>
          <w:rFonts w:ascii="Times New Roman" w:eastAsia="Times New Roman" w:hAnsi="Times New Roman" w:cs="Times New Roman"/>
          <w:color w:val="000000"/>
          <w:sz w:val="24"/>
          <w:szCs w:val="24"/>
        </w:rPr>
      </w:pPr>
      <w:r w:rsidRPr="006D6955">
        <w:rPr>
          <w:rFonts w:ascii="Times New Roman" w:eastAsia="Times New Roman" w:hAnsi="Times New Roman" w:cs="Times New Roman"/>
          <w:color w:val="000000"/>
          <w:sz w:val="24"/>
          <w:szCs w:val="24"/>
        </w:rPr>
        <w:t xml:space="preserve">topics related to budget literacy and transparency (i. citizens’ budgets, ii. budget literacy, and iii. public participation); and </w:t>
      </w:r>
    </w:p>
    <w:p w14:paraId="4A507215" w14:textId="77777777" w:rsidR="006D6955" w:rsidRPr="006D6955" w:rsidRDefault="006D6955" w:rsidP="006D6955">
      <w:pPr>
        <w:pStyle w:val="NoSpacing"/>
        <w:numPr>
          <w:ilvl w:val="2"/>
          <w:numId w:val="42"/>
        </w:numPr>
        <w:ind w:left="540"/>
        <w:jc w:val="both"/>
        <w:rPr>
          <w:rFonts w:ascii="Times New Roman" w:eastAsia="Times New Roman" w:hAnsi="Times New Roman" w:cs="Times New Roman"/>
          <w:color w:val="000000"/>
          <w:sz w:val="24"/>
          <w:szCs w:val="24"/>
        </w:rPr>
      </w:pPr>
      <w:r w:rsidRPr="006D6955">
        <w:rPr>
          <w:rFonts w:ascii="Times New Roman" w:eastAsia="Times New Roman" w:hAnsi="Times New Roman" w:cs="Times New Roman"/>
          <w:color w:val="000000"/>
          <w:sz w:val="24"/>
          <w:szCs w:val="24"/>
        </w:rPr>
        <w:t>Integrating capital budgeting/public investment in budget planning (assessing its effectiveness, prioritizing).</w:t>
      </w:r>
    </w:p>
    <w:p w14:paraId="31DD0AE8" w14:textId="77777777" w:rsidR="00AA75CD" w:rsidRDefault="006D6955" w:rsidP="00AA75CD">
      <w:pPr>
        <w:pStyle w:val="NoSpacing"/>
        <w:jc w:val="both"/>
        <w:rPr>
          <w:rFonts w:ascii="Times New Roman" w:eastAsia="Times New Roman" w:hAnsi="Times New Roman" w:cs="Times New Roman"/>
          <w:sz w:val="24"/>
          <w:szCs w:val="24"/>
        </w:rPr>
      </w:pPr>
      <w:r w:rsidRPr="006677F4">
        <w:rPr>
          <w:rFonts w:ascii="Times New Roman" w:eastAsia="Times New Roman" w:hAnsi="Times New Roman" w:cs="Times New Roman"/>
          <w:sz w:val="24"/>
          <w:szCs w:val="24"/>
        </w:rPr>
        <w:t xml:space="preserve">It was agreed that the next annual plenary meeting will follow the same format, with one day dedicated to each of the working groups, given their topics remain a key priority for members, and a half day will be dedicated to a </w:t>
      </w:r>
      <w:r w:rsidR="008310A4">
        <w:rPr>
          <w:rFonts w:ascii="Times New Roman" w:eastAsia="Times New Roman" w:hAnsi="Times New Roman" w:cs="Times New Roman"/>
          <w:sz w:val="24"/>
          <w:szCs w:val="24"/>
        </w:rPr>
        <w:t xml:space="preserve">third </w:t>
      </w:r>
      <w:r w:rsidRPr="006677F4">
        <w:rPr>
          <w:rFonts w:ascii="Times New Roman" w:eastAsia="Times New Roman" w:hAnsi="Times New Roman" w:cs="Times New Roman"/>
          <w:sz w:val="24"/>
          <w:szCs w:val="24"/>
        </w:rPr>
        <w:t>topic</w:t>
      </w:r>
      <w:r w:rsidR="008310A4">
        <w:rPr>
          <w:rFonts w:ascii="Times New Roman" w:eastAsia="Times New Roman" w:hAnsi="Times New Roman" w:cs="Times New Roman"/>
          <w:sz w:val="24"/>
          <w:szCs w:val="24"/>
        </w:rPr>
        <w:t>. T</w:t>
      </w:r>
      <w:r w:rsidRPr="006D6955">
        <w:rPr>
          <w:rFonts w:ascii="Times New Roman" w:eastAsia="Times New Roman" w:hAnsi="Times New Roman" w:cs="Times New Roman"/>
          <w:sz w:val="24"/>
          <w:szCs w:val="24"/>
        </w:rPr>
        <w:t xml:space="preserve">he Executive Committee </w:t>
      </w:r>
      <w:r w:rsidR="008310A4">
        <w:rPr>
          <w:rFonts w:ascii="Times New Roman" w:eastAsia="Times New Roman" w:hAnsi="Times New Roman" w:cs="Times New Roman"/>
          <w:sz w:val="24"/>
          <w:szCs w:val="24"/>
        </w:rPr>
        <w:t xml:space="preserve">will </w:t>
      </w:r>
      <w:r w:rsidRPr="006D6955">
        <w:rPr>
          <w:rFonts w:ascii="Times New Roman" w:eastAsia="Times New Roman" w:hAnsi="Times New Roman" w:cs="Times New Roman"/>
          <w:sz w:val="24"/>
          <w:szCs w:val="24"/>
        </w:rPr>
        <w:t xml:space="preserve">in its next meeting in May </w:t>
      </w:r>
      <w:r>
        <w:rPr>
          <w:rFonts w:ascii="Times New Roman" w:eastAsia="Times New Roman" w:hAnsi="Times New Roman" w:cs="Times New Roman"/>
          <w:sz w:val="24"/>
          <w:szCs w:val="24"/>
        </w:rPr>
        <w:t xml:space="preserve">2018 </w:t>
      </w:r>
      <w:r w:rsidR="008310A4">
        <w:rPr>
          <w:rFonts w:ascii="Times New Roman" w:eastAsia="Times New Roman" w:hAnsi="Times New Roman" w:cs="Times New Roman"/>
          <w:sz w:val="24"/>
          <w:szCs w:val="24"/>
        </w:rPr>
        <w:t>make</w:t>
      </w:r>
      <w:r w:rsidRPr="006D6955">
        <w:rPr>
          <w:rFonts w:ascii="Times New Roman" w:eastAsia="Times New Roman" w:hAnsi="Times New Roman" w:cs="Times New Roman"/>
          <w:sz w:val="24"/>
          <w:szCs w:val="24"/>
        </w:rPr>
        <w:t xml:space="preserve"> the final decision </w:t>
      </w:r>
      <w:r w:rsidR="000C7768">
        <w:rPr>
          <w:rFonts w:ascii="Times New Roman" w:eastAsia="Times New Roman" w:hAnsi="Times New Roman" w:cs="Times New Roman"/>
          <w:sz w:val="24"/>
          <w:szCs w:val="24"/>
        </w:rPr>
        <w:t>on the third topic</w:t>
      </w:r>
      <w:r w:rsidRPr="006D6955">
        <w:rPr>
          <w:rFonts w:ascii="Times New Roman" w:eastAsia="Times New Roman" w:hAnsi="Times New Roman" w:cs="Times New Roman"/>
          <w:sz w:val="24"/>
          <w:szCs w:val="24"/>
        </w:rPr>
        <w:t>.</w:t>
      </w:r>
      <w:r w:rsidR="008310A4">
        <w:rPr>
          <w:rFonts w:ascii="Times New Roman" w:eastAsia="Times New Roman" w:hAnsi="Times New Roman" w:cs="Times New Roman"/>
          <w:sz w:val="24"/>
          <w:szCs w:val="24"/>
        </w:rPr>
        <w:t xml:space="preserve"> He also informed the participants that t</w:t>
      </w:r>
      <w:r w:rsidR="008310A4" w:rsidRPr="008310A4">
        <w:rPr>
          <w:rFonts w:ascii="Times New Roman" w:eastAsia="Times New Roman" w:hAnsi="Times New Roman" w:cs="Times New Roman"/>
          <w:sz w:val="24"/>
          <w:szCs w:val="24"/>
        </w:rPr>
        <w:t xml:space="preserve">he Executive Committee accepted Uzbekistan’s proposal to host the 2019 BCOP plenary meeting. </w:t>
      </w:r>
    </w:p>
    <w:p w14:paraId="58C6A22F" w14:textId="77777777" w:rsidR="00AA75CD" w:rsidRDefault="00AA75CD" w:rsidP="00AA75CD">
      <w:pPr>
        <w:pStyle w:val="NoSpacing"/>
        <w:jc w:val="both"/>
        <w:rPr>
          <w:rFonts w:ascii="Times New Roman" w:eastAsia="Times New Roman" w:hAnsi="Times New Roman" w:cs="Times New Roman"/>
          <w:sz w:val="24"/>
          <w:szCs w:val="24"/>
        </w:rPr>
      </w:pPr>
    </w:p>
    <w:p w14:paraId="4678D5DC" w14:textId="07F8399B" w:rsidR="003C5D88" w:rsidRPr="00AA75CD" w:rsidRDefault="003C5D88" w:rsidP="00AA75CD">
      <w:pPr>
        <w:pStyle w:val="NoSpacing"/>
        <w:jc w:val="both"/>
        <w:rPr>
          <w:rFonts w:ascii="Times New Roman" w:eastAsia="Times New Roman" w:hAnsi="Times New Roman" w:cs="Times New Roman"/>
          <w:sz w:val="24"/>
          <w:szCs w:val="24"/>
        </w:rPr>
      </w:pPr>
      <w:r w:rsidRPr="00AA75CD">
        <w:rPr>
          <w:rFonts w:ascii="Times New Roman" w:hAnsi="Times New Roman" w:cs="Times New Roman"/>
          <w:sz w:val="24"/>
          <w:szCs w:val="24"/>
        </w:rPr>
        <w:t xml:space="preserve">The Agenda of the BCOP </w:t>
      </w:r>
      <w:r w:rsidRPr="00AA75CD">
        <w:rPr>
          <w:rFonts w:ascii="Times New Roman" w:eastAsia="Times New Roman" w:hAnsi="Times New Roman" w:cs="Times New Roman"/>
          <w:color w:val="222222"/>
          <w:sz w:val="24"/>
          <w:szCs w:val="24"/>
          <w:lang w:eastAsia="bs-Latn-BA"/>
        </w:rPr>
        <w:t xml:space="preserve">plenary meeting </w:t>
      </w:r>
      <w:r w:rsidRPr="00AA75CD">
        <w:rPr>
          <w:rFonts w:ascii="Times New Roman" w:hAnsi="Times New Roman" w:cs="Times New Roman"/>
          <w:sz w:val="24"/>
          <w:szCs w:val="24"/>
        </w:rPr>
        <w:t xml:space="preserve">is provided in </w:t>
      </w:r>
      <w:r w:rsidRPr="00AA75CD">
        <w:rPr>
          <w:rFonts w:ascii="Times New Roman" w:hAnsi="Times New Roman" w:cs="Times New Roman"/>
          <w:i/>
          <w:sz w:val="24"/>
          <w:szCs w:val="24"/>
        </w:rPr>
        <w:t>Annex 1.</w:t>
      </w:r>
    </w:p>
    <w:p w14:paraId="07F47313" w14:textId="10C80B92" w:rsidR="006B6752" w:rsidRPr="00AA75CD" w:rsidRDefault="006B6752" w:rsidP="00AA75CD">
      <w:pPr>
        <w:pStyle w:val="Heading1"/>
        <w:numPr>
          <w:ilvl w:val="0"/>
          <w:numId w:val="36"/>
        </w:numPr>
        <w:rPr>
          <w:rFonts w:ascii="Times New Roman" w:eastAsia="Times New Roman" w:hAnsi="Times New Roman" w:cs="Times New Roman"/>
          <w:b/>
          <w:sz w:val="24"/>
          <w:szCs w:val="24"/>
          <w:lang w:eastAsia="bs-Latn-BA"/>
        </w:rPr>
      </w:pPr>
      <w:bookmarkStart w:id="4" w:name="_Toc511655348"/>
      <w:r w:rsidRPr="00AA75CD">
        <w:rPr>
          <w:rFonts w:ascii="Times New Roman" w:eastAsia="Times New Roman" w:hAnsi="Times New Roman" w:cs="Times New Roman"/>
          <w:b/>
          <w:sz w:val="24"/>
          <w:szCs w:val="24"/>
          <w:lang w:eastAsia="bs-Latn-BA"/>
        </w:rPr>
        <w:t xml:space="preserve">Day One – </w:t>
      </w:r>
      <w:r w:rsidR="006D6955" w:rsidRPr="00AA75CD">
        <w:rPr>
          <w:rFonts w:ascii="Times New Roman" w:eastAsia="Times New Roman" w:hAnsi="Times New Roman" w:cs="Times New Roman"/>
          <w:b/>
          <w:sz w:val="24"/>
          <w:szCs w:val="24"/>
          <w:lang w:eastAsia="bs-Latn-BA"/>
        </w:rPr>
        <w:t>Intergovernmental Fiscal Relations</w:t>
      </w:r>
      <w:bookmarkEnd w:id="4"/>
    </w:p>
    <w:p w14:paraId="1498220F" w14:textId="77777777" w:rsidR="008310A4" w:rsidRPr="00C80892" w:rsidRDefault="008310A4" w:rsidP="008310A4">
      <w:pPr>
        <w:jc w:val="both"/>
        <w:rPr>
          <w:rFonts w:ascii="Times New Roman" w:hAnsi="Times New Roman" w:cs="Times New Roman"/>
          <w:sz w:val="24"/>
          <w:szCs w:val="24"/>
        </w:rPr>
      </w:pPr>
      <w:r w:rsidRPr="00C80892">
        <w:rPr>
          <w:rFonts w:ascii="Times New Roman" w:hAnsi="Times New Roman" w:cs="Times New Roman"/>
          <w:sz w:val="24"/>
          <w:szCs w:val="24"/>
        </w:rPr>
        <w:t>During the first day participants were familiarized with approaches and trends in intergovernmental fiscal relations discussed possible approaches and options for PEMPAL countries.</w:t>
      </w:r>
    </w:p>
    <w:p w14:paraId="2B5F6235" w14:textId="10896AC4" w:rsidR="008310A4" w:rsidRPr="00C80892" w:rsidRDefault="008310A4" w:rsidP="008310A4">
      <w:pPr>
        <w:pStyle w:val="NormalWeb"/>
        <w:spacing w:before="120" w:beforeAutospacing="0" w:after="120" w:afterAutospacing="0"/>
        <w:jc w:val="both"/>
        <w:rPr>
          <w:rFonts w:eastAsiaTheme="minorHAnsi"/>
        </w:rPr>
      </w:pPr>
      <w:r w:rsidRPr="00C80892">
        <w:rPr>
          <w:b/>
          <w:lang w:eastAsia="sl-SI"/>
        </w:rPr>
        <w:t>Presentations on intergovernmental fiscal relations were provided by</w:t>
      </w:r>
      <w:r>
        <w:rPr>
          <w:b/>
          <w:lang w:eastAsia="sl-SI"/>
        </w:rPr>
        <w:t xml:space="preserve"> the</w:t>
      </w:r>
      <w:r w:rsidRPr="00C80892">
        <w:rPr>
          <w:b/>
          <w:lang w:eastAsia="sl-SI"/>
        </w:rPr>
        <w:t xml:space="preserve"> World Bank </w:t>
      </w:r>
      <w:r w:rsidRPr="008310A4">
        <w:rPr>
          <w:lang w:eastAsia="sl-SI"/>
        </w:rPr>
        <w:t>(</w:t>
      </w:r>
      <w:r w:rsidRPr="008310A4">
        <w:t>Iryna Shcherbyna)</w:t>
      </w:r>
      <w:r w:rsidRPr="00C80892">
        <w:t xml:space="preserve">, </w:t>
      </w:r>
      <w:r w:rsidRPr="00C80892">
        <w:rPr>
          <w:b/>
        </w:rPr>
        <w:t xml:space="preserve">PEFA Secretariat </w:t>
      </w:r>
      <w:r w:rsidRPr="008310A4">
        <w:t>(Jens Kromann Kristensen)</w:t>
      </w:r>
      <w:r w:rsidRPr="00C80892">
        <w:t xml:space="preserve">, </w:t>
      </w:r>
      <w:r w:rsidRPr="00C80892">
        <w:rPr>
          <w:b/>
        </w:rPr>
        <w:t xml:space="preserve">OECD </w:t>
      </w:r>
      <w:r w:rsidRPr="008310A4">
        <w:t>(Sean Dougherty</w:t>
      </w:r>
      <w:r w:rsidRPr="008310A4">
        <w:rPr>
          <w:lang w:eastAsia="sl-SI"/>
        </w:rPr>
        <w:t>)</w:t>
      </w:r>
      <w:r w:rsidRPr="00C80892">
        <w:rPr>
          <w:b/>
          <w:lang w:eastAsia="sl-SI"/>
        </w:rPr>
        <w:t xml:space="preserve"> and the </w:t>
      </w:r>
      <w:r w:rsidRPr="00C80892">
        <w:rPr>
          <w:b/>
        </w:rPr>
        <w:t>Ministry of Finance of Austria</w:t>
      </w:r>
      <w:r w:rsidRPr="00C80892">
        <w:rPr>
          <w:b/>
          <w:lang w:eastAsia="sl-SI"/>
        </w:rPr>
        <w:t xml:space="preserve"> (</w:t>
      </w:r>
      <w:r w:rsidRPr="00C80892">
        <w:rPr>
          <w:lang w:val="en-GB"/>
        </w:rPr>
        <w:t>Philipp Päcklar</w:t>
      </w:r>
      <w:r>
        <w:rPr>
          <w:lang w:val="en-GB"/>
        </w:rPr>
        <w:t xml:space="preserve"> and Gerlinde Zimmer</w:t>
      </w:r>
      <w:r w:rsidRPr="00C80892">
        <w:rPr>
          <w:b/>
          <w:lang w:eastAsia="sl-SI"/>
        </w:rPr>
        <w:t xml:space="preserve">), as the country case study. </w:t>
      </w:r>
      <w:r w:rsidRPr="00C80892">
        <w:rPr>
          <w:rFonts w:eastAsiaTheme="minorHAnsi"/>
        </w:rPr>
        <w:t>The key discussions and conclusions from these presentations are outlined below.</w:t>
      </w:r>
    </w:p>
    <w:p w14:paraId="05474D0B" w14:textId="0B16FF2C" w:rsidR="008310A4" w:rsidRPr="00AA75CD" w:rsidRDefault="008310A4" w:rsidP="00AA75CD">
      <w:pPr>
        <w:pStyle w:val="Heading3"/>
        <w:rPr>
          <w:rFonts w:ascii="Times New Roman" w:hAnsi="Times New Roman" w:cs="Times New Roman"/>
          <w:b/>
          <w:color w:val="538135" w:themeColor="accent6" w:themeShade="BF"/>
        </w:rPr>
      </w:pPr>
      <w:bookmarkStart w:id="5" w:name="_Toc511655349"/>
      <w:r w:rsidRPr="00AA75CD">
        <w:rPr>
          <w:rFonts w:ascii="Times New Roman" w:hAnsi="Times New Roman" w:cs="Times New Roman"/>
          <w:b/>
          <w:color w:val="538135" w:themeColor="accent6" w:themeShade="BF"/>
        </w:rPr>
        <w:t xml:space="preserve">Intergovernmental Fiscal Transfers: Trends and </w:t>
      </w:r>
      <w:r w:rsidR="00AC1729" w:rsidRPr="00AA75CD">
        <w:rPr>
          <w:rFonts w:ascii="Times New Roman" w:hAnsi="Times New Roman" w:cs="Times New Roman"/>
          <w:b/>
          <w:color w:val="538135" w:themeColor="accent6" w:themeShade="BF"/>
        </w:rPr>
        <w:t>Challenges in PEMPAL Countries</w:t>
      </w:r>
      <w:bookmarkEnd w:id="5"/>
    </w:p>
    <w:p w14:paraId="1A1026BD" w14:textId="6E112368" w:rsidR="008310A4" w:rsidRPr="008310A4" w:rsidRDefault="008310A4" w:rsidP="008310A4">
      <w:pPr>
        <w:jc w:val="both"/>
        <w:rPr>
          <w:rFonts w:ascii="Times New Roman" w:hAnsi="Times New Roman" w:cs="Times New Roman"/>
          <w:sz w:val="24"/>
          <w:szCs w:val="24"/>
        </w:rPr>
      </w:pPr>
      <w:r>
        <w:rPr>
          <w:rFonts w:ascii="Times New Roman" w:hAnsi="Times New Roman" w:cs="Times New Roman"/>
          <w:b/>
          <w:sz w:val="24"/>
          <w:szCs w:val="24"/>
        </w:rPr>
        <w:t xml:space="preserve">The results of the BCOP’s pre-event thematic survey on intergovernmental fiscal relations conducted in 2018 were presented. </w:t>
      </w:r>
      <w:r w:rsidRPr="008310A4">
        <w:rPr>
          <w:rFonts w:ascii="Times New Roman" w:hAnsi="Times New Roman" w:cs="Times New Roman"/>
          <w:sz w:val="24"/>
          <w:szCs w:val="24"/>
        </w:rPr>
        <w:t>It should be noted that the s</w:t>
      </w:r>
      <w:r w:rsidRPr="008310A4">
        <w:rPr>
          <w:rFonts w:ascii="Times New Roman" w:hAnsi="Times New Roman" w:cs="Times New Roman"/>
          <w:iCs/>
          <w:sz w:val="24"/>
          <w:szCs w:val="24"/>
        </w:rPr>
        <w:t>urvey results are based on PEMPAL countries’ own self-assessment in informal BCOP pre-events survey and no data cleaning/verification was conducted. Thus, this data should be treated as approximate self-assessed snapshot used to broadly set the scene for further discussions in this event.</w:t>
      </w:r>
    </w:p>
    <w:p w14:paraId="1B6364E8" w14:textId="753D644A" w:rsidR="008310A4" w:rsidRPr="00C80892" w:rsidRDefault="008310A4" w:rsidP="008310A4">
      <w:pPr>
        <w:jc w:val="both"/>
        <w:rPr>
          <w:rFonts w:ascii="Times New Roman" w:hAnsi="Times New Roman" w:cs="Times New Roman"/>
          <w:sz w:val="24"/>
          <w:szCs w:val="24"/>
        </w:rPr>
      </w:pPr>
      <w:r w:rsidRPr="00C80892">
        <w:rPr>
          <w:rFonts w:ascii="Times New Roman" w:hAnsi="Times New Roman" w:cs="Times New Roman"/>
          <w:b/>
          <w:sz w:val="24"/>
          <w:szCs w:val="24"/>
        </w:rPr>
        <w:t>Each PEMPAL country balanced the delegated and own power of local governments in its specific way, considering historical, political, administrative, economic</w:t>
      </w:r>
      <w:r w:rsidR="00DE4BE5">
        <w:rPr>
          <w:rFonts w:ascii="Times New Roman" w:hAnsi="Times New Roman" w:cs="Times New Roman"/>
          <w:b/>
          <w:sz w:val="24"/>
          <w:szCs w:val="24"/>
        </w:rPr>
        <w:t>,</w:t>
      </w:r>
      <w:r w:rsidRPr="00C80892">
        <w:rPr>
          <w:rFonts w:ascii="Times New Roman" w:hAnsi="Times New Roman" w:cs="Times New Roman"/>
          <w:b/>
          <w:sz w:val="24"/>
          <w:szCs w:val="24"/>
        </w:rPr>
        <w:t xml:space="preserve"> and other circumstances. However, key nation-wide services are mostly delegated to the subnational level, which </w:t>
      </w:r>
      <w:r w:rsidRPr="00C80892">
        <w:rPr>
          <w:rFonts w:ascii="Times New Roman" w:hAnsi="Times New Roman" w:cs="Times New Roman"/>
          <w:b/>
          <w:sz w:val="24"/>
          <w:szCs w:val="24"/>
          <w:lang w:val="en-GB"/>
        </w:rPr>
        <w:t xml:space="preserve">is closer to the taxpayers and service beneficiaries.  </w:t>
      </w:r>
      <w:r w:rsidRPr="00C80892">
        <w:rPr>
          <w:rFonts w:ascii="Times New Roman" w:hAnsi="Times New Roman" w:cs="Times New Roman"/>
          <w:sz w:val="24"/>
          <w:szCs w:val="24"/>
        </w:rPr>
        <w:t xml:space="preserve">Subnational governments in PEMPAL countries </w:t>
      </w:r>
      <w:r w:rsidRPr="00C80892">
        <w:rPr>
          <w:rFonts w:ascii="Times New Roman" w:hAnsi="Times New Roman" w:cs="Times New Roman"/>
          <w:sz w:val="24"/>
          <w:szCs w:val="24"/>
          <w:lang w:val="en-GB"/>
        </w:rPr>
        <w:t xml:space="preserve">shape key national policy sectors </w:t>
      </w:r>
      <w:r w:rsidR="00DE4BE5">
        <w:rPr>
          <w:rFonts w:ascii="Times New Roman" w:hAnsi="Times New Roman" w:cs="Times New Roman"/>
          <w:sz w:val="24"/>
          <w:szCs w:val="24"/>
          <w:lang w:val="en-GB"/>
        </w:rPr>
        <w:t xml:space="preserve">such as education (the share of education in total local governments’ </w:t>
      </w:r>
      <w:r w:rsidR="00DE4BE5" w:rsidRPr="00C80892">
        <w:rPr>
          <w:rFonts w:ascii="Times New Roman" w:hAnsi="Times New Roman" w:cs="Times New Roman"/>
          <w:sz w:val="24"/>
          <w:szCs w:val="24"/>
          <w:lang w:val="en-GB"/>
        </w:rPr>
        <w:t>expenditures</w:t>
      </w:r>
      <w:r w:rsidRPr="00C80892">
        <w:rPr>
          <w:rFonts w:ascii="Times New Roman" w:hAnsi="Times New Roman" w:cs="Times New Roman"/>
          <w:sz w:val="24"/>
          <w:szCs w:val="24"/>
          <w:lang w:val="en-GB"/>
        </w:rPr>
        <w:t xml:space="preserve"> was 32</w:t>
      </w:r>
      <w:r w:rsidR="00DE4BE5">
        <w:rPr>
          <w:rFonts w:ascii="Times New Roman" w:hAnsi="Times New Roman" w:cs="Times New Roman"/>
          <w:sz w:val="24"/>
          <w:szCs w:val="24"/>
          <w:lang w:val="en-GB"/>
        </w:rPr>
        <w:t>.</w:t>
      </w:r>
      <w:r w:rsidRPr="00C80892">
        <w:rPr>
          <w:rFonts w:ascii="Times New Roman" w:hAnsi="Times New Roman" w:cs="Times New Roman"/>
          <w:sz w:val="24"/>
          <w:szCs w:val="24"/>
          <w:lang w:val="en-GB"/>
        </w:rPr>
        <w:t xml:space="preserve">2% on average in 2016), health care (9.7%), </w:t>
      </w:r>
      <w:r w:rsidR="007A5DC8">
        <w:rPr>
          <w:rFonts w:ascii="Times New Roman" w:hAnsi="Times New Roman" w:cs="Times New Roman"/>
          <w:sz w:val="24"/>
          <w:szCs w:val="24"/>
          <w:lang w:val="en-GB"/>
        </w:rPr>
        <w:t xml:space="preserve">and </w:t>
      </w:r>
      <w:r w:rsidRPr="00C80892">
        <w:rPr>
          <w:rFonts w:ascii="Times New Roman" w:hAnsi="Times New Roman" w:cs="Times New Roman"/>
          <w:sz w:val="24"/>
          <w:szCs w:val="24"/>
          <w:lang w:val="en-GB"/>
        </w:rPr>
        <w:t>social assistance and protection</w:t>
      </w:r>
      <w:r w:rsidR="007A5DC8">
        <w:rPr>
          <w:rFonts w:ascii="Times New Roman" w:hAnsi="Times New Roman" w:cs="Times New Roman"/>
          <w:sz w:val="24"/>
          <w:szCs w:val="24"/>
          <w:lang w:val="en-GB"/>
        </w:rPr>
        <w:t xml:space="preserve"> (8.9%)</w:t>
      </w:r>
      <w:r w:rsidRPr="00C80892">
        <w:rPr>
          <w:rFonts w:ascii="Times New Roman" w:hAnsi="Times New Roman" w:cs="Times New Roman"/>
          <w:sz w:val="24"/>
          <w:szCs w:val="24"/>
          <w:lang w:val="en-GB"/>
        </w:rPr>
        <w:t xml:space="preserve">. As a part of their own policy, they also maintain local infrastructure and pay for communal </w:t>
      </w:r>
      <w:r w:rsidRPr="00C80892">
        <w:rPr>
          <w:rFonts w:ascii="Times New Roman" w:hAnsi="Times New Roman" w:cs="Times New Roman"/>
          <w:sz w:val="24"/>
          <w:szCs w:val="24"/>
          <w:lang w:val="en-GB"/>
        </w:rPr>
        <w:lastRenderedPageBreak/>
        <w:t>services provided for budget entities</w:t>
      </w:r>
      <w:r w:rsidRPr="00C80892">
        <w:rPr>
          <w:rFonts w:ascii="Times New Roman" w:hAnsi="Times New Roman" w:cs="Times New Roman"/>
          <w:sz w:val="24"/>
          <w:szCs w:val="24"/>
        </w:rPr>
        <w:t xml:space="preserve">. Those responsibilities of local self-governments demonstrate the nature of fiscal decentralization and create the fundament of budget expenditures structure. </w:t>
      </w:r>
    </w:p>
    <w:p w14:paraId="4F22DDD0" w14:textId="40D4656C" w:rsidR="008310A4" w:rsidRPr="00C80892" w:rsidRDefault="008310A4" w:rsidP="008310A4">
      <w:pPr>
        <w:jc w:val="both"/>
        <w:rPr>
          <w:rFonts w:ascii="Times New Roman" w:hAnsi="Times New Roman" w:cs="Times New Roman"/>
          <w:sz w:val="24"/>
          <w:szCs w:val="24"/>
        </w:rPr>
      </w:pPr>
      <w:r w:rsidRPr="00C80892">
        <w:rPr>
          <w:rFonts w:ascii="Times New Roman" w:hAnsi="Times New Roman" w:cs="Times New Roman"/>
          <w:b/>
          <w:sz w:val="24"/>
          <w:szCs w:val="24"/>
        </w:rPr>
        <w:t>The share of budget revenues in G</w:t>
      </w:r>
      <w:r w:rsidR="007A5DC8">
        <w:rPr>
          <w:rFonts w:ascii="Times New Roman" w:hAnsi="Times New Roman" w:cs="Times New Roman"/>
          <w:b/>
          <w:sz w:val="24"/>
          <w:szCs w:val="24"/>
        </w:rPr>
        <w:t xml:space="preserve">DP </w:t>
      </w:r>
      <w:r w:rsidRPr="00C80892">
        <w:rPr>
          <w:rFonts w:ascii="Times New Roman" w:hAnsi="Times New Roman" w:cs="Times New Roman"/>
          <w:b/>
          <w:sz w:val="24"/>
          <w:szCs w:val="24"/>
        </w:rPr>
        <w:t xml:space="preserve">indicates the level of centralization of </w:t>
      </w:r>
      <w:r w:rsidR="007A5DC8">
        <w:rPr>
          <w:rFonts w:ascii="Times New Roman" w:hAnsi="Times New Roman" w:cs="Times New Roman"/>
          <w:b/>
          <w:sz w:val="24"/>
          <w:szCs w:val="24"/>
        </w:rPr>
        <w:t>public finance management (PFM)</w:t>
      </w:r>
      <w:r w:rsidRPr="00C80892">
        <w:rPr>
          <w:rFonts w:ascii="Times New Roman" w:hAnsi="Times New Roman" w:cs="Times New Roman"/>
          <w:b/>
          <w:sz w:val="24"/>
          <w:szCs w:val="24"/>
        </w:rPr>
        <w:t xml:space="preserve"> system and the role of local governments. </w:t>
      </w:r>
      <w:r w:rsidRPr="00C80892">
        <w:rPr>
          <w:rFonts w:ascii="Times New Roman" w:hAnsi="Times New Roman" w:cs="Times New Roman"/>
          <w:sz w:val="24"/>
          <w:szCs w:val="24"/>
        </w:rPr>
        <w:t xml:space="preserve">This role is quite different across PEMPAL countries. The values vary broadly </w:t>
      </w:r>
      <w:r w:rsidR="007A5DC8">
        <w:rPr>
          <w:rFonts w:ascii="Times New Roman" w:hAnsi="Times New Roman" w:cs="Times New Roman"/>
          <w:sz w:val="24"/>
          <w:szCs w:val="24"/>
        </w:rPr>
        <w:t>from</w:t>
      </w:r>
      <w:r w:rsidRPr="00C80892">
        <w:rPr>
          <w:rFonts w:ascii="Times New Roman" w:hAnsi="Times New Roman" w:cs="Times New Roman"/>
          <w:sz w:val="24"/>
          <w:szCs w:val="24"/>
        </w:rPr>
        <w:t xml:space="preserve"> 0</w:t>
      </w:r>
      <w:r w:rsidR="007A5DC8">
        <w:rPr>
          <w:rFonts w:ascii="Times New Roman" w:hAnsi="Times New Roman" w:cs="Times New Roman"/>
          <w:sz w:val="24"/>
          <w:szCs w:val="24"/>
        </w:rPr>
        <w:t>.</w:t>
      </w:r>
      <w:r w:rsidRPr="00C80892">
        <w:rPr>
          <w:rFonts w:ascii="Times New Roman" w:hAnsi="Times New Roman" w:cs="Times New Roman"/>
          <w:sz w:val="24"/>
          <w:szCs w:val="24"/>
        </w:rPr>
        <w:t xml:space="preserve">7% in Armenia </w:t>
      </w:r>
      <w:r w:rsidR="007A5DC8">
        <w:rPr>
          <w:rFonts w:ascii="Times New Roman" w:hAnsi="Times New Roman" w:cs="Times New Roman"/>
          <w:sz w:val="24"/>
          <w:szCs w:val="24"/>
        </w:rPr>
        <w:t xml:space="preserve">to </w:t>
      </w:r>
      <w:r w:rsidRPr="00C80892">
        <w:rPr>
          <w:rFonts w:ascii="Times New Roman" w:hAnsi="Times New Roman" w:cs="Times New Roman"/>
          <w:sz w:val="24"/>
          <w:szCs w:val="24"/>
        </w:rPr>
        <w:t>16</w:t>
      </w:r>
      <w:r w:rsidR="007A5DC8">
        <w:rPr>
          <w:rFonts w:ascii="Times New Roman" w:hAnsi="Times New Roman" w:cs="Times New Roman"/>
          <w:sz w:val="24"/>
          <w:szCs w:val="24"/>
        </w:rPr>
        <w:t>.</w:t>
      </w:r>
      <w:r w:rsidRPr="00C80892">
        <w:rPr>
          <w:rFonts w:ascii="Times New Roman" w:hAnsi="Times New Roman" w:cs="Times New Roman"/>
          <w:sz w:val="24"/>
          <w:szCs w:val="24"/>
        </w:rPr>
        <w:t xml:space="preserve">6% in Croatia </w:t>
      </w:r>
      <w:r w:rsidR="007A5DC8">
        <w:rPr>
          <w:rFonts w:ascii="Times New Roman" w:hAnsi="Times New Roman" w:cs="Times New Roman"/>
          <w:sz w:val="24"/>
          <w:szCs w:val="24"/>
        </w:rPr>
        <w:t>due to a</w:t>
      </w:r>
      <w:r w:rsidRPr="00C80892">
        <w:rPr>
          <w:rFonts w:ascii="Times New Roman" w:hAnsi="Times New Roman" w:cs="Times New Roman"/>
          <w:sz w:val="24"/>
          <w:szCs w:val="24"/>
        </w:rPr>
        <w:t xml:space="preserve"> wide range of factors. However, there was no example where the share of local budget revenues in G</w:t>
      </w:r>
      <w:r w:rsidR="007A5DC8">
        <w:rPr>
          <w:rFonts w:ascii="Times New Roman" w:hAnsi="Times New Roman" w:cs="Times New Roman"/>
          <w:sz w:val="24"/>
          <w:szCs w:val="24"/>
        </w:rPr>
        <w:t>D</w:t>
      </w:r>
      <w:r w:rsidRPr="00C80892">
        <w:rPr>
          <w:rFonts w:ascii="Times New Roman" w:hAnsi="Times New Roman" w:cs="Times New Roman"/>
          <w:sz w:val="24"/>
          <w:szCs w:val="24"/>
        </w:rPr>
        <w:t xml:space="preserve">P exceeds 20%. According to the IMF </w:t>
      </w:r>
      <w:r w:rsidR="007A5DC8">
        <w:rPr>
          <w:rFonts w:ascii="Times New Roman" w:hAnsi="Times New Roman" w:cs="Times New Roman"/>
          <w:sz w:val="24"/>
          <w:szCs w:val="24"/>
        </w:rPr>
        <w:t xml:space="preserve">Government Finance Statistics (GFS) </w:t>
      </w:r>
      <w:r w:rsidRPr="00C80892">
        <w:rPr>
          <w:rFonts w:ascii="Times New Roman" w:hAnsi="Times New Roman" w:cs="Times New Roman"/>
          <w:sz w:val="24"/>
          <w:szCs w:val="24"/>
        </w:rPr>
        <w:t xml:space="preserve">database, taxing power of subnational governments in almost all PEMPAL countries </w:t>
      </w:r>
      <w:r w:rsidR="007A5DC8">
        <w:rPr>
          <w:rFonts w:ascii="Times New Roman" w:hAnsi="Times New Roman" w:cs="Times New Roman"/>
          <w:sz w:val="24"/>
          <w:szCs w:val="24"/>
        </w:rPr>
        <w:t xml:space="preserve">is lower than the average </w:t>
      </w:r>
      <w:r w:rsidRPr="00C80892">
        <w:rPr>
          <w:rFonts w:ascii="Times New Roman" w:hAnsi="Times New Roman" w:cs="Times New Roman"/>
          <w:sz w:val="24"/>
          <w:szCs w:val="24"/>
        </w:rPr>
        <w:t>of E</w:t>
      </w:r>
      <w:r w:rsidR="007A5DC8">
        <w:rPr>
          <w:rFonts w:ascii="Times New Roman" w:hAnsi="Times New Roman" w:cs="Times New Roman"/>
          <w:sz w:val="24"/>
          <w:szCs w:val="24"/>
        </w:rPr>
        <w:t xml:space="preserve">U </w:t>
      </w:r>
      <w:r w:rsidRPr="00C80892">
        <w:rPr>
          <w:rFonts w:ascii="Times New Roman" w:hAnsi="Times New Roman" w:cs="Times New Roman"/>
          <w:sz w:val="24"/>
          <w:szCs w:val="24"/>
        </w:rPr>
        <w:t xml:space="preserve">countries (which </w:t>
      </w:r>
      <w:r w:rsidR="007A5DC8">
        <w:rPr>
          <w:rFonts w:ascii="Times New Roman" w:hAnsi="Times New Roman" w:cs="Times New Roman"/>
          <w:sz w:val="24"/>
          <w:szCs w:val="24"/>
        </w:rPr>
        <w:t>i</w:t>
      </w:r>
      <w:r w:rsidRPr="00C80892">
        <w:rPr>
          <w:rFonts w:ascii="Times New Roman" w:hAnsi="Times New Roman" w:cs="Times New Roman"/>
          <w:sz w:val="24"/>
          <w:szCs w:val="24"/>
        </w:rPr>
        <w:t>s 5.6</w:t>
      </w:r>
      <w:r w:rsidR="007A5DC8">
        <w:rPr>
          <w:rFonts w:ascii="Times New Roman" w:hAnsi="Times New Roman" w:cs="Times New Roman"/>
          <w:sz w:val="24"/>
          <w:szCs w:val="24"/>
        </w:rPr>
        <w:t>%</w:t>
      </w:r>
      <w:r w:rsidRPr="00C80892">
        <w:rPr>
          <w:rFonts w:ascii="Times New Roman" w:hAnsi="Times New Roman" w:cs="Times New Roman"/>
          <w:sz w:val="24"/>
          <w:szCs w:val="24"/>
        </w:rPr>
        <w:t xml:space="preserve">). </w:t>
      </w:r>
    </w:p>
    <w:p w14:paraId="07A463FC" w14:textId="347EC3CC" w:rsidR="008310A4" w:rsidRPr="00C80892" w:rsidRDefault="008310A4" w:rsidP="008310A4">
      <w:pPr>
        <w:jc w:val="both"/>
        <w:rPr>
          <w:rFonts w:ascii="Times New Roman" w:hAnsi="Times New Roman" w:cs="Times New Roman"/>
          <w:sz w:val="24"/>
          <w:szCs w:val="24"/>
        </w:rPr>
      </w:pPr>
      <w:r w:rsidRPr="00C80892">
        <w:rPr>
          <w:rFonts w:ascii="Times New Roman" w:hAnsi="Times New Roman" w:cs="Times New Roman"/>
          <w:b/>
          <w:sz w:val="24"/>
          <w:szCs w:val="24"/>
        </w:rPr>
        <w:t xml:space="preserve">Having low and vulnerable own fiscal sources, local governments are heavily dependent on inter-budgetary transfers. </w:t>
      </w:r>
      <w:r w:rsidRPr="00C80892">
        <w:rPr>
          <w:rFonts w:ascii="Times New Roman" w:hAnsi="Times New Roman" w:cs="Times New Roman"/>
          <w:sz w:val="24"/>
          <w:szCs w:val="24"/>
        </w:rPr>
        <w:t>The primary role of fiscal transfers is to cover th</w:t>
      </w:r>
      <w:r w:rsidR="007A5DC8">
        <w:rPr>
          <w:rFonts w:ascii="Times New Roman" w:hAnsi="Times New Roman" w:cs="Times New Roman"/>
          <w:sz w:val="24"/>
          <w:szCs w:val="24"/>
        </w:rPr>
        <w:t>e</w:t>
      </w:r>
      <w:r w:rsidRPr="00C80892">
        <w:rPr>
          <w:rFonts w:ascii="Times New Roman" w:hAnsi="Times New Roman" w:cs="Times New Roman"/>
          <w:sz w:val="24"/>
          <w:szCs w:val="24"/>
        </w:rPr>
        <w:t xml:space="preserve"> gap between expenditure needs and revenue capacity. However, the system of transfers is many-sided and complicated. </w:t>
      </w:r>
    </w:p>
    <w:p w14:paraId="489C71D8" w14:textId="4ED6C606" w:rsidR="008310A4" w:rsidRPr="00C80892" w:rsidRDefault="008310A4" w:rsidP="008310A4">
      <w:pPr>
        <w:jc w:val="both"/>
        <w:rPr>
          <w:rFonts w:ascii="Times New Roman" w:hAnsi="Times New Roman" w:cs="Times New Roman"/>
          <w:sz w:val="24"/>
          <w:szCs w:val="24"/>
        </w:rPr>
      </w:pPr>
      <w:r w:rsidRPr="00C80892">
        <w:rPr>
          <w:rFonts w:ascii="Times New Roman" w:hAnsi="Times New Roman" w:cs="Times New Roman"/>
          <w:b/>
          <w:bCs/>
          <w:sz w:val="24"/>
          <w:szCs w:val="24"/>
        </w:rPr>
        <w:t>PEMPAL countries use various types of inter-budgetary transfers for subsidization, financing sub-national services and investments, and equalization, but further reforms are needed</w:t>
      </w:r>
      <w:r w:rsidRPr="00C80892">
        <w:rPr>
          <w:rFonts w:ascii="Times New Roman" w:hAnsi="Times New Roman" w:cs="Times New Roman"/>
          <w:bCs/>
          <w:i/>
          <w:sz w:val="24"/>
          <w:szCs w:val="24"/>
        </w:rPr>
        <w:t xml:space="preserve">. </w:t>
      </w:r>
      <w:r w:rsidRPr="00C80892">
        <w:rPr>
          <w:rFonts w:ascii="Times New Roman" w:hAnsi="Times New Roman" w:cs="Times New Roman"/>
          <w:sz w:val="24"/>
          <w:szCs w:val="24"/>
        </w:rPr>
        <w:t>The main challenges related to intergovernmental fiscal relations concern the following issues:</w:t>
      </w:r>
      <w:r w:rsidRPr="00C80892">
        <w:rPr>
          <w:rFonts w:ascii="Times New Roman" w:hAnsi="Times New Roman" w:cs="Times New Roman"/>
          <w:b/>
          <w:sz w:val="24"/>
          <w:szCs w:val="24"/>
          <w:lang w:val="en-GB"/>
        </w:rPr>
        <w:t xml:space="preserve"> </w:t>
      </w:r>
      <w:r w:rsidR="007A5DC8">
        <w:rPr>
          <w:rFonts w:ascii="Times New Roman" w:hAnsi="Times New Roman" w:cs="Times New Roman"/>
          <w:sz w:val="24"/>
          <w:szCs w:val="24"/>
          <w:lang w:val="en-GB"/>
        </w:rPr>
        <w:t>m</w:t>
      </w:r>
      <w:r w:rsidRPr="00C80892">
        <w:rPr>
          <w:rFonts w:ascii="Times New Roman" w:hAnsi="Times New Roman" w:cs="Times New Roman"/>
          <w:sz w:val="24"/>
          <w:szCs w:val="24"/>
          <w:lang w:val="en-GB"/>
        </w:rPr>
        <w:t xml:space="preserve">ethodology </w:t>
      </w:r>
      <w:r w:rsidRPr="00C80892">
        <w:rPr>
          <w:rFonts w:ascii="Times New Roman" w:hAnsi="Times New Roman" w:cs="Times New Roman"/>
          <w:sz w:val="24"/>
          <w:szCs w:val="24"/>
        </w:rPr>
        <w:t xml:space="preserve">of </w:t>
      </w:r>
      <w:r w:rsidR="007A5DC8">
        <w:rPr>
          <w:rFonts w:ascii="Times New Roman" w:hAnsi="Times New Roman" w:cs="Times New Roman"/>
          <w:sz w:val="24"/>
          <w:szCs w:val="24"/>
        </w:rPr>
        <w:t>assessing</w:t>
      </w:r>
      <w:r w:rsidRPr="00C80892">
        <w:rPr>
          <w:rFonts w:ascii="Times New Roman" w:hAnsi="Times New Roman" w:cs="Times New Roman"/>
          <w:sz w:val="24"/>
          <w:szCs w:val="24"/>
        </w:rPr>
        <w:t xml:space="preserve"> revenues and expenditures during budget planning; </w:t>
      </w:r>
      <w:r w:rsidR="007A5DC8">
        <w:rPr>
          <w:rFonts w:ascii="Times New Roman" w:hAnsi="Times New Roman" w:cs="Times New Roman"/>
          <w:sz w:val="24"/>
          <w:szCs w:val="24"/>
          <w:lang w:val="en-GB"/>
        </w:rPr>
        <w:t>r</w:t>
      </w:r>
      <w:r w:rsidRPr="00C80892">
        <w:rPr>
          <w:rFonts w:ascii="Times New Roman" w:hAnsi="Times New Roman" w:cs="Times New Roman"/>
          <w:sz w:val="24"/>
          <w:szCs w:val="24"/>
          <w:lang w:val="en-GB"/>
        </w:rPr>
        <w:t xml:space="preserve">ules for the allocation of transfers; </w:t>
      </w:r>
      <w:r w:rsidR="007A5DC8">
        <w:rPr>
          <w:rFonts w:ascii="Times New Roman" w:hAnsi="Times New Roman" w:cs="Times New Roman"/>
          <w:sz w:val="24"/>
          <w:szCs w:val="24"/>
          <w:lang w:val="en-GB"/>
        </w:rPr>
        <w:t>t</w:t>
      </w:r>
      <w:r w:rsidRPr="00C80892">
        <w:rPr>
          <w:rFonts w:ascii="Times New Roman" w:hAnsi="Times New Roman" w:cs="Times New Roman"/>
          <w:sz w:val="24"/>
          <w:szCs w:val="24"/>
          <w:lang w:val="en-GB"/>
        </w:rPr>
        <w:t xml:space="preserve">ransfer of responsibility from central to local government and vice versa; </w:t>
      </w:r>
      <w:r w:rsidR="007A5DC8">
        <w:rPr>
          <w:rFonts w:ascii="Times New Roman" w:hAnsi="Times New Roman" w:cs="Times New Roman"/>
          <w:sz w:val="24"/>
          <w:szCs w:val="24"/>
          <w:lang w:val="en-GB"/>
        </w:rPr>
        <w:t xml:space="preserve">and </w:t>
      </w:r>
      <w:r w:rsidRPr="00C80892">
        <w:rPr>
          <w:rFonts w:ascii="Times New Roman" w:hAnsi="Times New Roman" w:cs="Times New Roman"/>
          <w:sz w:val="24"/>
          <w:szCs w:val="24"/>
          <w:lang w:val="en-GB"/>
        </w:rPr>
        <w:t xml:space="preserve">improvement of budget performance. </w:t>
      </w:r>
    </w:p>
    <w:p w14:paraId="34C84742" w14:textId="05CC000F" w:rsidR="008310A4" w:rsidRPr="00C80892" w:rsidRDefault="008310A4" w:rsidP="008310A4">
      <w:pPr>
        <w:jc w:val="both"/>
        <w:rPr>
          <w:rFonts w:ascii="Times New Roman" w:hAnsi="Times New Roman" w:cs="Times New Roman"/>
          <w:iCs/>
          <w:sz w:val="24"/>
          <w:szCs w:val="24"/>
        </w:rPr>
      </w:pPr>
      <w:r w:rsidRPr="00C80892">
        <w:rPr>
          <w:rFonts w:ascii="Times New Roman" w:hAnsi="Times New Roman" w:cs="Times New Roman"/>
          <w:b/>
          <w:iCs/>
          <w:sz w:val="24"/>
          <w:szCs w:val="24"/>
        </w:rPr>
        <w:t xml:space="preserve">Unlike traditional grants, output-based grants are focused on quality and access to public services, as the grant objectives. </w:t>
      </w:r>
      <w:r w:rsidR="007A5DC8">
        <w:rPr>
          <w:rFonts w:ascii="Times New Roman" w:hAnsi="Times New Roman" w:cs="Times New Roman"/>
          <w:iCs/>
          <w:sz w:val="24"/>
          <w:szCs w:val="24"/>
        </w:rPr>
        <w:t>Therefore, performance</w:t>
      </w:r>
      <w:r w:rsidRPr="00C80892">
        <w:rPr>
          <w:rFonts w:ascii="Times New Roman" w:hAnsi="Times New Roman" w:cs="Times New Roman"/>
          <w:iCs/>
          <w:sz w:val="24"/>
          <w:szCs w:val="24"/>
        </w:rPr>
        <w:t xml:space="preserve">-oriented transfers may be used to </w:t>
      </w:r>
      <w:r w:rsidR="007A5DC8">
        <w:rPr>
          <w:rFonts w:ascii="Times New Roman" w:hAnsi="Times New Roman" w:cs="Times New Roman"/>
          <w:iCs/>
          <w:sz w:val="24"/>
          <w:szCs w:val="24"/>
        </w:rPr>
        <w:t xml:space="preserve">increase </w:t>
      </w:r>
      <w:r w:rsidRPr="00C80892">
        <w:rPr>
          <w:rFonts w:ascii="Times New Roman" w:hAnsi="Times New Roman" w:cs="Times New Roman"/>
          <w:iCs/>
          <w:sz w:val="24"/>
          <w:szCs w:val="24"/>
        </w:rPr>
        <w:t>citizen</w:t>
      </w:r>
      <w:r w:rsidR="007A5DC8">
        <w:rPr>
          <w:rFonts w:ascii="Times New Roman" w:hAnsi="Times New Roman" w:cs="Times New Roman"/>
          <w:iCs/>
          <w:sz w:val="24"/>
          <w:szCs w:val="24"/>
        </w:rPr>
        <w:t>s</w:t>
      </w:r>
      <w:r w:rsidR="00AC1729">
        <w:rPr>
          <w:rFonts w:ascii="Times New Roman" w:hAnsi="Times New Roman" w:cs="Times New Roman"/>
          <w:iCs/>
          <w:sz w:val="24"/>
          <w:szCs w:val="24"/>
        </w:rPr>
        <w:t>’</w:t>
      </w:r>
      <w:r w:rsidRPr="00C80892">
        <w:rPr>
          <w:rFonts w:ascii="Times New Roman" w:hAnsi="Times New Roman" w:cs="Times New Roman"/>
          <w:iCs/>
          <w:sz w:val="24"/>
          <w:szCs w:val="24"/>
        </w:rPr>
        <w:t xml:space="preserve"> satisfaction with service delivery through strengthening b</w:t>
      </w:r>
      <w:r w:rsidR="00AC1729">
        <w:rPr>
          <w:rFonts w:ascii="Times New Roman" w:hAnsi="Times New Roman" w:cs="Times New Roman"/>
          <w:iCs/>
          <w:sz w:val="24"/>
          <w:szCs w:val="24"/>
        </w:rPr>
        <w:t xml:space="preserve">udget performance, transparency, </w:t>
      </w:r>
      <w:r w:rsidRPr="00C80892">
        <w:rPr>
          <w:rFonts w:ascii="Times New Roman" w:hAnsi="Times New Roman" w:cs="Times New Roman"/>
          <w:iCs/>
          <w:sz w:val="24"/>
          <w:szCs w:val="24"/>
        </w:rPr>
        <w:t>and accountability</w:t>
      </w:r>
      <w:r w:rsidRPr="00C80892">
        <w:rPr>
          <w:rFonts w:ascii="Times New Roman" w:hAnsi="Times New Roman" w:cs="Times New Roman"/>
          <w:b/>
          <w:iCs/>
          <w:sz w:val="24"/>
          <w:szCs w:val="24"/>
        </w:rPr>
        <w:t xml:space="preserve">. </w:t>
      </w:r>
      <w:r w:rsidRPr="00C80892">
        <w:rPr>
          <w:rFonts w:ascii="Times New Roman" w:hAnsi="Times New Roman" w:cs="Times New Roman"/>
          <w:iCs/>
          <w:sz w:val="24"/>
          <w:szCs w:val="24"/>
        </w:rPr>
        <w:t>Their critically important features are clear grant</w:t>
      </w:r>
      <w:r w:rsidR="00AC1729">
        <w:rPr>
          <w:rFonts w:ascii="Times New Roman" w:hAnsi="Times New Roman" w:cs="Times New Roman"/>
          <w:iCs/>
          <w:sz w:val="24"/>
          <w:szCs w:val="24"/>
        </w:rPr>
        <w:t xml:space="preserve"> </w:t>
      </w:r>
      <w:r w:rsidRPr="00C80892">
        <w:rPr>
          <w:rFonts w:ascii="Times New Roman" w:hAnsi="Times New Roman" w:cs="Times New Roman"/>
          <w:iCs/>
          <w:sz w:val="24"/>
          <w:szCs w:val="24"/>
        </w:rPr>
        <w:t>objectives</w:t>
      </w:r>
      <w:r w:rsidR="00AC1729">
        <w:rPr>
          <w:rFonts w:ascii="Times New Roman" w:hAnsi="Times New Roman" w:cs="Times New Roman"/>
          <w:iCs/>
          <w:sz w:val="24"/>
          <w:szCs w:val="24"/>
        </w:rPr>
        <w:t xml:space="preserve"> and</w:t>
      </w:r>
      <w:r w:rsidRPr="00C80892">
        <w:rPr>
          <w:rFonts w:ascii="Times New Roman" w:hAnsi="Times New Roman" w:cs="Times New Roman"/>
          <w:iCs/>
          <w:sz w:val="24"/>
          <w:szCs w:val="24"/>
        </w:rPr>
        <w:t xml:space="preserve"> performance indicators</w:t>
      </w:r>
      <w:r w:rsidR="00AC1729">
        <w:rPr>
          <w:rFonts w:ascii="Times New Roman" w:hAnsi="Times New Roman" w:cs="Times New Roman"/>
          <w:iCs/>
          <w:sz w:val="24"/>
          <w:szCs w:val="24"/>
        </w:rPr>
        <w:t xml:space="preserve"> (</w:t>
      </w:r>
      <w:r w:rsidRPr="00C80892">
        <w:rPr>
          <w:rFonts w:ascii="Times New Roman" w:hAnsi="Times New Roman" w:cs="Times New Roman"/>
          <w:iCs/>
          <w:sz w:val="24"/>
          <w:szCs w:val="24"/>
        </w:rPr>
        <w:t>including clear baseline value</w:t>
      </w:r>
      <w:r w:rsidR="00AC1729">
        <w:rPr>
          <w:rFonts w:ascii="Times New Roman" w:hAnsi="Times New Roman" w:cs="Times New Roman"/>
          <w:iCs/>
          <w:sz w:val="24"/>
          <w:szCs w:val="24"/>
        </w:rPr>
        <w:t xml:space="preserve"> </w:t>
      </w:r>
      <w:r w:rsidRPr="00C80892">
        <w:rPr>
          <w:rFonts w:ascii="Times New Roman" w:hAnsi="Times New Roman" w:cs="Times New Roman"/>
          <w:iCs/>
          <w:sz w:val="24"/>
          <w:szCs w:val="24"/>
        </w:rPr>
        <w:t>and availability of performance data to check baseline and achieved results</w:t>
      </w:r>
      <w:r w:rsidR="00AC1729">
        <w:rPr>
          <w:rFonts w:ascii="Times New Roman" w:hAnsi="Times New Roman" w:cs="Times New Roman"/>
          <w:iCs/>
          <w:sz w:val="24"/>
          <w:szCs w:val="24"/>
        </w:rPr>
        <w:t>)</w:t>
      </w:r>
      <w:r w:rsidRPr="00C80892">
        <w:rPr>
          <w:rFonts w:ascii="Times New Roman" w:hAnsi="Times New Roman" w:cs="Times New Roman"/>
          <w:iCs/>
          <w:sz w:val="24"/>
          <w:szCs w:val="24"/>
        </w:rPr>
        <w:t xml:space="preserve">. These features are in line with performance-oriented budgeting, which some PEMPAL countries are introducing or going to introduce in the nearest future. </w:t>
      </w:r>
    </w:p>
    <w:p w14:paraId="02627603" w14:textId="736A0F79" w:rsidR="008310A4" w:rsidRPr="00AA75CD" w:rsidRDefault="008310A4" w:rsidP="00AA75CD">
      <w:pPr>
        <w:pStyle w:val="Heading3"/>
        <w:rPr>
          <w:rFonts w:ascii="Times New Roman" w:hAnsi="Times New Roman" w:cs="Times New Roman"/>
          <w:b/>
          <w:color w:val="538135" w:themeColor="accent6" w:themeShade="BF"/>
        </w:rPr>
      </w:pPr>
      <w:bookmarkStart w:id="6" w:name="_Toc511655350"/>
      <w:r w:rsidRPr="00AA75CD">
        <w:rPr>
          <w:rFonts w:ascii="Times New Roman" w:hAnsi="Times New Roman" w:cs="Times New Roman"/>
          <w:b/>
          <w:color w:val="538135" w:themeColor="accent6" w:themeShade="BF"/>
        </w:rPr>
        <w:t xml:space="preserve">What </w:t>
      </w:r>
      <w:r w:rsidR="00AC1729" w:rsidRPr="00AA75CD">
        <w:rPr>
          <w:rFonts w:ascii="Times New Roman" w:hAnsi="Times New Roman" w:cs="Times New Roman"/>
          <w:b/>
          <w:color w:val="538135" w:themeColor="accent6" w:themeShade="BF"/>
        </w:rPr>
        <w:t>D</w:t>
      </w:r>
      <w:r w:rsidRPr="00AA75CD">
        <w:rPr>
          <w:rFonts w:ascii="Times New Roman" w:hAnsi="Times New Roman" w:cs="Times New Roman"/>
          <w:b/>
          <w:color w:val="538135" w:themeColor="accent6" w:themeShade="BF"/>
        </w:rPr>
        <w:t xml:space="preserve">o PEFA </w:t>
      </w:r>
      <w:r w:rsidR="00AC1729" w:rsidRPr="00AA75CD">
        <w:rPr>
          <w:rFonts w:ascii="Times New Roman" w:hAnsi="Times New Roman" w:cs="Times New Roman"/>
          <w:b/>
          <w:color w:val="538135" w:themeColor="accent6" w:themeShade="BF"/>
        </w:rPr>
        <w:t>A</w:t>
      </w:r>
      <w:r w:rsidRPr="00AA75CD">
        <w:rPr>
          <w:rFonts w:ascii="Times New Roman" w:hAnsi="Times New Roman" w:cs="Times New Roman"/>
          <w:b/>
          <w:color w:val="538135" w:themeColor="accent6" w:themeShade="BF"/>
        </w:rPr>
        <w:t>ssessments</w:t>
      </w:r>
      <w:r w:rsidR="00AC1729" w:rsidRPr="00AA75CD">
        <w:rPr>
          <w:rFonts w:ascii="Times New Roman" w:hAnsi="Times New Roman" w:cs="Times New Roman"/>
          <w:b/>
          <w:color w:val="538135" w:themeColor="accent6" w:themeShade="BF"/>
        </w:rPr>
        <w:t xml:space="preserve"> Tell</w:t>
      </w:r>
      <w:r w:rsidRPr="00AA75CD">
        <w:rPr>
          <w:rFonts w:ascii="Times New Roman" w:hAnsi="Times New Roman" w:cs="Times New Roman"/>
          <w:b/>
          <w:color w:val="538135" w:themeColor="accent6" w:themeShade="BF"/>
        </w:rPr>
        <w:t xml:space="preserve"> </w:t>
      </w:r>
      <w:r w:rsidR="00AC1729" w:rsidRPr="00AA75CD">
        <w:rPr>
          <w:rFonts w:ascii="Times New Roman" w:hAnsi="Times New Roman" w:cs="Times New Roman"/>
          <w:b/>
          <w:color w:val="538135" w:themeColor="accent6" w:themeShade="BF"/>
        </w:rPr>
        <w:t>Us</w:t>
      </w:r>
      <w:r w:rsidRPr="00AA75CD">
        <w:rPr>
          <w:rFonts w:ascii="Times New Roman" w:hAnsi="Times New Roman" w:cs="Times New Roman"/>
          <w:b/>
          <w:color w:val="538135" w:themeColor="accent6" w:themeShade="BF"/>
        </w:rPr>
        <w:t xml:space="preserve"> </w:t>
      </w:r>
      <w:r w:rsidR="00AC1729" w:rsidRPr="00AA75CD">
        <w:rPr>
          <w:rFonts w:ascii="Times New Roman" w:hAnsi="Times New Roman" w:cs="Times New Roman"/>
          <w:b/>
          <w:color w:val="538135" w:themeColor="accent6" w:themeShade="BF"/>
        </w:rPr>
        <w:t>A</w:t>
      </w:r>
      <w:r w:rsidRPr="00AA75CD">
        <w:rPr>
          <w:rFonts w:ascii="Times New Roman" w:hAnsi="Times New Roman" w:cs="Times New Roman"/>
          <w:b/>
          <w:color w:val="538135" w:themeColor="accent6" w:themeShade="BF"/>
        </w:rPr>
        <w:t xml:space="preserve">bout </w:t>
      </w:r>
      <w:r w:rsidR="00AC1729" w:rsidRPr="00AA75CD">
        <w:rPr>
          <w:rFonts w:ascii="Times New Roman" w:hAnsi="Times New Roman" w:cs="Times New Roman"/>
          <w:b/>
          <w:color w:val="538135" w:themeColor="accent6" w:themeShade="BF"/>
        </w:rPr>
        <w:t>I</w:t>
      </w:r>
      <w:r w:rsidRPr="00AA75CD">
        <w:rPr>
          <w:rFonts w:ascii="Times New Roman" w:hAnsi="Times New Roman" w:cs="Times New Roman"/>
          <w:b/>
          <w:color w:val="538135" w:themeColor="accent6" w:themeShade="BF"/>
        </w:rPr>
        <w:t xml:space="preserve">ntergovernmental </w:t>
      </w:r>
      <w:r w:rsidR="00AC1729" w:rsidRPr="00AA75CD">
        <w:rPr>
          <w:rFonts w:ascii="Times New Roman" w:hAnsi="Times New Roman" w:cs="Times New Roman"/>
          <w:b/>
          <w:color w:val="538135" w:themeColor="accent6" w:themeShade="BF"/>
        </w:rPr>
        <w:t>Fi</w:t>
      </w:r>
      <w:r w:rsidRPr="00AA75CD">
        <w:rPr>
          <w:rFonts w:ascii="Times New Roman" w:hAnsi="Times New Roman" w:cs="Times New Roman"/>
          <w:b/>
          <w:color w:val="538135" w:themeColor="accent6" w:themeShade="BF"/>
        </w:rPr>
        <w:t xml:space="preserve">scal </w:t>
      </w:r>
      <w:r w:rsidR="00AC1729" w:rsidRPr="00AA75CD">
        <w:rPr>
          <w:rFonts w:ascii="Times New Roman" w:hAnsi="Times New Roman" w:cs="Times New Roman"/>
          <w:b/>
          <w:color w:val="538135" w:themeColor="accent6" w:themeShade="BF"/>
        </w:rPr>
        <w:t>R</w:t>
      </w:r>
      <w:r w:rsidRPr="00AA75CD">
        <w:rPr>
          <w:rFonts w:ascii="Times New Roman" w:hAnsi="Times New Roman" w:cs="Times New Roman"/>
          <w:b/>
          <w:color w:val="538135" w:themeColor="accent6" w:themeShade="BF"/>
        </w:rPr>
        <w:t>elations?</w:t>
      </w:r>
      <w:bookmarkEnd w:id="6"/>
    </w:p>
    <w:p w14:paraId="16560C10" w14:textId="2BDC4025" w:rsidR="008310A4" w:rsidRPr="00C80892" w:rsidRDefault="008310A4" w:rsidP="008310A4">
      <w:pPr>
        <w:jc w:val="both"/>
        <w:rPr>
          <w:rFonts w:ascii="Times New Roman" w:hAnsi="Times New Roman" w:cs="Times New Roman"/>
          <w:sz w:val="24"/>
          <w:szCs w:val="24"/>
        </w:rPr>
      </w:pPr>
      <w:r w:rsidRPr="00C80892">
        <w:rPr>
          <w:rFonts w:ascii="Times New Roman" w:eastAsiaTheme="minorEastAsia" w:hAnsi="Times New Roman" w:cs="Times New Roman"/>
          <w:b/>
          <w:kern w:val="24"/>
          <w:sz w:val="24"/>
          <w:szCs w:val="24"/>
        </w:rPr>
        <w:t xml:space="preserve">PEFA is a </w:t>
      </w:r>
      <w:r w:rsidRPr="001D2537">
        <w:rPr>
          <w:rFonts w:ascii="Times New Roman" w:eastAsiaTheme="minorEastAsia" w:hAnsi="Times New Roman" w:cs="Times New Roman"/>
          <w:b/>
          <w:bCs/>
          <w:kern w:val="24"/>
          <w:sz w:val="24"/>
          <w:szCs w:val="24"/>
        </w:rPr>
        <w:t xml:space="preserve">diagnostic tool </w:t>
      </w:r>
      <w:r w:rsidRPr="001D2537">
        <w:rPr>
          <w:rFonts w:ascii="Times New Roman" w:eastAsiaTheme="minorEastAsia" w:hAnsi="Times New Roman" w:cs="Times New Roman"/>
          <w:b/>
          <w:kern w:val="24"/>
          <w:sz w:val="24"/>
          <w:szCs w:val="24"/>
        </w:rPr>
        <w:t>mapping country’s PFM performance at national and subnational levels</w:t>
      </w:r>
      <w:r w:rsidRPr="00C80892">
        <w:rPr>
          <w:rFonts w:ascii="Times New Roman" w:eastAsiaTheme="minorEastAsia" w:hAnsi="Times New Roman" w:cs="Times New Roman"/>
          <w:kern w:val="24"/>
          <w:sz w:val="24"/>
          <w:szCs w:val="24"/>
        </w:rPr>
        <w:t xml:space="preserve"> with a reference for good practice and comparing PFM performance over time in and between countries. PEFA’s database consists of over 570 reports and over 40,000 individual performance scores. PEFA assessed eighteen PEMPAL countries since 2006</w:t>
      </w:r>
      <w:r w:rsidR="00B52D3E">
        <w:rPr>
          <w:rFonts w:ascii="Times New Roman" w:eastAsiaTheme="minorEastAsia" w:hAnsi="Times New Roman" w:cs="Times New Roman"/>
          <w:kern w:val="24"/>
          <w:sz w:val="24"/>
          <w:szCs w:val="24"/>
        </w:rPr>
        <w:t xml:space="preserve">. </w:t>
      </w:r>
      <w:r w:rsidRPr="00C80892">
        <w:rPr>
          <w:rFonts w:ascii="Times New Roman" w:hAnsi="Times New Roman" w:cs="Times New Roman"/>
          <w:sz w:val="24"/>
          <w:szCs w:val="24"/>
        </w:rPr>
        <w:t>PEFA framework was upgraded in 2016 and includes three outcomes, seven pillars and 31 indicators.</w:t>
      </w:r>
      <w:r w:rsidRPr="00C80892">
        <w:rPr>
          <w:rFonts w:ascii="Times New Roman" w:hAnsi="Times New Roman" w:cs="Times New Roman"/>
          <w:b/>
          <w:sz w:val="24"/>
          <w:szCs w:val="24"/>
        </w:rPr>
        <w:t xml:space="preserve"> </w:t>
      </w:r>
      <w:r w:rsidRPr="00C80892">
        <w:rPr>
          <w:rFonts w:ascii="Times New Roman" w:hAnsi="Times New Roman" w:cs="Times New Roman"/>
          <w:sz w:val="24"/>
          <w:szCs w:val="24"/>
        </w:rPr>
        <w:t>PEFA 2016 pillars include budget reliability, transparency of public finances, management of assets and liabilities, policy-based fiscal strategy and budgeting, predictability and control in budget execution, accounting and reporting, external scrutiny and audit.</w:t>
      </w:r>
    </w:p>
    <w:p w14:paraId="7E19736A" w14:textId="437B7A0C" w:rsidR="008310A4" w:rsidRPr="00C80892" w:rsidRDefault="008310A4" w:rsidP="008310A4">
      <w:pPr>
        <w:jc w:val="both"/>
        <w:rPr>
          <w:rFonts w:ascii="Times New Roman" w:eastAsia="Times New Roman" w:hAnsi="Times New Roman" w:cs="Times New Roman"/>
          <w:color w:val="000000"/>
          <w:sz w:val="24"/>
          <w:szCs w:val="24"/>
        </w:rPr>
      </w:pPr>
      <w:r w:rsidRPr="00C80892">
        <w:rPr>
          <w:rFonts w:ascii="Times New Roman" w:eastAsiaTheme="minorEastAsia" w:hAnsi="Times New Roman" w:cs="Times New Roman"/>
          <w:b/>
          <w:kern w:val="24"/>
          <w:sz w:val="24"/>
          <w:szCs w:val="24"/>
        </w:rPr>
        <w:t>Two PEFA indicators refer to subnational governments with a direct relationship to central government.</w:t>
      </w:r>
      <w:r w:rsidRPr="00C80892">
        <w:rPr>
          <w:rFonts w:ascii="Times New Roman" w:hAnsi="Times New Roman" w:cs="Times New Roman"/>
          <w:b/>
          <w:bCs/>
          <w:sz w:val="24"/>
          <w:szCs w:val="24"/>
        </w:rPr>
        <w:t xml:space="preserve"> </w:t>
      </w:r>
      <w:r w:rsidR="00B52D3E" w:rsidRPr="00B52D3E">
        <w:rPr>
          <w:rFonts w:ascii="Times New Roman" w:hAnsi="Times New Roman" w:cs="Times New Roman"/>
          <w:bCs/>
          <w:sz w:val="24"/>
          <w:szCs w:val="24"/>
        </w:rPr>
        <w:t>Indicator on</w:t>
      </w:r>
      <w:r w:rsidR="00B52D3E">
        <w:rPr>
          <w:rFonts w:ascii="Times New Roman" w:hAnsi="Times New Roman" w:cs="Times New Roman"/>
          <w:b/>
          <w:bCs/>
          <w:sz w:val="24"/>
          <w:szCs w:val="24"/>
        </w:rPr>
        <w:t xml:space="preserve"> </w:t>
      </w:r>
      <w:r w:rsidRPr="00B52D3E">
        <w:rPr>
          <w:rFonts w:ascii="Times New Roman" w:eastAsia="Times New Roman" w:hAnsi="Times New Roman" w:cs="Times New Roman"/>
          <w:bCs/>
          <w:i/>
          <w:sz w:val="24"/>
          <w:szCs w:val="24"/>
        </w:rPr>
        <w:t>Transfers to Subnational Governments</w:t>
      </w:r>
      <w:r w:rsidR="00B52D3E">
        <w:rPr>
          <w:rFonts w:ascii="Times New Roman" w:eastAsia="Times New Roman" w:hAnsi="Times New Roman" w:cs="Times New Roman"/>
          <w:sz w:val="24"/>
          <w:szCs w:val="24"/>
        </w:rPr>
        <w:t xml:space="preserve"> </w:t>
      </w:r>
      <w:r w:rsidRPr="00C80892">
        <w:rPr>
          <w:rFonts w:ascii="Times New Roman" w:eastAsia="Times New Roman" w:hAnsi="Times New Roman" w:cs="Times New Roman"/>
          <w:sz w:val="24"/>
          <w:szCs w:val="24"/>
        </w:rPr>
        <w:t xml:space="preserve">evaluates transparency and timeliness of transfers from central government to </w:t>
      </w:r>
      <w:r w:rsidR="00B52D3E">
        <w:rPr>
          <w:rFonts w:ascii="Times New Roman" w:eastAsia="Times New Roman" w:hAnsi="Times New Roman" w:cs="Times New Roman"/>
          <w:sz w:val="24"/>
          <w:szCs w:val="24"/>
        </w:rPr>
        <w:t>s</w:t>
      </w:r>
      <w:r w:rsidRPr="00C80892">
        <w:rPr>
          <w:rFonts w:ascii="Times New Roman" w:eastAsia="Times New Roman" w:hAnsi="Times New Roman" w:cs="Times New Roman"/>
          <w:sz w:val="24"/>
          <w:szCs w:val="24"/>
        </w:rPr>
        <w:t xml:space="preserve">ubnational </w:t>
      </w:r>
      <w:r w:rsidR="00B52D3E">
        <w:rPr>
          <w:rFonts w:ascii="Times New Roman" w:eastAsia="Times New Roman" w:hAnsi="Times New Roman" w:cs="Times New Roman"/>
          <w:sz w:val="24"/>
          <w:szCs w:val="24"/>
        </w:rPr>
        <w:t>g</w:t>
      </w:r>
      <w:r w:rsidRPr="00C80892">
        <w:rPr>
          <w:rFonts w:ascii="Times New Roman" w:eastAsia="Times New Roman" w:hAnsi="Times New Roman" w:cs="Times New Roman"/>
          <w:sz w:val="24"/>
          <w:szCs w:val="24"/>
        </w:rPr>
        <w:t>overnments (SNGs) with direct financial relationships to it.</w:t>
      </w:r>
      <w:r w:rsidRPr="00C80892">
        <w:rPr>
          <w:rFonts w:ascii="Times New Roman" w:hAnsi="Times New Roman" w:cs="Times New Roman"/>
          <w:b/>
          <w:bCs/>
          <w:color w:val="28C0DA"/>
          <w:sz w:val="24"/>
          <w:szCs w:val="24"/>
        </w:rPr>
        <w:t xml:space="preserve"> </w:t>
      </w:r>
      <w:r w:rsidR="00B52D3E" w:rsidRPr="00B52D3E">
        <w:rPr>
          <w:rFonts w:ascii="Times New Roman" w:eastAsia="Times New Roman" w:hAnsi="Times New Roman" w:cs="Times New Roman"/>
          <w:color w:val="000000"/>
          <w:sz w:val="24"/>
          <w:szCs w:val="24"/>
        </w:rPr>
        <w:t>Indicator on</w:t>
      </w:r>
      <w:r w:rsidR="00B52D3E">
        <w:rPr>
          <w:rFonts w:ascii="Times New Roman" w:hAnsi="Times New Roman" w:cs="Times New Roman"/>
          <w:b/>
          <w:bCs/>
          <w:color w:val="28C0DA"/>
          <w:sz w:val="24"/>
          <w:szCs w:val="24"/>
        </w:rPr>
        <w:t xml:space="preserve"> </w:t>
      </w:r>
      <w:r w:rsidRPr="00B52D3E">
        <w:rPr>
          <w:rFonts w:ascii="Times New Roman" w:eastAsia="Times New Roman" w:hAnsi="Times New Roman" w:cs="Times New Roman"/>
          <w:bCs/>
          <w:i/>
          <w:sz w:val="24"/>
          <w:szCs w:val="24"/>
        </w:rPr>
        <w:t>Fiscal risk reporting – Monitoring of SNGs</w:t>
      </w:r>
      <w:r w:rsidR="00B52D3E">
        <w:rPr>
          <w:rFonts w:ascii="Times New Roman" w:eastAsia="Times New Roman" w:hAnsi="Times New Roman" w:cs="Times New Roman"/>
          <w:bCs/>
          <w:sz w:val="24"/>
          <w:szCs w:val="24"/>
        </w:rPr>
        <w:t xml:space="preserve"> </w:t>
      </w:r>
      <w:r w:rsidRPr="00C80892">
        <w:rPr>
          <w:rFonts w:ascii="Times New Roman" w:eastAsia="Times New Roman" w:hAnsi="Times New Roman" w:cs="Times New Roman"/>
          <w:bCs/>
          <w:sz w:val="24"/>
          <w:szCs w:val="24"/>
        </w:rPr>
        <w:t>provide assessment of t</w:t>
      </w:r>
      <w:r w:rsidRPr="00C80892">
        <w:rPr>
          <w:rFonts w:ascii="Times New Roman" w:eastAsia="Times New Roman" w:hAnsi="Times New Roman" w:cs="Times New Roman"/>
          <w:color w:val="000000"/>
          <w:sz w:val="24"/>
          <w:szCs w:val="24"/>
        </w:rPr>
        <w:t>he extent to which information on financ</w:t>
      </w:r>
      <w:r w:rsidR="00B52D3E">
        <w:rPr>
          <w:rFonts w:ascii="Times New Roman" w:eastAsia="Times New Roman" w:hAnsi="Times New Roman" w:cs="Times New Roman"/>
          <w:color w:val="000000"/>
          <w:sz w:val="24"/>
          <w:szCs w:val="24"/>
        </w:rPr>
        <w:t>ial performance, including the c</w:t>
      </w:r>
      <w:r w:rsidRPr="00C80892">
        <w:rPr>
          <w:rFonts w:ascii="Times New Roman" w:eastAsia="Times New Roman" w:hAnsi="Times New Roman" w:cs="Times New Roman"/>
          <w:color w:val="000000"/>
          <w:sz w:val="24"/>
          <w:szCs w:val="24"/>
        </w:rPr>
        <w:t xml:space="preserve">entral </w:t>
      </w:r>
      <w:r w:rsidR="00B52D3E">
        <w:rPr>
          <w:rFonts w:ascii="Times New Roman" w:eastAsia="Times New Roman" w:hAnsi="Times New Roman" w:cs="Times New Roman"/>
          <w:color w:val="000000"/>
          <w:sz w:val="24"/>
          <w:szCs w:val="24"/>
        </w:rPr>
        <w:t>g</w:t>
      </w:r>
      <w:r w:rsidRPr="00C80892">
        <w:rPr>
          <w:rFonts w:ascii="Times New Roman" w:eastAsia="Times New Roman" w:hAnsi="Times New Roman" w:cs="Times New Roman"/>
          <w:color w:val="000000"/>
          <w:sz w:val="24"/>
          <w:szCs w:val="24"/>
        </w:rPr>
        <w:t>overnment’s exposure to fiscal risks, is available through audited annual financial statements of SNGs.</w:t>
      </w:r>
    </w:p>
    <w:p w14:paraId="316DA3CB" w14:textId="26988CDF" w:rsidR="008310A4" w:rsidRPr="00C80892" w:rsidRDefault="008310A4" w:rsidP="008310A4">
      <w:pPr>
        <w:jc w:val="both"/>
        <w:rPr>
          <w:rFonts w:ascii="Times New Roman" w:eastAsia="Times New Roman" w:hAnsi="Times New Roman" w:cs="Times New Roman"/>
          <w:sz w:val="24"/>
          <w:szCs w:val="24"/>
        </w:rPr>
      </w:pPr>
      <w:r w:rsidRPr="00C80892">
        <w:rPr>
          <w:rFonts w:ascii="Times New Roman" w:eastAsia="Times New Roman" w:hAnsi="Times New Roman" w:cs="Times New Roman"/>
          <w:b/>
          <w:sz w:val="24"/>
          <w:szCs w:val="24"/>
        </w:rPr>
        <w:lastRenderedPageBreak/>
        <w:t xml:space="preserve">Good international practice </w:t>
      </w:r>
      <w:r w:rsidR="00B52D3E">
        <w:rPr>
          <w:rFonts w:ascii="Times New Roman" w:eastAsia="Times New Roman" w:hAnsi="Times New Roman" w:cs="Times New Roman"/>
          <w:b/>
          <w:sz w:val="24"/>
          <w:szCs w:val="24"/>
        </w:rPr>
        <w:t>on transfers to SNGs is implied by PEFA</w:t>
      </w:r>
      <w:r w:rsidRPr="00C80892">
        <w:rPr>
          <w:rFonts w:ascii="Times New Roman" w:eastAsia="Times New Roman" w:hAnsi="Times New Roman" w:cs="Times New Roman"/>
          <w:b/>
          <w:sz w:val="24"/>
          <w:szCs w:val="24"/>
        </w:rPr>
        <w:t>.</w:t>
      </w:r>
      <w:r w:rsidRPr="00C80892">
        <w:rPr>
          <w:rFonts w:ascii="Times New Roman" w:eastAsia="Times New Roman" w:hAnsi="Times New Roman" w:cs="Times New Roman"/>
          <w:sz w:val="24"/>
          <w:szCs w:val="24"/>
        </w:rPr>
        <w:t xml:space="preserve"> </w:t>
      </w:r>
      <w:r w:rsidR="00B52D3E">
        <w:rPr>
          <w:rFonts w:ascii="Times New Roman" w:eastAsia="Times New Roman" w:hAnsi="Times New Roman" w:cs="Times New Roman"/>
          <w:sz w:val="24"/>
          <w:szCs w:val="24"/>
        </w:rPr>
        <w:t>This includes c</w:t>
      </w:r>
      <w:r w:rsidRPr="00C80892">
        <w:rPr>
          <w:rFonts w:ascii="Times New Roman" w:eastAsia="Times New Roman" w:hAnsi="Times New Roman" w:cs="Times New Roman"/>
          <w:sz w:val="24"/>
          <w:szCs w:val="24"/>
        </w:rPr>
        <w:t>lear criteria for the distribution of grants, predictability of annual allocations</w:t>
      </w:r>
      <w:r w:rsidR="00B52D3E">
        <w:rPr>
          <w:rFonts w:ascii="Times New Roman" w:eastAsia="Times New Roman" w:hAnsi="Times New Roman" w:cs="Times New Roman"/>
          <w:sz w:val="24"/>
          <w:szCs w:val="24"/>
        </w:rPr>
        <w:t>,</w:t>
      </w:r>
      <w:r w:rsidRPr="00C80892">
        <w:rPr>
          <w:rFonts w:ascii="Times New Roman" w:eastAsia="Times New Roman" w:hAnsi="Times New Roman" w:cs="Times New Roman"/>
          <w:sz w:val="24"/>
          <w:szCs w:val="24"/>
        </w:rPr>
        <w:t xml:space="preserve"> and monitoring of the net fiscal position of SNGs that have direct fiscal relations with the central government. </w:t>
      </w:r>
    </w:p>
    <w:p w14:paraId="56316701" w14:textId="5EFCA2DA" w:rsidR="008310A4" w:rsidRPr="00C80892" w:rsidRDefault="008310A4" w:rsidP="008310A4">
      <w:pPr>
        <w:jc w:val="both"/>
        <w:rPr>
          <w:rFonts w:ascii="Times New Roman" w:eastAsia="Times New Roman" w:hAnsi="Times New Roman" w:cs="Times New Roman"/>
          <w:color w:val="000000"/>
          <w:sz w:val="24"/>
          <w:szCs w:val="24"/>
        </w:rPr>
      </w:pPr>
      <w:r w:rsidRPr="00C80892">
        <w:rPr>
          <w:rFonts w:ascii="Times New Roman" w:eastAsiaTheme="majorEastAsia" w:hAnsi="Times New Roman" w:cs="Times New Roman"/>
          <w:b/>
          <w:kern w:val="24"/>
          <w:sz w:val="24"/>
          <w:szCs w:val="24"/>
        </w:rPr>
        <w:t xml:space="preserve">Additionally, when PEFA assessments are carried out at the </w:t>
      </w:r>
      <w:r w:rsidRPr="00C80892">
        <w:rPr>
          <w:rFonts w:ascii="Times New Roman" w:eastAsiaTheme="majorEastAsia" w:hAnsi="Times New Roman" w:cs="Times New Roman"/>
          <w:b/>
          <w:bCs/>
          <w:kern w:val="24"/>
          <w:sz w:val="24"/>
          <w:szCs w:val="24"/>
        </w:rPr>
        <w:t>subnational</w:t>
      </w:r>
      <w:r w:rsidRPr="00C80892">
        <w:rPr>
          <w:rFonts w:ascii="Times New Roman" w:eastAsiaTheme="majorEastAsia" w:hAnsi="Times New Roman" w:cs="Times New Roman"/>
          <w:b/>
          <w:kern w:val="24"/>
          <w:sz w:val="24"/>
          <w:szCs w:val="24"/>
        </w:rPr>
        <w:t xml:space="preserve"> level, </w:t>
      </w:r>
      <w:r w:rsidR="00B52D3E">
        <w:rPr>
          <w:rFonts w:ascii="Times New Roman" w:eastAsiaTheme="majorEastAsia" w:hAnsi="Times New Roman" w:cs="Times New Roman"/>
          <w:b/>
          <w:kern w:val="24"/>
          <w:sz w:val="24"/>
          <w:szCs w:val="24"/>
        </w:rPr>
        <w:t xml:space="preserve">they </w:t>
      </w:r>
      <w:r w:rsidR="00112E16">
        <w:rPr>
          <w:rFonts w:ascii="Times New Roman" w:eastAsiaTheme="majorEastAsia" w:hAnsi="Times New Roman" w:cs="Times New Roman"/>
          <w:b/>
          <w:kern w:val="24"/>
          <w:sz w:val="24"/>
          <w:szCs w:val="24"/>
        </w:rPr>
        <w:t xml:space="preserve">assess the </w:t>
      </w:r>
      <w:r w:rsidRPr="00C80892">
        <w:rPr>
          <w:rFonts w:ascii="Times New Roman" w:eastAsiaTheme="majorEastAsia" w:hAnsi="Times New Roman" w:cs="Times New Roman"/>
          <w:b/>
          <w:kern w:val="24"/>
          <w:sz w:val="24"/>
          <w:szCs w:val="24"/>
        </w:rPr>
        <w:t>r</w:t>
      </w:r>
      <w:r w:rsidRPr="00C80892">
        <w:rPr>
          <w:rFonts w:ascii="Times New Roman" w:eastAsia="Times New Roman" w:hAnsi="Times New Roman" w:cs="Times New Roman"/>
          <w:b/>
          <w:bCs/>
          <w:sz w:val="24"/>
          <w:szCs w:val="24"/>
        </w:rPr>
        <w:t>eliability of transfers from a higher level of government</w:t>
      </w:r>
      <w:r w:rsidRPr="00C80892">
        <w:rPr>
          <w:rFonts w:ascii="Times New Roman" w:eastAsia="Times New Roman" w:hAnsi="Times New Roman" w:cs="Times New Roman"/>
          <w:b/>
          <w:sz w:val="24"/>
          <w:szCs w:val="24"/>
        </w:rPr>
        <w:t xml:space="preserve">. </w:t>
      </w:r>
      <w:r w:rsidRPr="00C80892">
        <w:rPr>
          <w:rFonts w:ascii="Times New Roman" w:eastAsia="Times New Roman" w:hAnsi="Times New Roman" w:cs="Times New Roman"/>
          <w:sz w:val="24"/>
          <w:szCs w:val="24"/>
        </w:rPr>
        <w:t xml:space="preserve">This indicator measures the extent to which transfers to the </w:t>
      </w:r>
      <w:r w:rsidR="00112E16">
        <w:rPr>
          <w:rFonts w:ascii="Times New Roman" w:eastAsia="Times New Roman" w:hAnsi="Times New Roman" w:cs="Times New Roman"/>
          <w:sz w:val="24"/>
          <w:szCs w:val="24"/>
        </w:rPr>
        <w:t xml:space="preserve">SNGs </w:t>
      </w:r>
      <w:r w:rsidRPr="00C80892">
        <w:rPr>
          <w:rFonts w:ascii="Times New Roman" w:eastAsia="Times New Roman" w:hAnsi="Times New Roman" w:cs="Times New Roman"/>
          <w:sz w:val="24"/>
          <w:szCs w:val="24"/>
        </w:rPr>
        <w:t>from a higher-level government are consistent with origin</w:t>
      </w:r>
      <w:r w:rsidR="00B52D3E">
        <w:rPr>
          <w:rFonts w:ascii="Times New Roman" w:eastAsia="Times New Roman" w:hAnsi="Times New Roman" w:cs="Times New Roman"/>
          <w:sz w:val="24"/>
          <w:szCs w:val="24"/>
        </w:rPr>
        <w:t>al</w:t>
      </w:r>
      <w:r w:rsidR="00112E16">
        <w:rPr>
          <w:rFonts w:ascii="Times New Roman" w:eastAsia="Times New Roman" w:hAnsi="Times New Roman" w:cs="Times New Roman"/>
          <w:sz w:val="24"/>
          <w:szCs w:val="24"/>
        </w:rPr>
        <w:t>ly</w:t>
      </w:r>
      <w:r w:rsidR="00B52D3E">
        <w:rPr>
          <w:rFonts w:ascii="Times New Roman" w:eastAsia="Times New Roman" w:hAnsi="Times New Roman" w:cs="Times New Roman"/>
          <w:sz w:val="24"/>
          <w:szCs w:val="24"/>
        </w:rPr>
        <w:t xml:space="preserve"> approved high-level budgets </w:t>
      </w:r>
      <w:r w:rsidRPr="00C80892">
        <w:rPr>
          <w:rFonts w:ascii="Times New Roman" w:eastAsia="Times New Roman" w:hAnsi="Times New Roman" w:cs="Times New Roman"/>
          <w:sz w:val="24"/>
          <w:szCs w:val="24"/>
        </w:rPr>
        <w:t xml:space="preserve">and are provided according to acceptable time </w:t>
      </w:r>
      <w:r w:rsidRPr="00C80892">
        <w:rPr>
          <w:rFonts w:ascii="Times New Roman" w:eastAsia="Times New Roman" w:hAnsi="Times New Roman" w:cs="Times New Roman"/>
          <w:color w:val="000000"/>
          <w:sz w:val="24"/>
          <w:szCs w:val="24"/>
        </w:rPr>
        <w:t>frames.</w:t>
      </w:r>
    </w:p>
    <w:p w14:paraId="40497D69" w14:textId="53256DE1" w:rsidR="008310A4" w:rsidRPr="008E7C67" w:rsidRDefault="008310A4" w:rsidP="008310A4">
      <w:pPr>
        <w:jc w:val="both"/>
        <w:rPr>
          <w:rFonts w:ascii="Times New Roman" w:eastAsia="Times New Roman" w:hAnsi="Times New Roman" w:cs="Times New Roman"/>
          <w:sz w:val="24"/>
          <w:szCs w:val="24"/>
        </w:rPr>
      </w:pPr>
      <w:r w:rsidRPr="008E7C67">
        <w:rPr>
          <w:rFonts w:ascii="Times New Roman" w:eastAsiaTheme="minorEastAsia" w:hAnsi="Times New Roman" w:cs="Times New Roman"/>
          <w:b/>
          <w:bCs/>
          <w:kern w:val="24"/>
          <w:sz w:val="24"/>
          <w:szCs w:val="24"/>
        </w:rPr>
        <w:t xml:space="preserve">ECA region </w:t>
      </w:r>
      <w:r w:rsidRPr="008E7C67">
        <w:rPr>
          <w:rFonts w:ascii="Times New Roman" w:eastAsiaTheme="minorEastAsia" w:hAnsi="Times New Roman" w:cs="Times New Roman"/>
          <w:b/>
          <w:kern w:val="24"/>
          <w:sz w:val="24"/>
          <w:szCs w:val="24"/>
        </w:rPr>
        <w:t>performs better than other regions</w:t>
      </w:r>
      <w:r w:rsidRPr="008E7C67">
        <w:rPr>
          <w:rFonts w:ascii="Times New Roman" w:eastAsiaTheme="minorEastAsia" w:hAnsi="Times New Roman" w:cs="Times New Roman"/>
          <w:kern w:val="24"/>
          <w:sz w:val="24"/>
          <w:szCs w:val="24"/>
        </w:rPr>
        <w:t xml:space="preserve"> on all </w:t>
      </w:r>
      <w:r w:rsidR="00112E16">
        <w:rPr>
          <w:rFonts w:ascii="Times New Roman" w:eastAsiaTheme="minorEastAsia" w:hAnsi="Times New Roman" w:cs="Times New Roman"/>
          <w:kern w:val="24"/>
          <w:sz w:val="24"/>
          <w:szCs w:val="24"/>
        </w:rPr>
        <w:t xml:space="preserve">of these PEFA </w:t>
      </w:r>
      <w:r w:rsidRPr="008E7C67">
        <w:rPr>
          <w:rFonts w:ascii="Times New Roman" w:eastAsiaTheme="minorEastAsia" w:hAnsi="Times New Roman" w:cs="Times New Roman"/>
          <w:kern w:val="24"/>
          <w:sz w:val="24"/>
          <w:szCs w:val="24"/>
        </w:rPr>
        <w:t xml:space="preserve">indicators/dimensions; however, there are </w:t>
      </w:r>
      <w:r w:rsidR="00112E16">
        <w:rPr>
          <w:rFonts w:ascii="Times New Roman" w:eastAsiaTheme="minorEastAsia" w:hAnsi="Times New Roman" w:cs="Times New Roman"/>
          <w:kern w:val="24"/>
          <w:sz w:val="24"/>
          <w:szCs w:val="24"/>
        </w:rPr>
        <w:t xml:space="preserve">large variations </w:t>
      </w:r>
      <w:r w:rsidRPr="008E7C67">
        <w:rPr>
          <w:rFonts w:ascii="Times New Roman" w:eastAsiaTheme="minorEastAsia" w:hAnsi="Times New Roman" w:cs="Times New Roman"/>
          <w:kern w:val="24"/>
          <w:sz w:val="24"/>
          <w:szCs w:val="24"/>
        </w:rPr>
        <w:t xml:space="preserve">among countries which form an opportunity for knowledge exchange and </w:t>
      </w:r>
      <w:r w:rsidRPr="008E7C67">
        <w:rPr>
          <w:rFonts w:ascii="Times New Roman" w:eastAsiaTheme="minorEastAsia" w:hAnsi="Times New Roman" w:cs="Times New Roman"/>
          <w:bCs/>
          <w:kern w:val="24"/>
          <w:sz w:val="24"/>
          <w:szCs w:val="24"/>
        </w:rPr>
        <w:t xml:space="preserve">peer learning </w:t>
      </w:r>
      <w:r w:rsidRPr="008E7C67">
        <w:rPr>
          <w:rFonts w:ascii="Times New Roman" w:eastAsiaTheme="minorEastAsia" w:hAnsi="Times New Roman" w:cs="Times New Roman"/>
          <w:kern w:val="24"/>
          <w:sz w:val="24"/>
          <w:szCs w:val="24"/>
        </w:rPr>
        <w:t>in the region</w:t>
      </w:r>
      <w:r w:rsidRPr="00C80892">
        <w:rPr>
          <w:rFonts w:ascii="Times New Roman" w:eastAsiaTheme="minorEastAsia" w:hAnsi="Times New Roman" w:cs="Times New Roman"/>
          <w:kern w:val="24"/>
          <w:sz w:val="24"/>
          <w:szCs w:val="24"/>
        </w:rPr>
        <w:t>.</w:t>
      </w:r>
    </w:p>
    <w:p w14:paraId="5E5CFC22" w14:textId="2177E10D" w:rsidR="008310A4" w:rsidRPr="00AA75CD" w:rsidRDefault="008310A4" w:rsidP="00AA75CD">
      <w:pPr>
        <w:pStyle w:val="Heading3"/>
        <w:rPr>
          <w:rFonts w:ascii="Times New Roman" w:hAnsi="Times New Roman" w:cs="Times New Roman"/>
          <w:b/>
          <w:color w:val="538135" w:themeColor="accent6" w:themeShade="BF"/>
        </w:rPr>
      </w:pPr>
      <w:bookmarkStart w:id="7" w:name="_Toc511655351"/>
      <w:r w:rsidRPr="00AA75CD">
        <w:rPr>
          <w:rFonts w:ascii="Times New Roman" w:hAnsi="Times New Roman" w:cs="Times New Roman"/>
          <w:b/>
          <w:color w:val="538135" w:themeColor="accent6" w:themeShade="BF"/>
        </w:rPr>
        <w:t>Messages</w:t>
      </w:r>
      <w:r w:rsidR="00112E16" w:rsidRPr="00AA75CD">
        <w:rPr>
          <w:rFonts w:ascii="Times New Roman" w:hAnsi="Times New Roman" w:cs="Times New Roman"/>
          <w:b/>
          <w:color w:val="538135" w:themeColor="accent6" w:themeShade="BF"/>
        </w:rPr>
        <w:t xml:space="preserve"> from the OECD’s Fiscal Network</w:t>
      </w:r>
      <w:bookmarkEnd w:id="7"/>
    </w:p>
    <w:p w14:paraId="3041A022" w14:textId="29360EF6" w:rsidR="008310A4" w:rsidRPr="00C80892" w:rsidRDefault="008310A4" w:rsidP="008310A4">
      <w:pPr>
        <w:jc w:val="both"/>
        <w:rPr>
          <w:rFonts w:ascii="Times New Roman" w:eastAsiaTheme="majorEastAsia" w:hAnsi="Times New Roman" w:cs="Times New Roman"/>
          <w:bCs/>
          <w:kern w:val="24"/>
          <w:sz w:val="24"/>
          <w:szCs w:val="24"/>
          <w:lang w:val="en-GB"/>
        </w:rPr>
      </w:pPr>
      <w:r w:rsidRPr="00C80892">
        <w:rPr>
          <w:rFonts w:ascii="Times New Roman" w:eastAsiaTheme="majorEastAsia" w:hAnsi="Times New Roman" w:cs="Times New Roman"/>
          <w:b/>
          <w:bCs/>
          <w:sz w:val="24"/>
          <w:szCs w:val="24"/>
        </w:rPr>
        <w:t xml:space="preserve">OECD countries follow various models, however </w:t>
      </w:r>
      <w:r w:rsidR="00112E16">
        <w:rPr>
          <w:rFonts w:ascii="Times New Roman" w:eastAsiaTheme="majorEastAsia" w:hAnsi="Times New Roman" w:cs="Times New Roman"/>
          <w:b/>
          <w:bCs/>
          <w:kern w:val="24"/>
          <w:sz w:val="24"/>
          <w:szCs w:val="24"/>
        </w:rPr>
        <w:t>wealthier</w:t>
      </w:r>
      <w:r w:rsidRPr="00C80892">
        <w:rPr>
          <w:rFonts w:ascii="Times New Roman" w:eastAsiaTheme="majorEastAsia" w:hAnsi="Times New Roman" w:cs="Times New Roman"/>
          <w:b/>
          <w:bCs/>
          <w:kern w:val="24"/>
          <w:sz w:val="24"/>
          <w:szCs w:val="24"/>
          <w:lang w:val="en-GB"/>
        </w:rPr>
        <w:t xml:space="preserve"> countries tend to be more decentralised. There are fo</w:t>
      </w:r>
      <w:r w:rsidR="00112E16">
        <w:rPr>
          <w:rFonts w:ascii="Times New Roman" w:eastAsiaTheme="majorEastAsia" w:hAnsi="Times New Roman" w:cs="Times New Roman"/>
          <w:b/>
          <w:bCs/>
          <w:kern w:val="24"/>
          <w:sz w:val="24"/>
          <w:szCs w:val="24"/>
          <w:lang w:val="en-GB"/>
        </w:rPr>
        <w:t>u</w:t>
      </w:r>
      <w:r w:rsidRPr="00C80892">
        <w:rPr>
          <w:rFonts w:ascii="Times New Roman" w:eastAsiaTheme="majorEastAsia" w:hAnsi="Times New Roman" w:cs="Times New Roman"/>
          <w:b/>
          <w:bCs/>
          <w:kern w:val="24"/>
          <w:sz w:val="24"/>
          <w:szCs w:val="24"/>
          <w:lang w:val="en-GB"/>
        </w:rPr>
        <w:t xml:space="preserve">r types of PFM system across OECD countries: </w:t>
      </w:r>
    </w:p>
    <w:p w14:paraId="60A914E3" w14:textId="0A488A08"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lang w:val="en-GB"/>
        </w:rPr>
      </w:pPr>
      <w:r w:rsidRPr="00AA75CD">
        <w:rPr>
          <w:rFonts w:ascii="Times New Roman" w:eastAsiaTheme="majorEastAsia" w:hAnsi="Times New Roman" w:cs="Times New Roman"/>
          <w:bCs/>
          <w:kern w:val="24"/>
          <w:sz w:val="24"/>
          <w:szCs w:val="24"/>
          <w:lang w:val="en-GB"/>
        </w:rPr>
        <w:t>High decentralised spending and high tax revenues (Canada, Denmark, Sweden, Finland, Germany, US, Japan, Spain, Switzerland, Austria, Belgium)</w:t>
      </w:r>
    </w:p>
    <w:p w14:paraId="51932ED1" w14:textId="1BE3FABF"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lang w:val="en-GB"/>
        </w:rPr>
      </w:pPr>
      <w:r w:rsidRPr="00AA75CD">
        <w:rPr>
          <w:rFonts w:ascii="Times New Roman" w:eastAsiaTheme="majorEastAsia" w:hAnsi="Times New Roman" w:cs="Times New Roman"/>
          <w:bCs/>
          <w:kern w:val="24"/>
          <w:sz w:val="24"/>
          <w:szCs w:val="24"/>
          <w:lang w:val="en-GB"/>
        </w:rPr>
        <w:t xml:space="preserve">Medium decentralised spending and medium tax revenues (Slovenia, France, Czech rep, Italy, Norway, Poland, Korea, Latvia, Iceland, Australia); </w:t>
      </w:r>
    </w:p>
    <w:p w14:paraId="1677E66A" w14:textId="141740D0"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lang w:val="en-GB"/>
        </w:rPr>
      </w:pPr>
      <w:r w:rsidRPr="00AA75CD">
        <w:rPr>
          <w:rFonts w:ascii="Times New Roman" w:eastAsiaTheme="majorEastAsia" w:hAnsi="Times New Roman" w:cs="Times New Roman"/>
          <w:bCs/>
          <w:kern w:val="24"/>
          <w:sz w:val="24"/>
          <w:szCs w:val="24"/>
          <w:lang w:val="en-GB"/>
        </w:rPr>
        <w:t>Medium decentralised spending and low tax revenues Estonia, UK, Netherlands, Mexico, Austria);</w:t>
      </w:r>
    </w:p>
    <w:p w14:paraId="10CF25DC" w14:textId="5B1E33B8"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lang w:val="en-GB"/>
        </w:rPr>
      </w:pPr>
      <w:r w:rsidRPr="00AA75CD">
        <w:rPr>
          <w:rFonts w:ascii="Times New Roman" w:eastAsiaTheme="majorEastAsia" w:hAnsi="Times New Roman" w:cs="Times New Roman"/>
          <w:bCs/>
          <w:kern w:val="24"/>
          <w:sz w:val="24"/>
          <w:szCs w:val="24"/>
          <w:lang w:val="en-GB"/>
        </w:rPr>
        <w:t>Low decentralised spending and low tax revenues (Greece, New Zealand, Ireland, Chile, Turkey, Portugal, Slovakia, Hungary, Luxemburg, Israel).</w:t>
      </w:r>
    </w:p>
    <w:p w14:paraId="75EC28FC" w14:textId="6C105E6B" w:rsidR="008310A4" w:rsidRPr="00C80892" w:rsidRDefault="008310A4" w:rsidP="008310A4">
      <w:pPr>
        <w:jc w:val="both"/>
        <w:rPr>
          <w:rFonts w:ascii="Times New Roman" w:eastAsiaTheme="majorEastAsia" w:hAnsi="Times New Roman" w:cs="Times New Roman"/>
          <w:bCs/>
          <w:i/>
          <w:iCs/>
          <w:kern w:val="24"/>
          <w:sz w:val="24"/>
          <w:szCs w:val="24"/>
          <w:lang w:val="en-GB"/>
        </w:rPr>
      </w:pPr>
      <w:r w:rsidRPr="00C80892">
        <w:rPr>
          <w:rFonts w:ascii="Times New Roman" w:eastAsiaTheme="majorEastAsia" w:hAnsi="Times New Roman" w:cs="Times New Roman"/>
          <w:bCs/>
          <w:kern w:val="24"/>
          <w:sz w:val="24"/>
          <w:szCs w:val="24"/>
          <w:lang w:val="en-GB"/>
        </w:rPr>
        <w:t xml:space="preserve">Policy areas more decentralised than others are: </w:t>
      </w:r>
      <w:r w:rsidRPr="00C80892">
        <w:rPr>
          <w:rFonts w:ascii="Times New Roman" w:eastAsiaTheme="majorEastAsia" w:hAnsi="Times New Roman" w:cs="Times New Roman"/>
          <w:bCs/>
          <w:i/>
          <w:iCs/>
          <w:kern w:val="24"/>
          <w:sz w:val="24"/>
          <w:szCs w:val="24"/>
          <w:lang w:val="en-GB"/>
        </w:rPr>
        <w:t xml:space="preserve">education, social protection, health, public transport, </w:t>
      </w:r>
      <w:r w:rsidR="00112E16" w:rsidRPr="00112E16">
        <w:rPr>
          <w:rFonts w:ascii="Times New Roman" w:eastAsiaTheme="majorEastAsia" w:hAnsi="Times New Roman" w:cs="Times New Roman"/>
          <w:bCs/>
          <w:iCs/>
          <w:kern w:val="24"/>
          <w:sz w:val="24"/>
          <w:szCs w:val="24"/>
          <w:lang w:val="en-GB"/>
        </w:rPr>
        <w:t>and</w:t>
      </w:r>
      <w:r w:rsidR="00112E16">
        <w:rPr>
          <w:rFonts w:ascii="Times New Roman" w:eastAsiaTheme="majorEastAsia" w:hAnsi="Times New Roman" w:cs="Times New Roman"/>
          <w:bCs/>
          <w:i/>
          <w:iCs/>
          <w:kern w:val="24"/>
          <w:sz w:val="24"/>
          <w:szCs w:val="24"/>
          <w:lang w:val="en-GB"/>
        </w:rPr>
        <w:t xml:space="preserve"> </w:t>
      </w:r>
      <w:r w:rsidRPr="00C80892">
        <w:rPr>
          <w:rFonts w:ascii="Times New Roman" w:eastAsiaTheme="majorEastAsia" w:hAnsi="Times New Roman" w:cs="Times New Roman"/>
          <w:bCs/>
          <w:i/>
          <w:iCs/>
          <w:kern w:val="24"/>
          <w:sz w:val="24"/>
          <w:szCs w:val="24"/>
          <w:lang w:val="en-GB"/>
        </w:rPr>
        <w:t>housing.</w:t>
      </w:r>
    </w:p>
    <w:p w14:paraId="7FED30FF" w14:textId="7E35709B" w:rsidR="008310A4" w:rsidRPr="00C80892" w:rsidRDefault="008310A4" w:rsidP="008310A4">
      <w:pPr>
        <w:pStyle w:val="NormalWeb"/>
        <w:spacing w:before="120" w:beforeAutospacing="0" w:after="120" w:afterAutospacing="0"/>
        <w:jc w:val="both"/>
        <w:textAlignment w:val="baseline"/>
      </w:pPr>
      <w:r w:rsidRPr="00C80892">
        <w:rPr>
          <w:rFonts w:eastAsiaTheme="majorEastAsia"/>
          <w:b/>
          <w:bCs/>
          <w:iCs/>
          <w:kern w:val="24"/>
          <w:lang w:val="en-GB"/>
        </w:rPr>
        <w:t>Decentralisation helps to promote SNGs</w:t>
      </w:r>
      <w:r w:rsidR="00112E16">
        <w:rPr>
          <w:rFonts w:eastAsiaTheme="majorEastAsia"/>
          <w:b/>
          <w:bCs/>
          <w:iCs/>
          <w:kern w:val="24"/>
          <w:lang w:val="en-GB"/>
        </w:rPr>
        <w:t>’</w:t>
      </w:r>
      <w:r w:rsidRPr="00C80892">
        <w:rPr>
          <w:rFonts w:eastAsiaTheme="majorEastAsia"/>
          <w:b/>
          <w:bCs/>
          <w:iCs/>
          <w:kern w:val="24"/>
          <w:lang w:val="en-GB"/>
        </w:rPr>
        <w:t xml:space="preserve"> performance and enhance public sector productivity, therefore performance measurement mechanisms should be applied. </w:t>
      </w:r>
      <w:r w:rsidRPr="00C80892">
        <w:rPr>
          <w:rFonts w:eastAsiaTheme="majorEastAsia"/>
          <w:bCs/>
          <w:iCs/>
          <w:kern w:val="24"/>
          <w:lang w:val="en-GB"/>
        </w:rPr>
        <w:t>Composite indicators</w:t>
      </w:r>
      <w:r w:rsidRPr="00C80892">
        <w:rPr>
          <w:rFonts w:eastAsiaTheme="majorEastAsia"/>
          <w:b/>
          <w:bCs/>
          <w:iCs/>
          <w:kern w:val="24"/>
          <w:lang w:val="en-GB"/>
        </w:rPr>
        <w:t xml:space="preserve"> </w:t>
      </w:r>
      <w:r w:rsidR="00112E16">
        <w:rPr>
          <w:rFonts w:eastAsiaTheme="minorEastAsia"/>
          <w:color w:val="000000" w:themeColor="text1"/>
          <w:kern w:val="24"/>
          <w:lang w:val="en-AU"/>
        </w:rPr>
        <w:t xml:space="preserve">are easy to interpret; however, </w:t>
      </w:r>
      <w:r w:rsidRPr="00C80892">
        <w:rPr>
          <w:rFonts w:eastAsiaTheme="minorEastAsia"/>
          <w:color w:val="000000" w:themeColor="text1"/>
          <w:kern w:val="24"/>
          <w:lang w:val="en-AU"/>
        </w:rPr>
        <w:t>they should be accompanied by the more detailed in</w:t>
      </w:r>
      <w:r w:rsidR="00112E16">
        <w:rPr>
          <w:rFonts w:eastAsiaTheme="minorEastAsia"/>
          <w:color w:val="000000" w:themeColor="text1"/>
          <w:kern w:val="24"/>
          <w:lang w:val="en-AU"/>
        </w:rPr>
        <w:t xml:space="preserve">formation, sensitivity analysis, </w:t>
      </w:r>
      <w:r w:rsidRPr="00C80892">
        <w:rPr>
          <w:rFonts w:eastAsiaTheme="minorEastAsia"/>
          <w:color w:val="000000" w:themeColor="text1"/>
          <w:kern w:val="24"/>
          <w:lang w:val="en-AU"/>
        </w:rPr>
        <w:t xml:space="preserve">and the techniques used. As quality assurance systems, </w:t>
      </w:r>
      <w:r w:rsidR="00112E16">
        <w:rPr>
          <w:rFonts w:eastAsiaTheme="minorEastAsia"/>
          <w:color w:val="000000" w:themeColor="text1"/>
          <w:kern w:val="24"/>
          <w:lang w:val="en-AU"/>
        </w:rPr>
        <w:t>e</w:t>
      </w:r>
      <w:r w:rsidRPr="00C80892">
        <w:rPr>
          <w:rFonts w:eastAsiaTheme="minorEastAsia"/>
          <w:color w:val="000000" w:themeColor="text1"/>
          <w:kern w:val="24"/>
          <w:lang w:val="en-AU"/>
        </w:rPr>
        <w:t xml:space="preserve">xternal inspections and self-assessments are useful, especially when used together – the results are more likely to be ‘owned’ by the </w:t>
      </w:r>
      <w:r w:rsidR="00112E16" w:rsidRPr="00C80892">
        <w:rPr>
          <w:rFonts w:eastAsiaTheme="minorEastAsia"/>
          <w:color w:val="000000" w:themeColor="text1"/>
          <w:kern w:val="24"/>
          <w:lang w:val="en-AU"/>
        </w:rPr>
        <w:t>provider</w:t>
      </w:r>
      <w:r w:rsidR="00112E16">
        <w:rPr>
          <w:rFonts w:eastAsiaTheme="minorEastAsia"/>
          <w:color w:val="000000" w:themeColor="text1"/>
          <w:kern w:val="24"/>
          <w:lang w:val="en-AU"/>
        </w:rPr>
        <w:t xml:space="preserve"> but</w:t>
      </w:r>
      <w:r w:rsidRPr="00C80892">
        <w:rPr>
          <w:rFonts w:eastAsiaTheme="minorEastAsia"/>
          <w:color w:val="000000" w:themeColor="text1"/>
          <w:kern w:val="24"/>
          <w:lang w:val="en-AU"/>
        </w:rPr>
        <w:t xml:space="preserve"> can also provide distance and challenge assumptions. Consumer experience and satisfaction surveys can help broadly identify the quality of services. Better consumer satisfaction is also linked to better consumer outcomes (especially</w:t>
      </w:r>
      <w:r w:rsidR="00112E16">
        <w:rPr>
          <w:rFonts w:eastAsiaTheme="minorEastAsia"/>
          <w:color w:val="000000" w:themeColor="text1"/>
          <w:kern w:val="24"/>
          <w:lang w:val="en-AU"/>
        </w:rPr>
        <w:t xml:space="preserve"> in health sector).</w:t>
      </w:r>
    </w:p>
    <w:p w14:paraId="497DA4BE" w14:textId="2497C438" w:rsidR="008310A4" w:rsidRPr="00644CBE" w:rsidRDefault="008310A4" w:rsidP="008310A4">
      <w:pPr>
        <w:jc w:val="both"/>
        <w:textAlignment w:val="baseline"/>
        <w:rPr>
          <w:rFonts w:ascii="Times New Roman" w:eastAsia="Times New Roman" w:hAnsi="Times New Roman" w:cs="Times New Roman"/>
          <w:sz w:val="24"/>
          <w:szCs w:val="24"/>
        </w:rPr>
      </w:pPr>
      <w:r w:rsidRPr="00C80892">
        <w:rPr>
          <w:rFonts w:ascii="Times New Roman" w:hAnsi="Times New Roman" w:cs="Times New Roman"/>
          <w:color w:val="000000" w:themeColor="text1"/>
          <w:kern w:val="24"/>
          <w:sz w:val="24"/>
          <w:szCs w:val="24"/>
          <w:lang w:val="en-AU"/>
        </w:rPr>
        <w:t xml:space="preserve">Based on a </w:t>
      </w:r>
      <w:r w:rsidR="00112E16">
        <w:rPr>
          <w:rFonts w:ascii="Times New Roman" w:hAnsi="Times New Roman" w:cs="Times New Roman"/>
          <w:color w:val="000000" w:themeColor="text1"/>
          <w:kern w:val="24"/>
          <w:sz w:val="24"/>
          <w:szCs w:val="24"/>
          <w:lang w:val="en-AU"/>
        </w:rPr>
        <w:t xml:space="preserve">recent synthesis of reviews it is </w:t>
      </w:r>
      <w:r w:rsidRPr="00C80892">
        <w:rPr>
          <w:rFonts w:ascii="Times New Roman" w:hAnsi="Times New Roman" w:cs="Times New Roman"/>
          <w:color w:val="000000" w:themeColor="text1"/>
          <w:kern w:val="24"/>
          <w:sz w:val="24"/>
          <w:szCs w:val="24"/>
          <w:lang w:val="en-AU"/>
        </w:rPr>
        <w:t xml:space="preserve">recommended to </w:t>
      </w:r>
      <w:r w:rsidR="00112E16" w:rsidRPr="00C80892">
        <w:rPr>
          <w:rFonts w:ascii="Times New Roman" w:eastAsia="Times New Roman" w:hAnsi="Times New Roman" w:cs="Times New Roman"/>
          <w:bCs/>
          <w:sz w:val="24"/>
          <w:szCs w:val="24"/>
        </w:rPr>
        <w:t>better</w:t>
      </w:r>
      <w:r w:rsidRPr="00C80892">
        <w:rPr>
          <w:rFonts w:ascii="Times New Roman" w:eastAsia="Times New Roman" w:hAnsi="Times New Roman" w:cs="Times New Roman"/>
          <w:bCs/>
          <w:sz w:val="24"/>
          <w:szCs w:val="24"/>
        </w:rPr>
        <w:t xml:space="preserve"> align sub-central spending with own-source revenue; </w:t>
      </w:r>
      <w:r w:rsidRPr="00644CBE">
        <w:rPr>
          <w:rFonts w:ascii="Times New Roman" w:eastAsia="Times New Roman" w:hAnsi="Times New Roman" w:cs="Times New Roman"/>
          <w:bCs/>
          <w:sz w:val="24"/>
          <w:szCs w:val="24"/>
        </w:rPr>
        <w:t>delineate responsibilities and functions clearly;</w:t>
      </w:r>
      <w:r w:rsidRPr="00C80892">
        <w:rPr>
          <w:rFonts w:ascii="Times New Roman" w:eastAsia="Times New Roman" w:hAnsi="Times New Roman" w:cs="Times New Roman"/>
          <w:bCs/>
          <w:sz w:val="24"/>
          <w:szCs w:val="24"/>
        </w:rPr>
        <w:t xml:space="preserve"> </w:t>
      </w:r>
      <w:r w:rsidRPr="00644CBE">
        <w:rPr>
          <w:rFonts w:ascii="Times New Roman" w:eastAsia="Times New Roman" w:hAnsi="Times New Roman" w:cs="Times New Roman"/>
          <w:bCs/>
          <w:sz w:val="24"/>
          <w:szCs w:val="24"/>
        </w:rPr>
        <w:t>raise sub-central spending power</w:t>
      </w:r>
      <w:r w:rsidR="00717144">
        <w:rPr>
          <w:rFonts w:ascii="Times New Roman" w:eastAsia="Times New Roman" w:hAnsi="Times New Roman" w:cs="Times New Roman"/>
          <w:bCs/>
          <w:sz w:val="24"/>
          <w:szCs w:val="24"/>
        </w:rPr>
        <w:t xml:space="preserve"> and </w:t>
      </w:r>
      <w:r w:rsidRPr="00644CBE">
        <w:rPr>
          <w:rFonts w:ascii="Times New Roman" w:eastAsia="Times New Roman" w:hAnsi="Times New Roman" w:cs="Times New Roman"/>
          <w:bCs/>
          <w:sz w:val="24"/>
          <w:szCs w:val="24"/>
        </w:rPr>
        <w:t xml:space="preserve">tax autonomy and reduce the scope of earmarked grants; maintain and strengthen internal markets; devolve some responsibilities to private-sector service providers; </w:t>
      </w:r>
      <w:r w:rsidR="00717144">
        <w:rPr>
          <w:rFonts w:ascii="Times New Roman" w:eastAsia="Times New Roman" w:hAnsi="Times New Roman" w:cs="Times New Roman"/>
          <w:bCs/>
          <w:sz w:val="24"/>
          <w:szCs w:val="24"/>
        </w:rPr>
        <w:t xml:space="preserve">and </w:t>
      </w:r>
      <w:r w:rsidRPr="00644CBE">
        <w:rPr>
          <w:rFonts w:ascii="Times New Roman" w:eastAsia="Times New Roman" w:hAnsi="Times New Roman" w:cs="Times New Roman"/>
          <w:bCs/>
          <w:sz w:val="24"/>
          <w:szCs w:val="24"/>
        </w:rPr>
        <w:t xml:space="preserve">strengthen intergovernmental information and co-ordination systems. </w:t>
      </w:r>
    </w:p>
    <w:p w14:paraId="7425DB78" w14:textId="7DC60FF0" w:rsidR="008310A4" w:rsidRPr="0089284A" w:rsidRDefault="008310A4" w:rsidP="008310A4">
      <w:pPr>
        <w:jc w:val="both"/>
        <w:textAlignment w:val="baseline"/>
        <w:rPr>
          <w:rFonts w:ascii="Times New Roman" w:eastAsia="Times New Roman" w:hAnsi="Times New Roman" w:cs="Times New Roman"/>
          <w:sz w:val="24"/>
          <w:szCs w:val="24"/>
        </w:rPr>
      </w:pPr>
      <w:r w:rsidRPr="00C80892">
        <w:rPr>
          <w:rFonts w:ascii="Times New Roman" w:eastAsiaTheme="minorEastAsia" w:hAnsi="Times New Roman" w:cs="Times New Roman"/>
          <w:b/>
          <w:bCs/>
          <w:sz w:val="24"/>
          <w:szCs w:val="24"/>
        </w:rPr>
        <w:t xml:space="preserve">Fiscal equalization is a </w:t>
      </w:r>
      <w:r w:rsidRPr="0089284A">
        <w:rPr>
          <w:rFonts w:ascii="Times New Roman" w:eastAsiaTheme="minorEastAsia" w:hAnsi="Times New Roman" w:cs="Times New Roman"/>
          <w:b/>
          <w:bCs/>
          <w:sz w:val="24"/>
          <w:szCs w:val="24"/>
          <w:lang w:val="en-GB"/>
        </w:rPr>
        <w:t>“</w:t>
      </w:r>
      <w:r w:rsidR="00112E16">
        <w:rPr>
          <w:rFonts w:ascii="Times New Roman" w:eastAsiaTheme="minorEastAsia" w:hAnsi="Times New Roman" w:cs="Times New Roman"/>
          <w:b/>
          <w:bCs/>
          <w:sz w:val="24"/>
          <w:szCs w:val="24"/>
          <w:lang w:val="en-GB"/>
        </w:rPr>
        <w:t>n</w:t>
      </w:r>
      <w:r w:rsidRPr="0089284A">
        <w:rPr>
          <w:rFonts w:ascii="Times New Roman" w:eastAsiaTheme="minorEastAsia" w:hAnsi="Times New Roman" w:cs="Times New Roman"/>
          <w:b/>
          <w:bCs/>
          <w:sz w:val="24"/>
          <w:szCs w:val="24"/>
          <w:lang w:val="en-GB"/>
        </w:rPr>
        <w:t xml:space="preserve">atural” companion of decentralisation, </w:t>
      </w:r>
      <w:r w:rsidRPr="0089284A">
        <w:rPr>
          <w:rFonts w:ascii="Times New Roman" w:eastAsiaTheme="minorEastAsia" w:hAnsi="Times New Roman" w:cs="Times New Roman"/>
          <w:bCs/>
          <w:sz w:val="24"/>
          <w:szCs w:val="24"/>
          <w:lang w:val="en-GB"/>
        </w:rPr>
        <w:t>seeking to correct disparities from sub-national autonomy</w:t>
      </w:r>
      <w:r w:rsidR="00717144">
        <w:rPr>
          <w:rFonts w:ascii="Times New Roman" w:eastAsiaTheme="minorEastAsia" w:hAnsi="Times New Roman" w:cs="Times New Roman"/>
          <w:bCs/>
          <w:sz w:val="24"/>
          <w:szCs w:val="24"/>
          <w:lang w:val="en-GB"/>
        </w:rPr>
        <w:t xml:space="preserve">. It is </w:t>
      </w:r>
      <w:r w:rsidRPr="00717144">
        <w:rPr>
          <w:rFonts w:ascii="Times New Roman" w:eastAsiaTheme="minorEastAsia" w:hAnsi="Times New Roman" w:cs="Times New Roman"/>
          <w:bCs/>
          <w:iCs/>
          <w:sz w:val="24"/>
          <w:szCs w:val="24"/>
          <w:lang w:val="en-GB"/>
        </w:rPr>
        <w:t>widely used</w:t>
      </w:r>
      <w:r w:rsidRPr="0089284A">
        <w:rPr>
          <w:rFonts w:ascii="Times New Roman" w:eastAsiaTheme="minorEastAsia" w:hAnsi="Times New Roman" w:cs="Times New Roman"/>
          <w:bCs/>
          <w:sz w:val="24"/>
          <w:szCs w:val="24"/>
          <w:lang w:val="en-GB"/>
        </w:rPr>
        <w:t xml:space="preserve"> </w:t>
      </w:r>
      <w:r w:rsidR="00717144">
        <w:rPr>
          <w:rFonts w:ascii="Times New Roman" w:eastAsiaTheme="minorEastAsia" w:hAnsi="Times New Roman" w:cs="Times New Roman"/>
          <w:bCs/>
          <w:sz w:val="24"/>
          <w:szCs w:val="24"/>
          <w:lang w:val="en-GB"/>
        </w:rPr>
        <w:t xml:space="preserve">- </w:t>
      </w:r>
      <w:r w:rsidRPr="0089284A">
        <w:rPr>
          <w:rFonts w:ascii="Times New Roman" w:eastAsiaTheme="minorEastAsia" w:hAnsi="Times New Roman" w:cs="Times New Roman"/>
          <w:bCs/>
          <w:sz w:val="24"/>
          <w:szCs w:val="24"/>
          <w:lang w:val="en-GB"/>
        </w:rPr>
        <w:t>across the OECD, fiscal equalisation amounts to 2.5% of GDP; 5% of government spending, and 50% of inter-governmental grants</w:t>
      </w:r>
      <w:r w:rsidRPr="00C80892">
        <w:rPr>
          <w:rFonts w:ascii="Times New Roman" w:eastAsiaTheme="minorEastAsia" w:hAnsi="Times New Roman" w:cs="Times New Roman"/>
          <w:bCs/>
          <w:sz w:val="24"/>
          <w:szCs w:val="24"/>
          <w:lang w:val="en-GB"/>
        </w:rPr>
        <w:t xml:space="preserve">. </w:t>
      </w:r>
      <w:r w:rsidRPr="0089284A">
        <w:rPr>
          <w:rFonts w:ascii="Times New Roman" w:eastAsiaTheme="minorEastAsia" w:hAnsi="Times New Roman" w:cs="Times New Roman"/>
          <w:bCs/>
          <w:sz w:val="24"/>
          <w:szCs w:val="24"/>
        </w:rPr>
        <w:t xml:space="preserve">While it can correct </w:t>
      </w:r>
      <w:r w:rsidRPr="00717144">
        <w:rPr>
          <w:rFonts w:ascii="Times New Roman" w:eastAsiaTheme="minorEastAsia" w:hAnsi="Times New Roman" w:cs="Times New Roman"/>
          <w:bCs/>
          <w:iCs/>
          <w:sz w:val="24"/>
          <w:szCs w:val="24"/>
        </w:rPr>
        <w:t>regional</w:t>
      </w:r>
      <w:r w:rsidRPr="0089284A">
        <w:rPr>
          <w:rFonts w:ascii="Times New Roman" w:eastAsiaTheme="minorEastAsia" w:hAnsi="Times New Roman" w:cs="Times New Roman"/>
          <w:bCs/>
          <w:sz w:val="24"/>
          <w:szCs w:val="24"/>
        </w:rPr>
        <w:t xml:space="preserve"> disparities, it d</w:t>
      </w:r>
      <w:r w:rsidRPr="00C80892">
        <w:rPr>
          <w:rFonts w:ascii="Times New Roman" w:eastAsiaTheme="minorEastAsia" w:hAnsi="Times New Roman" w:cs="Times New Roman"/>
          <w:bCs/>
          <w:sz w:val="24"/>
          <w:szCs w:val="24"/>
        </w:rPr>
        <w:t>oes not correct household-level</w:t>
      </w:r>
      <w:r w:rsidRPr="0089284A">
        <w:rPr>
          <w:rFonts w:ascii="Times New Roman" w:eastAsiaTheme="minorEastAsia" w:hAnsi="Times New Roman" w:cs="Times New Roman"/>
          <w:bCs/>
          <w:sz w:val="24"/>
          <w:szCs w:val="24"/>
        </w:rPr>
        <w:t xml:space="preserve"> ones, thus caution is appropriate</w:t>
      </w:r>
      <w:r w:rsidR="00717144">
        <w:rPr>
          <w:rFonts w:ascii="Times New Roman" w:eastAsiaTheme="minorEastAsia" w:hAnsi="Times New Roman" w:cs="Times New Roman"/>
          <w:bCs/>
          <w:sz w:val="24"/>
          <w:szCs w:val="24"/>
        </w:rPr>
        <w:t>.</w:t>
      </w:r>
    </w:p>
    <w:p w14:paraId="6B61919D" w14:textId="7810D5C1" w:rsidR="008310A4" w:rsidRDefault="008310A4" w:rsidP="00AA75CD">
      <w:pPr>
        <w:pStyle w:val="Heading3"/>
        <w:rPr>
          <w:rFonts w:ascii="Times New Roman" w:hAnsi="Times New Roman" w:cs="Times New Roman"/>
          <w:b/>
          <w:color w:val="538135" w:themeColor="accent6" w:themeShade="BF"/>
        </w:rPr>
      </w:pPr>
      <w:bookmarkStart w:id="8" w:name="_Toc511655352"/>
      <w:r w:rsidRPr="00AA75CD">
        <w:rPr>
          <w:rFonts w:ascii="Times New Roman" w:hAnsi="Times New Roman" w:cs="Times New Roman"/>
          <w:b/>
          <w:color w:val="538135" w:themeColor="accent6" w:themeShade="BF"/>
        </w:rPr>
        <w:lastRenderedPageBreak/>
        <w:t>Intergovernmental Fiscal Relations: The Austrian Experience</w:t>
      </w:r>
      <w:bookmarkEnd w:id="8"/>
    </w:p>
    <w:p w14:paraId="191C1A2A" w14:textId="0FBD9667" w:rsidR="008310A4" w:rsidRPr="00C80892" w:rsidRDefault="008310A4" w:rsidP="008310A4">
      <w:pPr>
        <w:jc w:val="both"/>
        <w:rPr>
          <w:rFonts w:ascii="Times New Roman" w:hAnsi="Times New Roman" w:cs="Times New Roman"/>
          <w:sz w:val="24"/>
          <w:szCs w:val="24"/>
        </w:rPr>
      </w:pPr>
      <w:r w:rsidRPr="00C80892">
        <w:rPr>
          <w:rFonts w:ascii="Times New Roman" w:hAnsi="Times New Roman" w:cs="Times New Roman"/>
          <w:b/>
          <w:sz w:val="24"/>
          <w:szCs w:val="24"/>
        </w:rPr>
        <w:t>Core responsibilities are distributed among three levels of Government in Austria</w:t>
      </w:r>
      <w:r w:rsidRPr="00C80892">
        <w:rPr>
          <w:rFonts w:ascii="Times New Roman" w:hAnsi="Times New Roman" w:cs="Times New Roman"/>
          <w:sz w:val="24"/>
          <w:szCs w:val="24"/>
        </w:rPr>
        <w:t xml:space="preserve"> – the Federal Government, 9 State Governments and 2.098 L</w:t>
      </w:r>
      <w:r w:rsidR="00717144">
        <w:rPr>
          <w:rFonts w:ascii="Times New Roman" w:hAnsi="Times New Roman" w:cs="Times New Roman"/>
          <w:sz w:val="24"/>
          <w:szCs w:val="24"/>
        </w:rPr>
        <w:t xml:space="preserve">ocal Governments. Share of the </w:t>
      </w:r>
      <w:r w:rsidR="00474326">
        <w:rPr>
          <w:rFonts w:ascii="Times New Roman" w:hAnsi="Times New Roman" w:cs="Times New Roman"/>
          <w:sz w:val="24"/>
          <w:szCs w:val="24"/>
        </w:rPr>
        <w:t xml:space="preserve">central </w:t>
      </w:r>
      <w:r w:rsidR="00717144">
        <w:rPr>
          <w:rFonts w:ascii="Times New Roman" w:hAnsi="Times New Roman" w:cs="Times New Roman"/>
          <w:sz w:val="24"/>
          <w:szCs w:val="24"/>
        </w:rPr>
        <w:t>g</w:t>
      </w:r>
      <w:r w:rsidRPr="00C80892">
        <w:rPr>
          <w:rFonts w:ascii="Times New Roman" w:hAnsi="Times New Roman" w:cs="Times New Roman"/>
          <w:sz w:val="24"/>
          <w:szCs w:val="24"/>
        </w:rPr>
        <w:t xml:space="preserve">overnment’s expenditures in total public spending </w:t>
      </w:r>
      <w:r w:rsidR="00474326">
        <w:rPr>
          <w:rFonts w:ascii="Times New Roman" w:hAnsi="Times New Roman" w:cs="Times New Roman"/>
          <w:sz w:val="24"/>
          <w:szCs w:val="24"/>
        </w:rPr>
        <w:t xml:space="preserve">in 2015 </w:t>
      </w:r>
      <w:r w:rsidRPr="00C80892">
        <w:rPr>
          <w:rFonts w:ascii="Times New Roman" w:hAnsi="Times New Roman" w:cs="Times New Roman"/>
          <w:sz w:val="24"/>
          <w:szCs w:val="24"/>
        </w:rPr>
        <w:t>was 35%</w:t>
      </w:r>
      <w:r w:rsidR="00474326">
        <w:rPr>
          <w:rFonts w:ascii="Times New Roman" w:hAnsi="Times New Roman" w:cs="Times New Roman"/>
          <w:sz w:val="24"/>
          <w:szCs w:val="24"/>
        </w:rPr>
        <w:t>, the share of states was 24%, and the share of local governments was 8</w:t>
      </w:r>
      <w:r w:rsidRPr="00C80892">
        <w:rPr>
          <w:rFonts w:ascii="Times New Roman" w:hAnsi="Times New Roman" w:cs="Times New Roman"/>
          <w:sz w:val="24"/>
          <w:szCs w:val="24"/>
        </w:rPr>
        <w:t>%</w:t>
      </w:r>
      <w:r w:rsidR="00474326">
        <w:rPr>
          <w:rFonts w:ascii="Times New Roman" w:hAnsi="Times New Roman" w:cs="Times New Roman"/>
          <w:sz w:val="24"/>
          <w:szCs w:val="24"/>
        </w:rPr>
        <w:t xml:space="preserve"> (the remaining shares ate 32% of social security authorities and 1% of chambers)</w:t>
      </w:r>
      <w:r w:rsidRPr="00C80892">
        <w:rPr>
          <w:rFonts w:ascii="Times New Roman" w:hAnsi="Times New Roman" w:cs="Times New Roman"/>
          <w:sz w:val="24"/>
          <w:szCs w:val="24"/>
        </w:rPr>
        <w:t xml:space="preserve">. </w:t>
      </w:r>
    </w:p>
    <w:p w14:paraId="662486E9" w14:textId="4F47508C" w:rsidR="008310A4" w:rsidRPr="00C80892" w:rsidRDefault="008310A4" w:rsidP="008310A4">
      <w:pPr>
        <w:jc w:val="both"/>
        <w:rPr>
          <w:rFonts w:ascii="Times New Roman" w:hAnsi="Times New Roman" w:cs="Times New Roman"/>
          <w:sz w:val="24"/>
          <w:szCs w:val="24"/>
        </w:rPr>
      </w:pPr>
      <w:r w:rsidRPr="00C80892">
        <w:rPr>
          <w:rFonts w:ascii="Times New Roman" w:hAnsi="Times New Roman" w:cs="Times New Roman"/>
          <w:b/>
          <w:sz w:val="24"/>
          <w:szCs w:val="24"/>
        </w:rPr>
        <w:t xml:space="preserve">The main goal of the fiscal federalism policy is to ensure fiscal equity. </w:t>
      </w:r>
      <w:r w:rsidRPr="00C80892">
        <w:rPr>
          <w:rFonts w:ascii="Times New Roman" w:hAnsi="Times New Roman" w:cs="Times New Roman"/>
          <w:sz w:val="24"/>
          <w:szCs w:val="24"/>
        </w:rPr>
        <w:t xml:space="preserve">The legal framework consists of the </w:t>
      </w:r>
      <w:r w:rsidR="00474326">
        <w:rPr>
          <w:rFonts w:ascii="Times New Roman" w:hAnsi="Times New Roman" w:cs="Times New Roman"/>
          <w:sz w:val="24"/>
          <w:szCs w:val="24"/>
        </w:rPr>
        <w:t xml:space="preserve">constitutional charter, the 1948 </w:t>
      </w:r>
      <w:r w:rsidRPr="00C80892">
        <w:rPr>
          <w:rFonts w:ascii="Times New Roman" w:hAnsi="Times New Roman" w:cs="Times New Roman"/>
          <w:sz w:val="24"/>
          <w:szCs w:val="24"/>
        </w:rPr>
        <w:t>Fiscal Constitutional Law</w:t>
      </w:r>
      <w:r w:rsidR="00474326">
        <w:rPr>
          <w:rFonts w:ascii="Times New Roman" w:hAnsi="Times New Roman" w:cs="Times New Roman"/>
          <w:sz w:val="24"/>
          <w:szCs w:val="24"/>
        </w:rPr>
        <w:t xml:space="preserve">, </w:t>
      </w:r>
      <w:r w:rsidRPr="00C80892">
        <w:rPr>
          <w:rFonts w:ascii="Times New Roman" w:hAnsi="Times New Roman" w:cs="Times New Roman"/>
          <w:sz w:val="24"/>
          <w:szCs w:val="24"/>
        </w:rPr>
        <w:t xml:space="preserve">and Intergovernmental Fiscal Relations Act (IFRA). The </w:t>
      </w:r>
      <w:r w:rsidR="00474326">
        <w:rPr>
          <w:rFonts w:ascii="Times New Roman" w:hAnsi="Times New Roman" w:cs="Times New Roman"/>
          <w:sz w:val="24"/>
          <w:szCs w:val="24"/>
        </w:rPr>
        <w:t>c</w:t>
      </w:r>
      <w:r w:rsidRPr="00C80892">
        <w:rPr>
          <w:rFonts w:ascii="Times New Roman" w:hAnsi="Times New Roman" w:cs="Times New Roman"/>
          <w:sz w:val="24"/>
          <w:szCs w:val="24"/>
        </w:rPr>
        <w:t xml:space="preserve">onstitutional </w:t>
      </w:r>
      <w:r w:rsidR="00474326">
        <w:rPr>
          <w:rFonts w:ascii="Times New Roman" w:hAnsi="Times New Roman" w:cs="Times New Roman"/>
          <w:sz w:val="24"/>
          <w:szCs w:val="24"/>
        </w:rPr>
        <w:t>c</w:t>
      </w:r>
      <w:r w:rsidRPr="00C80892">
        <w:rPr>
          <w:rFonts w:ascii="Times New Roman" w:hAnsi="Times New Roman" w:cs="Times New Roman"/>
          <w:sz w:val="24"/>
          <w:szCs w:val="24"/>
        </w:rPr>
        <w:t>harter outlines the competencies of federal, state</w:t>
      </w:r>
      <w:r w:rsidR="00474326">
        <w:rPr>
          <w:rFonts w:ascii="Times New Roman" w:hAnsi="Times New Roman" w:cs="Times New Roman"/>
          <w:sz w:val="24"/>
          <w:szCs w:val="24"/>
        </w:rPr>
        <w:t>,</w:t>
      </w:r>
      <w:r w:rsidRPr="00C80892">
        <w:rPr>
          <w:rFonts w:ascii="Times New Roman" w:hAnsi="Times New Roman" w:cs="Times New Roman"/>
          <w:sz w:val="24"/>
          <w:szCs w:val="24"/>
        </w:rPr>
        <w:t xml:space="preserve"> and local governments. The Fiscal Constitutional Law establishes basic rules</w:t>
      </w:r>
      <w:r w:rsidR="00474326">
        <w:rPr>
          <w:rFonts w:ascii="Times New Roman" w:hAnsi="Times New Roman" w:cs="Times New Roman"/>
          <w:sz w:val="24"/>
          <w:szCs w:val="24"/>
        </w:rPr>
        <w:t xml:space="preserve"> for fiscal competences of the federal </w:t>
      </w:r>
      <w:r w:rsidRPr="00C80892">
        <w:rPr>
          <w:rFonts w:ascii="Times New Roman" w:hAnsi="Times New Roman" w:cs="Times New Roman"/>
          <w:sz w:val="24"/>
          <w:szCs w:val="24"/>
        </w:rPr>
        <w:t>level, the states</w:t>
      </w:r>
      <w:r w:rsidR="00474326">
        <w:rPr>
          <w:rFonts w:ascii="Times New Roman" w:hAnsi="Times New Roman" w:cs="Times New Roman"/>
          <w:sz w:val="24"/>
          <w:szCs w:val="24"/>
        </w:rPr>
        <w:t xml:space="preserve">, </w:t>
      </w:r>
      <w:r w:rsidRPr="00C80892">
        <w:rPr>
          <w:rFonts w:ascii="Times New Roman" w:hAnsi="Times New Roman" w:cs="Times New Roman"/>
          <w:sz w:val="24"/>
          <w:szCs w:val="24"/>
        </w:rPr>
        <w:t>and municipalities (taxing, tax sharing, cost bearing</w:t>
      </w:r>
      <w:r w:rsidR="00474326">
        <w:rPr>
          <w:rFonts w:ascii="Times New Roman" w:hAnsi="Times New Roman" w:cs="Times New Roman"/>
          <w:sz w:val="24"/>
          <w:szCs w:val="24"/>
        </w:rPr>
        <w:t>,</w:t>
      </w:r>
      <w:r w:rsidRPr="00C80892">
        <w:rPr>
          <w:rFonts w:ascii="Times New Roman" w:hAnsi="Times New Roman" w:cs="Times New Roman"/>
          <w:sz w:val="24"/>
          <w:szCs w:val="24"/>
        </w:rPr>
        <w:t xml:space="preserve"> and transfer rules </w:t>
      </w:r>
      <w:r w:rsidR="00474326">
        <w:rPr>
          <w:rFonts w:ascii="Times New Roman" w:hAnsi="Times New Roman" w:cs="Times New Roman"/>
          <w:sz w:val="24"/>
          <w:szCs w:val="24"/>
        </w:rPr>
        <w:t>being the most important ones</w:t>
      </w:r>
      <w:r w:rsidRPr="00C80892">
        <w:rPr>
          <w:rFonts w:ascii="Times New Roman" w:hAnsi="Times New Roman" w:cs="Times New Roman"/>
          <w:sz w:val="24"/>
          <w:szCs w:val="24"/>
        </w:rPr>
        <w:t>). IFRA details on intergovernmental fiscal relation</w:t>
      </w:r>
      <w:r w:rsidR="00474326">
        <w:rPr>
          <w:rFonts w:ascii="Times New Roman" w:hAnsi="Times New Roman" w:cs="Times New Roman"/>
          <w:sz w:val="24"/>
          <w:szCs w:val="24"/>
        </w:rPr>
        <w:t xml:space="preserve">s. It is task oriented, supports </w:t>
      </w:r>
      <w:r w:rsidRPr="00C80892">
        <w:rPr>
          <w:rFonts w:ascii="Times New Roman" w:hAnsi="Times New Roman" w:cs="Times New Roman"/>
          <w:sz w:val="24"/>
          <w:szCs w:val="24"/>
        </w:rPr>
        <w:t>tax autonomy of the states, provides maximum ceiling for public guarantees for all levels of governments</w:t>
      </w:r>
      <w:r w:rsidR="00474326">
        <w:rPr>
          <w:rFonts w:ascii="Times New Roman" w:hAnsi="Times New Roman" w:cs="Times New Roman"/>
          <w:sz w:val="24"/>
          <w:szCs w:val="24"/>
        </w:rPr>
        <w:t>,</w:t>
      </w:r>
      <w:r w:rsidRPr="00C80892">
        <w:rPr>
          <w:rFonts w:ascii="Times New Roman" w:hAnsi="Times New Roman" w:cs="Times New Roman"/>
          <w:sz w:val="24"/>
          <w:szCs w:val="24"/>
        </w:rPr>
        <w:t xml:space="preserve"> and establishe</w:t>
      </w:r>
      <w:r w:rsidR="00474326">
        <w:rPr>
          <w:rFonts w:ascii="Times New Roman" w:hAnsi="Times New Roman" w:cs="Times New Roman"/>
          <w:sz w:val="24"/>
          <w:szCs w:val="24"/>
        </w:rPr>
        <w:t>s</w:t>
      </w:r>
      <w:r w:rsidRPr="00C80892">
        <w:rPr>
          <w:rFonts w:ascii="Times New Roman" w:hAnsi="Times New Roman" w:cs="Times New Roman"/>
          <w:sz w:val="24"/>
          <w:szCs w:val="24"/>
        </w:rPr>
        <w:t xml:space="preserve"> a new instrument to support administrative reforms (the system of benchmarks and spending reviews).</w:t>
      </w:r>
    </w:p>
    <w:p w14:paraId="225887B1" w14:textId="360B2C38" w:rsidR="008310A4" w:rsidRPr="00E762D1" w:rsidRDefault="008310A4" w:rsidP="00971A17">
      <w:pPr>
        <w:jc w:val="both"/>
        <w:rPr>
          <w:rFonts w:ascii="Times New Roman" w:eastAsia="Times New Roman" w:hAnsi="Times New Roman" w:cs="Times New Roman"/>
          <w:sz w:val="24"/>
          <w:szCs w:val="24"/>
        </w:rPr>
      </w:pPr>
      <w:r w:rsidRPr="00C80892">
        <w:rPr>
          <w:rFonts w:ascii="Times New Roman" w:hAnsi="Times New Roman" w:cs="Times New Roman"/>
          <w:b/>
          <w:sz w:val="24"/>
          <w:szCs w:val="24"/>
        </w:rPr>
        <w:t xml:space="preserve">One of the key objectives of Fiscal Governance is to ensure sustainable budgets.  </w:t>
      </w:r>
      <w:r w:rsidRPr="00C80892">
        <w:rPr>
          <w:rFonts w:ascii="Times New Roman" w:hAnsi="Times New Roman" w:cs="Times New Roman"/>
          <w:sz w:val="24"/>
          <w:szCs w:val="24"/>
        </w:rPr>
        <w:t xml:space="preserve">The </w:t>
      </w:r>
      <w:r w:rsidR="00971A17">
        <w:rPr>
          <w:rFonts w:ascii="Times New Roman" w:hAnsi="Times New Roman" w:cs="Times New Roman"/>
          <w:sz w:val="24"/>
          <w:szCs w:val="24"/>
        </w:rPr>
        <w:t>Fiscal Governance is the I</w:t>
      </w:r>
      <w:r w:rsidRPr="00C80892">
        <w:rPr>
          <w:rFonts w:ascii="Times New Roman" w:hAnsi="Times New Roman" w:cs="Times New Roman"/>
          <w:sz w:val="24"/>
          <w:szCs w:val="24"/>
        </w:rPr>
        <w:t xml:space="preserve">nternal </w:t>
      </w:r>
      <w:r w:rsidRPr="00971A17">
        <w:rPr>
          <w:rFonts w:ascii="Times New Roman" w:hAnsi="Times New Roman" w:cs="Times New Roman"/>
          <w:sz w:val="24"/>
          <w:szCs w:val="24"/>
        </w:rPr>
        <w:t xml:space="preserve">Stability Pact </w:t>
      </w:r>
      <w:r w:rsidR="00971A17" w:rsidRPr="00971A17">
        <w:rPr>
          <w:rFonts w:ascii="Times New Roman" w:hAnsi="Times New Roman" w:cs="Times New Roman"/>
          <w:sz w:val="24"/>
          <w:szCs w:val="24"/>
        </w:rPr>
        <w:t>for Austria, meant to coordinate the budget policies of different levels of government in Austria. It is an o</w:t>
      </w:r>
      <w:r w:rsidRPr="00971A17">
        <w:rPr>
          <w:rFonts w:ascii="Times New Roman" w:hAnsi="Times New Roman" w:cs="Times New Roman"/>
          <w:color w:val="000000" w:themeColor="text1"/>
          <w:sz w:val="24"/>
          <w:szCs w:val="24"/>
        </w:rPr>
        <w:t>pen-ended treaty (prev</w:t>
      </w:r>
      <w:r w:rsidR="00971A17" w:rsidRPr="00971A17">
        <w:rPr>
          <w:rFonts w:ascii="Times New Roman" w:hAnsi="Times New Roman" w:cs="Times New Roman"/>
          <w:color w:val="000000" w:themeColor="text1"/>
          <w:sz w:val="24"/>
          <w:szCs w:val="24"/>
        </w:rPr>
        <w:t>ious were of limited length of</w:t>
      </w:r>
      <w:r w:rsidRPr="00971A17">
        <w:rPr>
          <w:rFonts w:ascii="Times New Roman" w:hAnsi="Times New Roman" w:cs="Times New Roman"/>
          <w:color w:val="000000" w:themeColor="text1"/>
          <w:sz w:val="24"/>
          <w:szCs w:val="24"/>
        </w:rPr>
        <w:t xml:space="preserve"> 4-6 years), </w:t>
      </w:r>
      <w:r w:rsidR="00971A17" w:rsidRPr="00971A17">
        <w:rPr>
          <w:rFonts w:ascii="Times New Roman" w:hAnsi="Times New Roman" w:cs="Times New Roman"/>
          <w:color w:val="000000" w:themeColor="text1"/>
          <w:sz w:val="24"/>
          <w:szCs w:val="24"/>
        </w:rPr>
        <w:t xml:space="preserve">and in addition to </w:t>
      </w:r>
      <w:r w:rsidRPr="00971A17">
        <w:rPr>
          <w:rFonts w:ascii="Times New Roman" w:hAnsi="Times New Roman" w:cs="Times New Roman"/>
          <w:color w:val="000000" w:themeColor="text1"/>
          <w:sz w:val="24"/>
          <w:szCs w:val="24"/>
        </w:rPr>
        <w:t>b</w:t>
      </w:r>
      <w:r w:rsidRPr="00971A17">
        <w:rPr>
          <w:rFonts w:ascii="Times New Roman" w:eastAsiaTheme="minorEastAsia" w:hAnsi="Times New Roman" w:cs="Times New Roman"/>
          <w:color w:val="000000" w:themeColor="text1"/>
          <w:sz w:val="24"/>
          <w:szCs w:val="24"/>
        </w:rPr>
        <w:t xml:space="preserve">udget </w:t>
      </w:r>
      <w:r w:rsidRPr="00971A17">
        <w:rPr>
          <w:rFonts w:ascii="Times New Roman" w:hAnsi="Times New Roman" w:cs="Times New Roman"/>
          <w:color w:val="000000" w:themeColor="text1"/>
          <w:sz w:val="24"/>
          <w:szCs w:val="24"/>
        </w:rPr>
        <w:t>c</w:t>
      </w:r>
      <w:r w:rsidRPr="00971A17">
        <w:rPr>
          <w:rFonts w:ascii="Times New Roman" w:eastAsiaTheme="minorEastAsia" w:hAnsi="Times New Roman" w:cs="Times New Roman"/>
          <w:color w:val="000000" w:themeColor="text1"/>
          <w:sz w:val="24"/>
          <w:szCs w:val="24"/>
        </w:rPr>
        <w:t>oordination</w:t>
      </w:r>
      <w:r w:rsidRPr="00971A17">
        <w:rPr>
          <w:rFonts w:ascii="Times New Roman" w:hAnsi="Times New Roman" w:cs="Times New Roman"/>
          <w:color w:val="000000" w:themeColor="text1"/>
          <w:sz w:val="24"/>
          <w:szCs w:val="24"/>
        </w:rPr>
        <w:t xml:space="preserve">, </w:t>
      </w:r>
      <w:r w:rsidR="00971A17" w:rsidRPr="00971A17">
        <w:rPr>
          <w:rFonts w:ascii="Times New Roman" w:hAnsi="Times New Roman" w:cs="Times New Roman"/>
          <w:color w:val="000000" w:themeColor="text1"/>
          <w:sz w:val="24"/>
          <w:szCs w:val="24"/>
        </w:rPr>
        <w:t xml:space="preserve">it focuses on </w:t>
      </w:r>
      <w:r w:rsidRPr="00971A17">
        <w:rPr>
          <w:rFonts w:ascii="Times New Roman" w:hAnsi="Times New Roman" w:cs="Times New Roman"/>
          <w:color w:val="000000" w:themeColor="text1"/>
          <w:sz w:val="24"/>
          <w:szCs w:val="24"/>
        </w:rPr>
        <w:t>m</w:t>
      </w:r>
      <w:r w:rsidRPr="00971A17">
        <w:rPr>
          <w:rFonts w:ascii="Times New Roman" w:eastAsiaTheme="minorEastAsia" w:hAnsi="Times New Roman" w:cs="Times New Roman"/>
          <w:color w:val="000000" w:themeColor="text1"/>
          <w:sz w:val="24"/>
          <w:szCs w:val="24"/>
        </w:rPr>
        <w:t>edium-term orientation of budget policy</w:t>
      </w:r>
      <w:r w:rsidR="00971A17">
        <w:rPr>
          <w:rFonts w:ascii="Times New Roman" w:hAnsi="Times New Roman" w:cs="Times New Roman"/>
          <w:color w:val="000000" w:themeColor="text1"/>
          <w:sz w:val="24"/>
          <w:szCs w:val="24"/>
        </w:rPr>
        <w:t xml:space="preserve"> and regulates the n</w:t>
      </w:r>
      <w:r w:rsidRPr="00971A17">
        <w:rPr>
          <w:rFonts w:ascii="Times New Roman" w:eastAsiaTheme="minorEastAsia" w:hAnsi="Times New Roman" w:cs="Times New Roman"/>
          <w:color w:val="000000" w:themeColor="text1"/>
          <w:sz w:val="24"/>
          <w:szCs w:val="24"/>
        </w:rPr>
        <w:t>ationwide Fiscal Council,</w:t>
      </w:r>
      <w:r w:rsidR="00971A17">
        <w:rPr>
          <w:rFonts w:ascii="Times New Roman" w:eastAsiaTheme="minorEastAsia" w:hAnsi="Times New Roman" w:cs="Times New Roman"/>
          <w:color w:val="000000" w:themeColor="text1"/>
          <w:sz w:val="24"/>
          <w:szCs w:val="24"/>
        </w:rPr>
        <w:t xml:space="preserve"> as well as the system of multiple fiscal rules and sanctions.</w:t>
      </w:r>
      <w:r w:rsidRPr="00C80892">
        <w:rPr>
          <w:rFonts w:ascii="Times New Roman" w:hAnsi="Times New Roman" w:cs="Times New Roman"/>
          <w:color w:val="000000" w:themeColor="text1"/>
          <w:sz w:val="24"/>
          <w:szCs w:val="24"/>
        </w:rPr>
        <w:t xml:space="preserve"> The Pact targets ambitious deficit, </w:t>
      </w:r>
      <w:r w:rsidRPr="00C80892">
        <w:rPr>
          <w:rFonts w:ascii="Times New Roman" w:eastAsia="Times New Roman" w:hAnsi="Times New Roman" w:cs="Times New Roman"/>
          <w:sz w:val="24"/>
          <w:szCs w:val="24"/>
        </w:rPr>
        <w:t>converging towards a balanced Maastricht-budgetary position of general government in 2016. It provides s</w:t>
      </w:r>
      <w:r w:rsidRPr="00A15A8F">
        <w:rPr>
          <w:rFonts w:ascii="Times New Roman" w:eastAsia="Times New Roman" w:hAnsi="Times New Roman" w:cs="Times New Roman"/>
          <w:bCs/>
          <w:sz w:val="24"/>
          <w:szCs w:val="24"/>
        </w:rPr>
        <w:t xml:space="preserve">tructural balance rules </w:t>
      </w:r>
      <w:r w:rsidRPr="00A15A8F">
        <w:rPr>
          <w:rFonts w:ascii="Times New Roman" w:eastAsia="Times New Roman" w:hAnsi="Times New Roman" w:cs="Times New Roman"/>
          <w:sz w:val="24"/>
          <w:szCs w:val="24"/>
        </w:rPr>
        <w:t>for all levels of governme</w:t>
      </w:r>
      <w:r w:rsidRPr="00C80892">
        <w:rPr>
          <w:rFonts w:ascii="Times New Roman" w:eastAsia="Times New Roman" w:hAnsi="Times New Roman" w:cs="Times New Roman"/>
          <w:sz w:val="24"/>
          <w:szCs w:val="24"/>
        </w:rPr>
        <w:t xml:space="preserve">nt </w:t>
      </w:r>
      <w:r w:rsidRPr="00A15A8F">
        <w:rPr>
          <w:rFonts w:ascii="Times New Roman" w:eastAsia="Times New Roman" w:hAnsi="Times New Roman" w:cs="Times New Roman"/>
          <w:sz w:val="24"/>
          <w:szCs w:val="24"/>
        </w:rPr>
        <w:t>on</w:t>
      </w:r>
      <w:r w:rsidRPr="00C80892">
        <w:rPr>
          <w:rFonts w:ascii="Times New Roman" w:eastAsia="Times New Roman" w:hAnsi="Times New Roman" w:cs="Times New Roman"/>
          <w:sz w:val="24"/>
          <w:szCs w:val="24"/>
        </w:rPr>
        <w:t xml:space="preserve"> </w:t>
      </w:r>
      <w:r w:rsidRPr="00A15A8F">
        <w:rPr>
          <w:rFonts w:ascii="Times New Roman" w:eastAsia="Times New Roman" w:hAnsi="Times New Roman" w:cs="Times New Roman"/>
          <w:sz w:val="24"/>
          <w:szCs w:val="24"/>
        </w:rPr>
        <w:t>limit of general government structural deficit of - 0.45% of GDP in line with the medium-term objective (</w:t>
      </w:r>
      <w:r w:rsidR="00971A17">
        <w:rPr>
          <w:rFonts w:ascii="Times New Roman" w:eastAsia="Times New Roman" w:hAnsi="Times New Roman" w:cs="Times New Roman"/>
          <w:sz w:val="24"/>
          <w:szCs w:val="24"/>
        </w:rPr>
        <w:t>-</w:t>
      </w:r>
      <w:r w:rsidRPr="00A15A8F">
        <w:rPr>
          <w:rFonts w:ascii="Times New Roman" w:eastAsia="Times New Roman" w:hAnsi="Times New Roman" w:cs="Times New Roman"/>
          <w:sz w:val="24"/>
          <w:szCs w:val="24"/>
        </w:rPr>
        <w:t>0.35%</w:t>
      </w:r>
      <w:r w:rsidR="00AB2C3F">
        <w:rPr>
          <w:rFonts w:ascii="Times New Roman" w:eastAsia="Times New Roman" w:hAnsi="Times New Roman" w:cs="Times New Roman"/>
          <w:sz w:val="24"/>
          <w:szCs w:val="24"/>
        </w:rPr>
        <w:t xml:space="preserve"> for</w:t>
      </w:r>
      <w:r w:rsidRPr="00A15A8F">
        <w:rPr>
          <w:rFonts w:ascii="Times New Roman" w:eastAsia="Times New Roman" w:hAnsi="Times New Roman" w:cs="Times New Roman"/>
          <w:sz w:val="24"/>
          <w:szCs w:val="24"/>
        </w:rPr>
        <w:t xml:space="preserve"> central government</w:t>
      </w:r>
      <w:r w:rsidR="00AB2C3F">
        <w:rPr>
          <w:rFonts w:ascii="Times New Roman" w:eastAsia="Times New Roman" w:hAnsi="Times New Roman" w:cs="Times New Roman"/>
          <w:sz w:val="24"/>
          <w:szCs w:val="24"/>
        </w:rPr>
        <w:t xml:space="preserve"> and </w:t>
      </w:r>
      <w:r w:rsidR="00971A17">
        <w:rPr>
          <w:rFonts w:ascii="Times New Roman" w:eastAsia="Times New Roman" w:hAnsi="Times New Roman" w:cs="Times New Roman"/>
          <w:sz w:val="24"/>
          <w:szCs w:val="24"/>
        </w:rPr>
        <w:t>-</w:t>
      </w:r>
      <w:r w:rsidRPr="00A15A8F">
        <w:rPr>
          <w:rFonts w:ascii="Times New Roman" w:eastAsia="Times New Roman" w:hAnsi="Times New Roman" w:cs="Times New Roman"/>
          <w:sz w:val="24"/>
          <w:szCs w:val="24"/>
        </w:rPr>
        <w:t xml:space="preserve">0.1% </w:t>
      </w:r>
      <w:r w:rsidR="00AB2C3F">
        <w:rPr>
          <w:rFonts w:ascii="Times New Roman" w:eastAsia="Times New Roman" w:hAnsi="Times New Roman" w:cs="Times New Roman"/>
          <w:sz w:val="24"/>
          <w:szCs w:val="24"/>
        </w:rPr>
        <w:t xml:space="preserve">for </w:t>
      </w:r>
      <w:r w:rsidRPr="00A15A8F">
        <w:rPr>
          <w:rFonts w:ascii="Times New Roman" w:eastAsia="Times New Roman" w:hAnsi="Times New Roman" w:cs="Times New Roman"/>
          <w:sz w:val="24"/>
          <w:szCs w:val="24"/>
        </w:rPr>
        <w:t xml:space="preserve">states </w:t>
      </w:r>
      <w:r w:rsidR="00AB2C3F">
        <w:rPr>
          <w:rFonts w:ascii="Times New Roman" w:eastAsia="Times New Roman" w:hAnsi="Times New Roman" w:cs="Times New Roman"/>
          <w:sz w:val="24"/>
          <w:szCs w:val="24"/>
        </w:rPr>
        <w:t>and</w:t>
      </w:r>
      <w:r w:rsidRPr="00A15A8F">
        <w:rPr>
          <w:rFonts w:ascii="Times New Roman" w:eastAsia="Times New Roman" w:hAnsi="Times New Roman" w:cs="Times New Roman"/>
          <w:sz w:val="24"/>
          <w:szCs w:val="24"/>
        </w:rPr>
        <w:t xml:space="preserve"> municipalities)</w:t>
      </w:r>
      <w:r w:rsidRPr="00C80892">
        <w:rPr>
          <w:rFonts w:ascii="Times New Roman" w:eastAsia="Times New Roman" w:hAnsi="Times New Roman" w:cs="Times New Roman"/>
          <w:sz w:val="24"/>
          <w:szCs w:val="24"/>
        </w:rPr>
        <w:t>.</w:t>
      </w:r>
      <w:r w:rsidRPr="00A15A8F">
        <w:rPr>
          <w:rFonts w:ascii="Times New Roman" w:eastAsia="Times New Roman" w:hAnsi="Times New Roman" w:cs="Times New Roman"/>
          <w:sz w:val="24"/>
          <w:szCs w:val="24"/>
        </w:rPr>
        <w:t xml:space="preserve"> </w:t>
      </w:r>
      <w:r w:rsidRPr="00C80892">
        <w:rPr>
          <w:rFonts w:ascii="Times New Roman" w:eastAsia="Times New Roman" w:hAnsi="Times New Roman" w:cs="Times New Roman"/>
          <w:sz w:val="24"/>
          <w:szCs w:val="24"/>
        </w:rPr>
        <w:t xml:space="preserve">According to the Pact’s </w:t>
      </w:r>
      <w:r w:rsidRPr="00A15A8F">
        <w:rPr>
          <w:rFonts w:ascii="Times New Roman" w:eastAsia="Times New Roman" w:hAnsi="Times New Roman" w:cs="Times New Roman"/>
          <w:bCs/>
          <w:sz w:val="24"/>
          <w:szCs w:val="24"/>
        </w:rPr>
        <w:t>Expenditure Rule</w:t>
      </w:r>
      <w:r w:rsidRPr="00C80892">
        <w:rPr>
          <w:rFonts w:ascii="Times New Roman" w:eastAsia="Times New Roman" w:hAnsi="Times New Roman" w:cs="Times New Roman"/>
          <w:bCs/>
          <w:sz w:val="24"/>
          <w:szCs w:val="24"/>
        </w:rPr>
        <w:t xml:space="preserve">, </w:t>
      </w:r>
      <w:r w:rsidRPr="00A15A8F">
        <w:rPr>
          <w:rFonts w:ascii="Times New Roman" w:eastAsia="Times New Roman" w:hAnsi="Times New Roman" w:cs="Times New Roman"/>
          <w:sz w:val="24"/>
          <w:szCs w:val="24"/>
        </w:rPr>
        <w:t>annual expenditure growth of all governments must not exceed a rate below a reference medium-term rate of potential GDP growth</w:t>
      </w:r>
      <w:r w:rsidRPr="00C80892">
        <w:rPr>
          <w:rFonts w:ascii="Times New Roman" w:eastAsia="Times New Roman" w:hAnsi="Times New Roman" w:cs="Times New Roman"/>
          <w:sz w:val="24"/>
          <w:szCs w:val="24"/>
        </w:rPr>
        <w:t xml:space="preserve">. </w:t>
      </w:r>
    </w:p>
    <w:p w14:paraId="03175488" w14:textId="558D5ADA" w:rsidR="006B6752" w:rsidRPr="00AA75CD" w:rsidRDefault="006B6752" w:rsidP="00AA75CD">
      <w:pPr>
        <w:pStyle w:val="Heading1"/>
        <w:numPr>
          <w:ilvl w:val="0"/>
          <w:numId w:val="36"/>
        </w:numPr>
        <w:rPr>
          <w:rFonts w:ascii="Times New Roman" w:eastAsia="Times New Roman" w:hAnsi="Times New Roman" w:cs="Times New Roman"/>
          <w:b/>
          <w:sz w:val="24"/>
          <w:szCs w:val="24"/>
          <w:lang w:eastAsia="bs-Latn-BA"/>
        </w:rPr>
      </w:pPr>
      <w:bookmarkStart w:id="9" w:name="_Toc511655353"/>
      <w:r w:rsidRPr="00AA75CD">
        <w:rPr>
          <w:rFonts w:ascii="Times New Roman" w:eastAsia="Times New Roman" w:hAnsi="Times New Roman" w:cs="Times New Roman"/>
          <w:b/>
          <w:sz w:val="24"/>
          <w:szCs w:val="24"/>
          <w:lang w:eastAsia="bs-Latn-BA"/>
        </w:rPr>
        <w:t xml:space="preserve">Day Two – </w:t>
      </w:r>
      <w:r w:rsidR="00971A17" w:rsidRPr="00AA75CD">
        <w:rPr>
          <w:rFonts w:ascii="Times New Roman" w:eastAsia="Times New Roman" w:hAnsi="Times New Roman" w:cs="Times New Roman"/>
          <w:b/>
          <w:sz w:val="24"/>
          <w:szCs w:val="24"/>
          <w:lang w:eastAsia="bs-Latn-BA"/>
        </w:rPr>
        <w:t xml:space="preserve">Hosted by </w:t>
      </w:r>
      <w:r w:rsidR="00AB2C3F" w:rsidRPr="00AA75CD">
        <w:rPr>
          <w:rFonts w:ascii="Times New Roman" w:eastAsia="Times New Roman" w:hAnsi="Times New Roman" w:cs="Times New Roman"/>
          <w:b/>
          <w:sz w:val="24"/>
          <w:szCs w:val="24"/>
          <w:lang w:eastAsia="bs-Latn-BA"/>
        </w:rPr>
        <w:t xml:space="preserve">the </w:t>
      </w:r>
      <w:r w:rsidR="00971A17" w:rsidRPr="00AA75CD">
        <w:rPr>
          <w:rFonts w:ascii="Times New Roman" w:eastAsia="Times New Roman" w:hAnsi="Times New Roman" w:cs="Times New Roman"/>
          <w:b/>
          <w:sz w:val="24"/>
          <w:szCs w:val="24"/>
          <w:lang w:eastAsia="bs-Latn-BA"/>
        </w:rPr>
        <w:t xml:space="preserve">Program and Performance Budgeting Working Group (PPBWG), with </w:t>
      </w:r>
      <w:r w:rsidR="00043BA1" w:rsidRPr="00AA75CD">
        <w:rPr>
          <w:rFonts w:ascii="Times New Roman" w:eastAsia="Times New Roman" w:hAnsi="Times New Roman" w:cs="Times New Roman"/>
          <w:b/>
          <w:sz w:val="24"/>
          <w:szCs w:val="24"/>
          <w:lang w:eastAsia="bs-Latn-BA"/>
        </w:rPr>
        <w:t xml:space="preserve">the </w:t>
      </w:r>
      <w:r w:rsidR="00971A17" w:rsidRPr="00AA75CD">
        <w:rPr>
          <w:rFonts w:ascii="Times New Roman" w:eastAsia="Times New Roman" w:hAnsi="Times New Roman" w:cs="Times New Roman"/>
          <w:b/>
          <w:sz w:val="24"/>
          <w:szCs w:val="24"/>
          <w:lang w:eastAsia="bs-Latn-BA"/>
        </w:rPr>
        <w:t>Focus on Performance Indicators</w:t>
      </w:r>
      <w:bookmarkEnd w:id="9"/>
    </w:p>
    <w:p w14:paraId="24A04A42" w14:textId="1ADB2B5B" w:rsidR="00264C51" w:rsidRDefault="00971A17" w:rsidP="00264C51">
      <w:pPr>
        <w:pStyle w:val="NoSpacing"/>
        <w:jc w:val="both"/>
        <w:rPr>
          <w:rFonts w:ascii="Times New Roman" w:eastAsiaTheme="minorEastAsia" w:hAnsi="Times New Roman" w:cs="Times New Roman"/>
          <w:sz w:val="24"/>
          <w:szCs w:val="24"/>
        </w:rPr>
      </w:pPr>
      <w:r w:rsidRPr="00264C51">
        <w:rPr>
          <w:rFonts w:ascii="Times New Roman" w:hAnsi="Times New Roman" w:cs="Times New Roman"/>
          <w:b/>
          <w:sz w:val="24"/>
          <w:szCs w:val="24"/>
        </w:rPr>
        <w:t>The PPBW</w:t>
      </w:r>
      <w:r w:rsidR="00264C51">
        <w:rPr>
          <w:rFonts w:ascii="Times New Roman" w:hAnsi="Times New Roman" w:cs="Times New Roman"/>
          <w:b/>
          <w:sz w:val="24"/>
          <w:szCs w:val="24"/>
        </w:rPr>
        <w:t>G</w:t>
      </w:r>
      <w:r w:rsidRPr="00264C51">
        <w:rPr>
          <w:rFonts w:ascii="Times New Roman" w:hAnsi="Times New Roman" w:cs="Times New Roman"/>
          <w:b/>
          <w:sz w:val="24"/>
          <w:szCs w:val="24"/>
        </w:rPr>
        <w:t xml:space="preserve"> Lead, Nikolay Begchin, </w:t>
      </w:r>
      <w:r w:rsidR="00A43024" w:rsidRPr="00264C51">
        <w:rPr>
          <w:rFonts w:ascii="Times New Roman" w:hAnsi="Times New Roman" w:cs="Times New Roman"/>
          <w:b/>
          <w:sz w:val="24"/>
          <w:szCs w:val="24"/>
        </w:rPr>
        <w:t xml:space="preserve">provided an overview of the progress of the </w:t>
      </w:r>
      <w:r w:rsidRPr="00264C51">
        <w:rPr>
          <w:rFonts w:ascii="Times New Roman" w:hAnsi="Times New Roman" w:cs="Times New Roman"/>
          <w:b/>
          <w:sz w:val="24"/>
          <w:szCs w:val="24"/>
        </w:rPr>
        <w:t>G</w:t>
      </w:r>
      <w:r w:rsidR="00A43024" w:rsidRPr="00264C51">
        <w:rPr>
          <w:rFonts w:ascii="Times New Roman" w:hAnsi="Times New Roman" w:cs="Times New Roman"/>
          <w:b/>
          <w:sz w:val="24"/>
          <w:szCs w:val="24"/>
        </w:rPr>
        <w:t>roup</w:t>
      </w:r>
      <w:r w:rsidR="00F921CD" w:rsidRPr="00264C51">
        <w:rPr>
          <w:rFonts w:ascii="Times New Roman" w:hAnsi="Times New Roman" w:cs="Times New Roman"/>
          <w:b/>
          <w:sz w:val="24"/>
          <w:szCs w:val="24"/>
        </w:rPr>
        <w:t xml:space="preserve"> and its future plans. </w:t>
      </w:r>
      <w:r w:rsidR="00370D5B" w:rsidRPr="00370D5B">
        <w:rPr>
          <w:rFonts w:ascii="Times New Roman" w:hAnsi="Times New Roman" w:cs="Times New Roman"/>
          <w:sz w:val="24"/>
          <w:szCs w:val="24"/>
        </w:rPr>
        <w:t>After briefly reminding</w:t>
      </w:r>
      <w:r w:rsidR="00370D5B">
        <w:rPr>
          <w:rFonts w:ascii="Times New Roman" w:hAnsi="Times New Roman" w:cs="Times New Roman"/>
          <w:sz w:val="24"/>
          <w:szCs w:val="24"/>
        </w:rPr>
        <w:t xml:space="preserve"> the</w:t>
      </w:r>
      <w:r w:rsidR="00370D5B" w:rsidRPr="00370D5B">
        <w:rPr>
          <w:rFonts w:ascii="Times New Roman" w:hAnsi="Times New Roman" w:cs="Times New Roman"/>
          <w:sz w:val="24"/>
          <w:szCs w:val="24"/>
        </w:rPr>
        <w:t xml:space="preserve"> participants about the 2016 activities of the PPBWG, he focused on activities since la</w:t>
      </w:r>
      <w:r w:rsidR="00370D5B">
        <w:rPr>
          <w:rFonts w:ascii="Times New Roman" w:hAnsi="Times New Roman" w:cs="Times New Roman"/>
          <w:sz w:val="24"/>
          <w:szCs w:val="24"/>
        </w:rPr>
        <w:t xml:space="preserve">st plenary </w:t>
      </w:r>
      <w:r w:rsidR="00370D5B" w:rsidRPr="00370D5B">
        <w:rPr>
          <w:rFonts w:ascii="Times New Roman" w:hAnsi="Times New Roman" w:cs="Times New Roman"/>
          <w:sz w:val="24"/>
          <w:szCs w:val="24"/>
        </w:rPr>
        <w:t>meeting.</w:t>
      </w:r>
      <w:r w:rsidR="00370D5B">
        <w:rPr>
          <w:rFonts w:ascii="Times New Roman" w:hAnsi="Times New Roman" w:cs="Times New Roman"/>
          <w:b/>
          <w:sz w:val="24"/>
          <w:szCs w:val="24"/>
        </w:rPr>
        <w:t xml:space="preserve"> </w:t>
      </w:r>
      <w:r w:rsidR="00F921CD" w:rsidRPr="00264C51">
        <w:rPr>
          <w:rFonts w:ascii="Times New Roman" w:hAnsi="Times New Roman" w:cs="Times New Roman"/>
          <w:sz w:val="24"/>
          <w:szCs w:val="24"/>
        </w:rPr>
        <w:t>The Group p</w:t>
      </w:r>
      <w:r w:rsidR="00F921CD" w:rsidRPr="00264C51">
        <w:rPr>
          <w:rFonts w:ascii="Times New Roman" w:eastAsia="Times New Roman" w:hAnsi="Times New Roman" w:cs="Times New Roman"/>
          <w:sz w:val="24"/>
          <w:szCs w:val="24"/>
        </w:rPr>
        <w:t>resented the findings of the 2016 OECD-PEMPAL Performance Budgeting Survey at the OECD CESEE SBO meeting in Paris</w:t>
      </w:r>
      <w:r w:rsidR="00F921CD" w:rsidRPr="00264C51">
        <w:rPr>
          <w:rFonts w:ascii="Times New Roman" w:hAnsi="Times New Roman" w:cs="Times New Roman"/>
          <w:sz w:val="24"/>
          <w:szCs w:val="24"/>
        </w:rPr>
        <w:t xml:space="preserve"> in July 2017, p</w:t>
      </w:r>
      <w:r w:rsidR="00F921CD" w:rsidRPr="00264C51">
        <w:rPr>
          <w:rFonts w:ascii="Times New Roman" w:eastAsia="Times New Roman" w:hAnsi="Times New Roman" w:cs="Times New Roman"/>
          <w:sz w:val="24"/>
          <w:szCs w:val="24"/>
        </w:rPr>
        <w:t xml:space="preserve">articipated at the OECD CESEE SBO sessions on spending reviews and on draft </w:t>
      </w:r>
      <w:r w:rsidR="00F921CD" w:rsidRPr="00AC5D9F">
        <w:rPr>
          <w:rFonts w:ascii="Times New Roman" w:eastAsia="Times New Roman" w:hAnsi="Times New Roman" w:cs="Times New Roman"/>
          <w:i/>
          <w:sz w:val="24"/>
          <w:szCs w:val="24"/>
        </w:rPr>
        <w:t>OECD Best Prac</w:t>
      </w:r>
      <w:r w:rsidR="00F921CD" w:rsidRPr="00AC5D9F">
        <w:rPr>
          <w:rFonts w:ascii="Times New Roman" w:hAnsi="Times New Roman" w:cs="Times New Roman"/>
          <w:i/>
          <w:sz w:val="24"/>
          <w:szCs w:val="24"/>
        </w:rPr>
        <w:t>tices for Performance Budgeting</w:t>
      </w:r>
      <w:r w:rsidR="00F921CD" w:rsidRPr="00264C51">
        <w:rPr>
          <w:rFonts w:ascii="Times New Roman" w:hAnsi="Times New Roman" w:cs="Times New Roman"/>
          <w:sz w:val="24"/>
          <w:szCs w:val="24"/>
        </w:rPr>
        <w:t>, and d</w:t>
      </w:r>
      <w:r w:rsidR="00F921CD" w:rsidRPr="00264C51">
        <w:rPr>
          <w:rFonts w:ascii="Times New Roman" w:eastAsia="Times New Roman" w:hAnsi="Times New Roman" w:cs="Times New Roman"/>
          <w:sz w:val="24"/>
          <w:szCs w:val="24"/>
        </w:rPr>
        <w:t>ecided to work on knowledge res</w:t>
      </w:r>
      <w:r w:rsidR="00F921CD" w:rsidRPr="00264C51">
        <w:rPr>
          <w:rFonts w:ascii="Times New Roman" w:hAnsi="Times New Roman" w:cs="Times New Roman"/>
          <w:sz w:val="24"/>
          <w:szCs w:val="24"/>
        </w:rPr>
        <w:t>ource on performance indicators. Consequently, in Summer 2017, the Group collected and analyzed</w:t>
      </w:r>
      <w:r w:rsidR="00F921CD" w:rsidRPr="00264C51">
        <w:rPr>
          <w:rFonts w:ascii="Times New Roman" w:eastAsia="Times New Roman" w:hAnsi="Times New Roman" w:cs="Times New Roman"/>
          <w:sz w:val="24"/>
          <w:szCs w:val="24"/>
        </w:rPr>
        <w:t xml:space="preserve"> comprehensive full sets/examples of performance indic</w:t>
      </w:r>
      <w:r w:rsidR="00F921CD" w:rsidRPr="00264C51">
        <w:rPr>
          <w:rFonts w:ascii="Times New Roman" w:hAnsi="Times New Roman" w:cs="Times New Roman"/>
          <w:sz w:val="24"/>
          <w:szCs w:val="24"/>
        </w:rPr>
        <w:t>ators from nine PPBWG countries. In September 2017, a video working session was held at which the Group a</w:t>
      </w:r>
      <w:r w:rsidR="00F921CD" w:rsidRPr="00264C51">
        <w:rPr>
          <w:rFonts w:ascii="Times New Roman" w:eastAsia="Times New Roman" w:hAnsi="Times New Roman" w:cs="Times New Roman"/>
          <w:sz w:val="24"/>
          <w:szCs w:val="24"/>
        </w:rPr>
        <w:t>greed on the 10 criteria for r</w:t>
      </w:r>
      <w:r w:rsidR="00F921CD" w:rsidRPr="00264C51">
        <w:rPr>
          <w:rFonts w:ascii="Times New Roman" w:hAnsi="Times New Roman" w:cs="Times New Roman"/>
          <w:sz w:val="24"/>
          <w:szCs w:val="24"/>
        </w:rPr>
        <w:t>eview of PIs in PEMPAL countries, e</w:t>
      </w:r>
      <w:r w:rsidR="00F921CD" w:rsidRPr="00264C51">
        <w:rPr>
          <w:rFonts w:ascii="Times New Roman" w:eastAsia="Times New Roman" w:hAnsi="Times New Roman" w:cs="Times New Roman"/>
          <w:sz w:val="24"/>
          <w:szCs w:val="24"/>
        </w:rPr>
        <w:t>ach country prese</w:t>
      </w:r>
      <w:r w:rsidR="00F921CD" w:rsidRPr="00264C51">
        <w:rPr>
          <w:rFonts w:ascii="Times New Roman" w:hAnsi="Times New Roman" w:cs="Times New Roman"/>
          <w:sz w:val="24"/>
          <w:szCs w:val="24"/>
        </w:rPr>
        <w:t xml:space="preserve">nted against these 10 criteria, and discussion was held on initial summary findings. Moreover, the Group decided </w:t>
      </w:r>
      <w:r w:rsidR="00F921CD" w:rsidRPr="00264C51">
        <w:rPr>
          <w:rFonts w:ascii="Times New Roman" w:eastAsia="Times New Roman" w:hAnsi="Times New Roman" w:cs="Times New Roman"/>
          <w:sz w:val="24"/>
          <w:szCs w:val="24"/>
        </w:rPr>
        <w:t xml:space="preserve">to also further focus the review on PIs in the </w:t>
      </w:r>
      <w:r w:rsidR="00F921CD" w:rsidRPr="00264C51">
        <w:rPr>
          <w:rFonts w:ascii="Times New Roman" w:hAnsi="Times New Roman" w:cs="Times New Roman"/>
          <w:sz w:val="24"/>
          <w:szCs w:val="24"/>
        </w:rPr>
        <w:t>sectors of health and education. In October-November 2017, performance indicators (</w:t>
      </w:r>
      <w:r w:rsidR="00F921CD" w:rsidRPr="00264C51">
        <w:rPr>
          <w:rFonts w:ascii="Times New Roman" w:eastAsia="Times New Roman" w:hAnsi="Times New Roman" w:cs="Times New Roman"/>
          <w:sz w:val="24"/>
          <w:szCs w:val="24"/>
        </w:rPr>
        <w:t>PIs</w:t>
      </w:r>
      <w:r w:rsidR="00F921CD" w:rsidRPr="00264C51">
        <w:rPr>
          <w:rFonts w:ascii="Times New Roman" w:hAnsi="Times New Roman" w:cs="Times New Roman"/>
          <w:sz w:val="24"/>
          <w:szCs w:val="24"/>
        </w:rPr>
        <w:t>)</w:t>
      </w:r>
      <w:r w:rsidR="00F921CD" w:rsidRPr="00264C51">
        <w:rPr>
          <w:rFonts w:ascii="Times New Roman" w:eastAsia="Times New Roman" w:hAnsi="Times New Roman" w:cs="Times New Roman"/>
          <w:sz w:val="24"/>
          <w:szCs w:val="24"/>
        </w:rPr>
        <w:t xml:space="preserve"> in the sectors of health and education </w:t>
      </w:r>
      <w:r w:rsidR="00F921CD" w:rsidRPr="00264C51">
        <w:rPr>
          <w:rFonts w:ascii="Times New Roman" w:hAnsi="Times New Roman" w:cs="Times New Roman"/>
          <w:sz w:val="24"/>
          <w:szCs w:val="24"/>
        </w:rPr>
        <w:t xml:space="preserve">were collected and analyzed and a </w:t>
      </w:r>
      <w:r w:rsidR="00F921CD" w:rsidRPr="00264C51">
        <w:rPr>
          <w:rFonts w:ascii="Times New Roman" w:eastAsia="Times New Roman" w:hAnsi="Times New Roman" w:cs="Times New Roman"/>
          <w:sz w:val="24"/>
          <w:szCs w:val="24"/>
        </w:rPr>
        <w:t>comprehensive presentation on PI review based on 10 criteria and more detailed review of health and education PIs and solicited comments from PPBWG</w:t>
      </w:r>
      <w:r w:rsidR="00F921CD" w:rsidRPr="00264C51">
        <w:rPr>
          <w:rFonts w:ascii="Times New Roman" w:hAnsi="Times New Roman" w:cs="Times New Roman"/>
          <w:sz w:val="24"/>
          <w:szCs w:val="24"/>
        </w:rPr>
        <w:t xml:space="preserve"> was prepared. A small BCOP delegation attended the meeting of the OECD’s Network for Performance and Results in November 2017. The Group p</w:t>
      </w:r>
      <w:r w:rsidR="00F921CD" w:rsidRPr="00264C51">
        <w:rPr>
          <w:rFonts w:ascii="Times New Roman" w:eastAsia="Times New Roman" w:hAnsi="Times New Roman" w:cs="Times New Roman"/>
          <w:sz w:val="24"/>
          <w:szCs w:val="24"/>
        </w:rPr>
        <w:t>resented summary findings of the PI review</w:t>
      </w:r>
      <w:r w:rsidR="00314013" w:rsidRPr="00264C51">
        <w:rPr>
          <w:rFonts w:ascii="Times New Roman" w:hAnsi="Times New Roman" w:cs="Times New Roman"/>
          <w:sz w:val="24"/>
          <w:szCs w:val="24"/>
        </w:rPr>
        <w:t xml:space="preserve">, as well as </w:t>
      </w:r>
      <w:r w:rsidR="00314013" w:rsidRPr="00264C51">
        <w:rPr>
          <w:rFonts w:ascii="Times New Roman" w:hAnsi="Times New Roman" w:cs="Times New Roman"/>
          <w:sz w:val="24"/>
          <w:szCs w:val="24"/>
        </w:rPr>
        <w:lastRenderedPageBreak/>
        <w:t>the c</w:t>
      </w:r>
      <w:r w:rsidR="00F921CD" w:rsidRPr="00264C51">
        <w:rPr>
          <w:rFonts w:ascii="Times New Roman" w:eastAsia="Times New Roman" w:hAnsi="Times New Roman" w:cs="Times New Roman"/>
          <w:sz w:val="24"/>
          <w:szCs w:val="24"/>
        </w:rPr>
        <w:t>ou</w:t>
      </w:r>
      <w:r w:rsidR="00314013" w:rsidRPr="00264C51">
        <w:rPr>
          <w:rFonts w:ascii="Times New Roman" w:hAnsi="Times New Roman" w:cs="Times New Roman"/>
          <w:sz w:val="24"/>
          <w:szCs w:val="24"/>
        </w:rPr>
        <w:t>ntry case of Russian Federation, and also p</w:t>
      </w:r>
      <w:r w:rsidR="00F921CD" w:rsidRPr="00264C51">
        <w:rPr>
          <w:rFonts w:ascii="Times New Roman" w:eastAsia="Times New Roman" w:hAnsi="Times New Roman" w:cs="Times New Roman"/>
          <w:sz w:val="24"/>
          <w:szCs w:val="24"/>
        </w:rPr>
        <w:t>articipated and contributed to Network’s working sessions to provide inputs on OECD’s Best Practices in Performance Budgeting</w:t>
      </w:r>
      <w:r w:rsidR="00314013" w:rsidRPr="00264C51">
        <w:rPr>
          <w:rFonts w:ascii="Times New Roman" w:hAnsi="Times New Roman" w:cs="Times New Roman"/>
          <w:sz w:val="24"/>
          <w:szCs w:val="24"/>
        </w:rPr>
        <w:t>. In Winter of 2017/2018, the Group prepared t</w:t>
      </w:r>
      <w:r w:rsidR="00314013" w:rsidRPr="00264C51">
        <w:rPr>
          <w:rFonts w:ascii="Times New Roman" w:eastAsia="Times New Roman" w:hAnsi="Times New Roman" w:cs="Times New Roman"/>
          <w:sz w:val="24"/>
          <w:szCs w:val="24"/>
        </w:rPr>
        <w:t>he draft formal version of the PPBWG’</w:t>
      </w:r>
      <w:r w:rsidR="00314013" w:rsidRPr="00264C51">
        <w:rPr>
          <w:rFonts w:ascii="Times New Roman" w:hAnsi="Times New Roman" w:cs="Times New Roman"/>
          <w:sz w:val="24"/>
          <w:szCs w:val="24"/>
        </w:rPr>
        <w:t>s knowledge product – report on</w:t>
      </w:r>
      <w:r w:rsidR="00314013" w:rsidRPr="00264C51">
        <w:rPr>
          <w:rFonts w:ascii="Times New Roman" w:eastAsia="Times New Roman" w:hAnsi="Times New Roman" w:cs="Times New Roman"/>
          <w:sz w:val="24"/>
          <w:szCs w:val="24"/>
        </w:rPr>
        <w:t xml:space="preserve"> </w:t>
      </w:r>
      <w:r w:rsidR="00314013" w:rsidRPr="00AC5D9F">
        <w:rPr>
          <w:rFonts w:ascii="Times New Roman" w:eastAsia="Times New Roman" w:hAnsi="Times New Roman" w:cs="Times New Roman"/>
          <w:i/>
          <w:sz w:val="24"/>
          <w:szCs w:val="24"/>
        </w:rPr>
        <w:t>Performance Indicators in PEMPAL C</w:t>
      </w:r>
      <w:r w:rsidR="00314013" w:rsidRPr="00AC5D9F">
        <w:rPr>
          <w:rFonts w:ascii="Times New Roman" w:hAnsi="Times New Roman" w:cs="Times New Roman"/>
          <w:i/>
          <w:sz w:val="24"/>
          <w:szCs w:val="24"/>
        </w:rPr>
        <w:t>ountries: Trends and Challenges</w:t>
      </w:r>
      <w:r w:rsidR="00314013" w:rsidRPr="00264C51">
        <w:rPr>
          <w:rFonts w:ascii="Times New Roman" w:hAnsi="Times New Roman" w:cs="Times New Roman"/>
          <w:sz w:val="24"/>
          <w:szCs w:val="24"/>
        </w:rPr>
        <w:t>, which is</w:t>
      </w:r>
      <w:r w:rsidR="00314013" w:rsidRPr="00264C51">
        <w:rPr>
          <w:rFonts w:ascii="Times New Roman" w:eastAsia="Times New Roman" w:hAnsi="Times New Roman" w:cs="Times New Roman"/>
          <w:sz w:val="24"/>
          <w:szCs w:val="24"/>
        </w:rPr>
        <w:t xml:space="preserve"> circulated as background mat</w:t>
      </w:r>
      <w:r w:rsidR="00314013" w:rsidRPr="00264C51">
        <w:rPr>
          <w:rFonts w:ascii="Times New Roman" w:hAnsi="Times New Roman" w:cs="Times New Roman"/>
          <w:sz w:val="24"/>
          <w:szCs w:val="24"/>
        </w:rPr>
        <w:t>erial for this meeting</w:t>
      </w:r>
      <w:r w:rsidR="00314013" w:rsidRPr="00264C51">
        <w:rPr>
          <w:rFonts w:ascii="Times New Roman" w:eastAsia="Times New Roman" w:hAnsi="Times New Roman" w:cs="Times New Roman"/>
          <w:sz w:val="24"/>
          <w:szCs w:val="24"/>
        </w:rPr>
        <w:t xml:space="preserve">. </w:t>
      </w:r>
      <w:r w:rsidR="00314013" w:rsidRPr="00264C51">
        <w:rPr>
          <w:rFonts w:ascii="Times New Roman" w:hAnsi="Times New Roman" w:cs="Times New Roman"/>
          <w:sz w:val="24"/>
          <w:szCs w:val="24"/>
        </w:rPr>
        <w:t xml:space="preserve">Mr. Begchin also briefed the BCOP membership about the PPBWG workshop to examine performance budgeting in Austria with the Austrian Ministry of Finance and the Federal Chancellery of Austria that took place on March 13, 2018 (a separate report for that event is available on PEMPAL website). Finally, he </w:t>
      </w:r>
      <w:r w:rsidR="00264C51" w:rsidRPr="00264C51">
        <w:rPr>
          <w:rFonts w:ascii="Times New Roman" w:hAnsi="Times New Roman" w:cs="Times New Roman"/>
          <w:sz w:val="24"/>
          <w:szCs w:val="24"/>
        </w:rPr>
        <w:t xml:space="preserve">presented the PPBWG’s decisions for its future work - the PPBWG decided that its focus of work for the next period will be on the topic of spending reviews. As the first step, the Resource Team and the PPBWG Lead will prepare a background paper on spending reviews, which will be presented at a PPBWG VC meeting in Fall 2019, based on which a template for collecting the information on challenges in conducting spending reviews in PEMPAL countries, which will then serve as a potential </w:t>
      </w:r>
      <w:r w:rsidR="00264C51">
        <w:rPr>
          <w:rFonts w:ascii="Times New Roman" w:hAnsi="Times New Roman" w:cs="Times New Roman"/>
          <w:sz w:val="24"/>
          <w:szCs w:val="24"/>
        </w:rPr>
        <w:t xml:space="preserve">new PPBWG </w:t>
      </w:r>
      <w:r w:rsidR="00264C51" w:rsidRPr="00264C51">
        <w:rPr>
          <w:rFonts w:ascii="Times New Roman" w:hAnsi="Times New Roman" w:cs="Times New Roman"/>
          <w:sz w:val="24"/>
          <w:szCs w:val="24"/>
        </w:rPr>
        <w:t>knowledge product on considerations that should be taken into account when conducing spending reviews in PEMPAL countries.</w:t>
      </w:r>
      <w:r w:rsidR="00264C51" w:rsidRPr="00264C51">
        <w:rPr>
          <w:rFonts w:ascii="Times New Roman" w:eastAsiaTheme="minorEastAsia" w:hAnsi="Times New Roman" w:cs="Times New Roman"/>
          <w:sz w:val="24"/>
          <w:szCs w:val="24"/>
        </w:rPr>
        <w:t xml:space="preserve"> </w:t>
      </w:r>
    </w:p>
    <w:p w14:paraId="32D065AA" w14:textId="77777777" w:rsidR="003D6D48" w:rsidRDefault="003D6D48" w:rsidP="003D6D48">
      <w:pPr>
        <w:shd w:val="clear" w:color="auto" w:fill="FFFFFF"/>
        <w:spacing w:after="120" w:line="240" w:lineRule="auto"/>
        <w:jc w:val="both"/>
        <w:rPr>
          <w:rFonts w:ascii="Times New Roman" w:hAnsi="Times New Roman" w:cs="Times New Roman"/>
          <w:b/>
          <w:sz w:val="24"/>
          <w:szCs w:val="24"/>
        </w:rPr>
      </w:pPr>
    </w:p>
    <w:p w14:paraId="5C507730" w14:textId="77777777" w:rsidR="00DF7081" w:rsidRDefault="003D6D48" w:rsidP="009C5F94">
      <w:pPr>
        <w:shd w:val="clear" w:color="auto" w:fill="FFFFFF"/>
        <w:spacing w:after="120" w:line="240" w:lineRule="auto"/>
        <w:jc w:val="both"/>
        <w:rPr>
          <w:rFonts w:ascii="Times New Roman" w:hAnsi="Times New Roman" w:cs="Times New Roman"/>
          <w:bCs/>
          <w:sz w:val="24"/>
          <w:szCs w:val="24"/>
        </w:rPr>
      </w:pPr>
      <w:r w:rsidRPr="003D6D48">
        <w:rPr>
          <w:rFonts w:ascii="Times New Roman" w:hAnsi="Times New Roman" w:cs="Times New Roman"/>
          <w:b/>
          <w:sz w:val="24"/>
          <w:szCs w:val="24"/>
        </w:rPr>
        <w:t>Naida Carsimamovic Vukotic, BCOP World Bank Resource Team member, presented the PPBWG’s d</w:t>
      </w:r>
      <w:r w:rsidRPr="003D6D48">
        <w:rPr>
          <w:rFonts w:ascii="Times New Roman" w:hAnsi="Times New Roman" w:cs="Times New Roman"/>
          <w:b/>
          <w:bCs/>
          <w:sz w:val="24"/>
          <w:szCs w:val="24"/>
        </w:rPr>
        <w:t xml:space="preserve">raft knowledge product on </w:t>
      </w:r>
      <w:r w:rsidRPr="003D6D48">
        <w:rPr>
          <w:rFonts w:ascii="Times New Roman" w:hAnsi="Times New Roman" w:cs="Times New Roman"/>
          <w:b/>
          <w:bCs/>
          <w:i/>
          <w:sz w:val="24"/>
          <w:szCs w:val="24"/>
        </w:rPr>
        <w:t>Performance Indicators in PEMPAL Countries: Trends and Challenges</w:t>
      </w:r>
      <w:r w:rsidRPr="003D6D48">
        <w:rPr>
          <w:rFonts w:ascii="Times New Roman" w:hAnsi="Times New Roman" w:cs="Times New Roman"/>
          <w:b/>
          <w:bCs/>
          <w:sz w:val="24"/>
          <w:szCs w:val="24"/>
        </w:rPr>
        <w:t xml:space="preserve">. </w:t>
      </w:r>
      <w:r w:rsidRPr="003D6D48">
        <w:rPr>
          <w:rFonts w:ascii="Times New Roman" w:hAnsi="Times New Roman" w:cs="Times New Roman"/>
          <w:bCs/>
          <w:sz w:val="24"/>
          <w:szCs w:val="24"/>
        </w:rPr>
        <w:t>This knowledge product takes stock of main characteristics of the indicators collected in budget planning processes in PEMPAL countries and identifies main challenges of PEMPAL countries related to performance indicators. It comprises of two parts: general PI review based on 10 criteria &amp; detailed review of PIs in health and education. Both parts provide the summary joint analysis and information per each country.</w:t>
      </w:r>
      <w:r>
        <w:rPr>
          <w:rFonts w:ascii="Times New Roman" w:hAnsi="Times New Roman" w:cs="Times New Roman"/>
          <w:bCs/>
          <w:sz w:val="24"/>
          <w:szCs w:val="24"/>
        </w:rPr>
        <w:t xml:space="preserve"> </w:t>
      </w:r>
      <w:r w:rsidRPr="003D6D48">
        <w:rPr>
          <w:rFonts w:ascii="Times New Roman" w:hAnsi="Times New Roman" w:cs="Times New Roman"/>
          <w:bCs/>
          <w:sz w:val="24"/>
          <w:szCs w:val="24"/>
        </w:rPr>
        <w:t xml:space="preserve">It is supplemented by the sets of PIs or examples of PIs collected from ten PPBWG countries, which have been circulated to PPBWG member countries. This knowledge product is meant to be used as a benchmarking tool, as well as a resource od specific PIs used in other countries. </w:t>
      </w:r>
    </w:p>
    <w:p w14:paraId="098EA297" w14:textId="60F4245C" w:rsidR="003D6D48" w:rsidRPr="003D6D48" w:rsidRDefault="003D6D48" w:rsidP="009C5F94">
      <w:pPr>
        <w:shd w:val="clear" w:color="auto" w:fill="FFFFFF"/>
        <w:spacing w:after="120" w:line="240" w:lineRule="auto"/>
        <w:jc w:val="both"/>
        <w:rPr>
          <w:rFonts w:ascii="Times New Roman" w:hAnsi="Times New Roman" w:cs="Times New Roman"/>
          <w:b/>
          <w:bCs/>
          <w:sz w:val="24"/>
          <w:szCs w:val="24"/>
        </w:rPr>
      </w:pPr>
      <w:r w:rsidRPr="003D6D48">
        <w:rPr>
          <w:rFonts w:ascii="Times New Roman" w:eastAsia="Times New Roman" w:hAnsi="Times New Roman" w:cs="Times New Roman"/>
          <w:color w:val="222222"/>
          <w:sz w:val="24"/>
          <w:szCs w:val="24"/>
        </w:rPr>
        <w:t xml:space="preserve">The findings </w:t>
      </w:r>
      <w:r>
        <w:rPr>
          <w:rFonts w:ascii="Times New Roman" w:eastAsia="Times New Roman" w:hAnsi="Times New Roman" w:cs="Times New Roman"/>
          <w:color w:val="222222"/>
          <w:sz w:val="24"/>
          <w:szCs w:val="24"/>
        </w:rPr>
        <w:t xml:space="preserve">of the general review of PIs </w:t>
      </w:r>
      <w:r w:rsidRPr="003D6D48">
        <w:rPr>
          <w:rFonts w:ascii="Times New Roman" w:eastAsia="Times New Roman" w:hAnsi="Times New Roman" w:cs="Times New Roman"/>
          <w:color w:val="222222"/>
          <w:sz w:val="24"/>
          <w:szCs w:val="24"/>
        </w:rPr>
        <w:t xml:space="preserve">included: i) existence of two levels of results in most PEMPAL countries (programs and activities or sub-programs or policy areas and programs) and indicators were defined in most cases at both result levels (higher-level outcomes at first level and lower-level outcomes and outputs at second level); ii) there was a great variation in number of indicators in most of countries as well as among programs in each country, with rough averages of around 10 to 80 indicators per program, however scope of a program varied, from whole sectors to much smaller scope at a level of one department in one agency/Ministry; iii) in most cases two third of indicators were output indicators and remaining were outcome indicators, iv) most common challenges included variation of quality of performance indicators among programs, existence of too many indicators, lack of defined key national indicators and/or highest level national strategy with standard indicators later connected to budget programs and their indicators; overall weak connection with overall government strategic planning in most cases; existence of some not quantifiable indicators; existence of some very low output level indicators (e.g. Number of meetings or Yes/No indicators related to legislation/regulation being developed); weak or non-existent program and performance budgeting at the subnational government level not connected to the national level programs/performance indicators; challenges for setting and tracking indicators for inter-agency programs, difficulties in targeting indicator values, and overall need for strengthening performance-based mindset. In terms of the findings of the analysis of health and education indicators, they included: i) countries on average had around 140 indicators in education and around 80 in health, noting again that comparison was not entirely applicable, as scope of a program varies among countries; ii) in majority of cases indicators were properly defined (they were quantifiable and precise, it was clear what they measured, what was the unit of measure, and they were neutral in their name), however, </w:t>
      </w:r>
      <w:r w:rsidRPr="003D6D48">
        <w:rPr>
          <w:rFonts w:ascii="Times New Roman" w:eastAsia="Times New Roman" w:hAnsi="Times New Roman" w:cs="Times New Roman"/>
          <w:color w:val="222222"/>
          <w:sz w:val="24"/>
          <w:szCs w:val="24"/>
        </w:rPr>
        <w:lastRenderedPageBreak/>
        <w:t xml:space="preserve">there were some exceptions, iii)  in most cases, very low output level indicators were used, and iv) in most cases, highest outcome level long-term indicators (usually based in internationally comparable measurements) were included–e.g. student PISA scores, population covered by education levels, investment in R&amp;D, life expectancy, mortality related to different disease types, vaccination coverage). </w:t>
      </w:r>
      <w:r w:rsidR="004B2B19" w:rsidRPr="004B2B19">
        <w:rPr>
          <w:rFonts w:ascii="Times New Roman" w:eastAsia="Times New Roman" w:hAnsi="Times New Roman" w:cs="Times New Roman"/>
          <w:color w:val="222222"/>
          <w:sz w:val="24"/>
          <w:szCs w:val="24"/>
        </w:rPr>
        <w:t>Further comments on this draft product, prepared based on detailed data and information collected from ten PEMPAL countries) were sought from the broader BCOP membership at this event, which will be used to finalize the product.</w:t>
      </w:r>
    </w:p>
    <w:p w14:paraId="6F86D8C8" w14:textId="1FA5EC41" w:rsidR="00AC5D9F" w:rsidRDefault="003D6D48" w:rsidP="00AC5D9F">
      <w:pPr>
        <w:pStyle w:val="NormalWeb"/>
        <w:spacing w:after="160" w:line="259" w:lineRule="auto"/>
        <w:jc w:val="both"/>
        <w:rPr>
          <w:color w:val="222222"/>
        </w:rPr>
      </w:pPr>
      <w:r w:rsidRPr="009C5F94">
        <w:rPr>
          <w:b/>
          <w:color w:val="222222"/>
        </w:rPr>
        <w:t>Ivor Beazley, OECD Se</w:t>
      </w:r>
      <w:r w:rsidR="006B2594" w:rsidRPr="009C5F94">
        <w:rPr>
          <w:b/>
          <w:color w:val="222222"/>
        </w:rPr>
        <w:t>nior Policy Analyst</w:t>
      </w:r>
      <w:r w:rsidR="009C5F94" w:rsidRPr="009C5F94">
        <w:rPr>
          <w:b/>
          <w:color w:val="222222"/>
        </w:rPr>
        <w:t xml:space="preserve">, presented the draft </w:t>
      </w:r>
      <w:r w:rsidR="009C5F94" w:rsidRPr="00AC5D9F">
        <w:rPr>
          <w:b/>
          <w:i/>
          <w:color w:val="222222"/>
        </w:rPr>
        <w:t>OECD Best Practices in Performance Budgeting</w:t>
      </w:r>
      <w:r w:rsidR="009C5F94" w:rsidRPr="009C5F94">
        <w:rPr>
          <w:color w:val="222222"/>
        </w:rPr>
        <w:t xml:space="preserve">. </w:t>
      </w:r>
      <w:r w:rsidR="009C5F94">
        <w:rPr>
          <w:color w:val="222222"/>
        </w:rPr>
        <w:t>The Best Practices are a product of the OECD Network on Performance and Results, which has discussed performance budgeting since 2006. This document is intended to d</w:t>
      </w:r>
      <w:r w:rsidR="009C5F94" w:rsidRPr="009C5F94">
        <w:rPr>
          <w:color w:val="222222"/>
        </w:rPr>
        <w:t>istil experience using research evidence and case studies</w:t>
      </w:r>
      <w:r w:rsidR="009C5F94">
        <w:rPr>
          <w:color w:val="222222"/>
        </w:rPr>
        <w:t>, as well as to offer advice and options relevant for both the countries that are</w:t>
      </w:r>
      <w:r w:rsidR="009C5F94" w:rsidRPr="009C5F94">
        <w:rPr>
          <w:color w:val="222222"/>
        </w:rPr>
        <w:t xml:space="preserve"> updating their </w:t>
      </w:r>
      <w:r w:rsidR="009C5F94">
        <w:rPr>
          <w:color w:val="222222"/>
        </w:rPr>
        <w:t xml:space="preserve">performance budgeting approaches and those that are only starting to implement it. </w:t>
      </w:r>
      <w:r w:rsidR="009C5F94" w:rsidRPr="009C5F94">
        <w:rPr>
          <w:color w:val="222222"/>
        </w:rPr>
        <w:t>Performance budgeting can be defined as the process of linking budget allocation and reporting to the achievement of results</w:t>
      </w:r>
      <w:r w:rsidR="009C5F94">
        <w:rPr>
          <w:color w:val="222222"/>
        </w:rPr>
        <w:t xml:space="preserve">. </w:t>
      </w:r>
      <w:r w:rsidR="009C5F94" w:rsidRPr="009C5F94">
        <w:rPr>
          <w:color w:val="222222"/>
        </w:rPr>
        <w:t>OECD identifies 4 types of performance budgeting:</w:t>
      </w:r>
      <w:r w:rsidR="009C5F94">
        <w:rPr>
          <w:color w:val="222222"/>
        </w:rPr>
        <w:t xml:space="preserve"> presentational performance budgeting, p</w:t>
      </w:r>
      <w:r w:rsidR="009C5F94" w:rsidRPr="009C5F94">
        <w:rPr>
          <w:color w:val="222222"/>
        </w:rPr>
        <w:t>erformance informed budgeting</w:t>
      </w:r>
      <w:r w:rsidR="009C5F94">
        <w:rPr>
          <w:color w:val="222222"/>
        </w:rPr>
        <w:t>, m</w:t>
      </w:r>
      <w:r w:rsidR="009C5F94" w:rsidRPr="009C5F94">
        <w:rPr>
          <w:color w:val="222222"/>
        </w:rPr>
        <w:t>anagerial performance budgeting</w:t>
      </w:r>
      <w:r w:rsidR="004B2B19">
        <w:rPr>
          <w:color w:val="222222"/>
        </w:rPr>
        <w:t>, and direct/formula-</w:t>
      </w:r>
      <w:r w:rsidR="009C5F94">
        <w:rPr>
          <w:color w:val="222222"/>
        </w:rPr>
        <w:t xml:space="preserve">based performance budgeting. The following seven best practices have been defined and presented in detail along with the sub-recommendations within each: </w:t>
      </w:r>
    </w:p>
    <w:p w14:paraId="2F43B8A9" w14:textId="5D6F110A" w:rsidR="00AC5D9F" w:rsidRPr="00AC5D9F" w:rsidRDefault="00AC5D9F" w:rsidP="00AC5D9F">
      <w:pPr>
        <w:pStyle w:val="NormalWeb"/>
        <w:numPr>
          <w:ilvl w:val="0"/>
          <w:numId w:val="46"/>
        </w:numPr>
        <w:spacing w:after="160" w:line="259" w:lineRule="auto"/>
        <w:ind w:left="630" w:hanging="180"/>
        <w:jc w:val="both"/>
        <w:rPr>
          <w:color w:val="000000" w:themeColor="text1"/>
        </w:rPr>
      </w:pPr>
      <w:r>
        <w:rPr>
          <w:color w:val="000000" w:themeColor="text1"/>
        </w:rPr>
        <w:t>s</w:t>
      </w:r>
      <w:r w:rsidRPr="00AC5D9F">
        <w:rPr>
          <w:color w:val="000000" w:themeColor="text1"/>
        </w:rPr>
        <w:t>etting clear and realistic objectives for performance budgeting</w:t>
      </w:r>
    </w:p>
    <w:p w14:paraId="572A5048" w14:textId="44D9E94D" w:rsidR="00AC5D9F" w:rsidRPr="00AC5D9F"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AC5D9F">
        <w:rPr>
          <w:rFonts w:ascii="Times New Roman" w:hAnsi="Times New Roman" w:cs="Times New Roman"/>
          <w:color w:val="000000" w:themeColor="text1"/>
          <w:sz w:val="24"/>
          <w:szCs w:val="24"/>
        </w:rPr>
        <w:t xml:space="preserve">inking the </w:t>
      </w:r>
      <w:r>
        <w:rPr>
          <w:rFonts w:ascii="Times New Roman" w:hAnsi="Times New Roman" w:cs="Times New Roman"/>
          <w:color w:val="000000" w:themeColor="text1"/>
          <w:sz w:val="24"/>
          <w:szCs w:val="24"/>
        </w:rPr>
        <w:t>p</w:t>
      </w:r>
      <w:r w:rsidRPr="00AC5D9F">
        <w:rPr>
          <w:rFonts w:ascii="Times New Roman" w:hAnsi="Times New Roman" w:cs="Times New Roman"/>
          <w:color w:val="000000" w:themeColor="text1"/>
          <w:sz w:val="24"/>
          <w:szCs w:val="24"/>
        </w:rPr>
        <w:t xml:space="preserve">erformance </w:t>
      </w:r>
      <w:r>
        <w:rPr>
          <w:rFonts w:ascii="Times New Roman" w:hAnsi="Times New Roman" w:cs="Times New Roman"/>
          <w:color w:val="000000" w:themeColor="text1"/>
          <w:sz w:val="24"/>
          <w:szCs w:val="24"/>
        </w:rPr>
        <w:t>b</w:t>
      </w:r>
      <w:r w:rsidRPr="00AC5D9F">
        <w:rPr>
          <w:rFonts w:ascii="Times New Roman" w:hAnsi="Times New Roman" w:cs="Times New Roman"/>
          <w:color w:val="000000" w:themeColor="text1"/>
          <w:sz w:val="24"/>
          <w:szCs w:val="24"/>
        </w:rPr>
        <w:t xml:space="preserve">udget to the </w:t>
      </w:r>
      <w:r>
        <w:rPr>
          <w:rFonts w:ascii="Times New Roman" w:hAnsi="Times New Roman" w:cs="Times New Roman"/>
          <w:color w:val="000000" w:themeColor="text1"/>
          <w:sz w:val="24"/>
          <w:szCs w:val="24"/>
        </w:rPr>
        <w:t>s</w:t>
      </w:r>
      <w:r w:rsidRPr="00AC5D9F">
        <w:rPr>
          <w:rFonts w:ascii="Times New Roman" w:hAnsi="Times New Roman" w:cs="Times New Roman"/>
          <w:color w:val="000000" w:themeColor="text1"/>
          <w:sz w:val="24"/>
          <w:szCs w:val="24"/>
        </w:rPr>
        <w:t xml:space="preserve">trategic </w:t>
      </w:r>
      <w:r>
        <w:rPr>
          <w:rFonts w:ascii="Times New Roman" w:hAnsi="Times New Roman" w:cs="Times New Roman"/>
          <w:color w:val="000000" w:themeColor="text1"/>
          <w:sz w:val="24"/>
          <w:szCs w:val="24"/>
        </w:rPr>
        <w:t>g</w:t>
      </w:r>
      <w:r w:rsidRPr="00AC5D9F">
        <w:rPr>
          <w:rFonts w:ascii="Times New Roman" w:hAnsi="Times New Roman" w:cs="Times New Roman"/>
          <w:color w:val="000000" w:themeColor="text1"/>
          <w:sz w:val="24"/>
          <w:szCs w:val="24"/>
        </w:rPr>
        <w:t xml:space="preserve">oals of </w:t>
      </w:r>
      <w:r>
        <w:rPr>
          <w:rFonts w:ascii="Times New Roman" w:hAnsi="Times New Roman" w:cs="Times New Roman"/>
          <w:color w:val="000000" w:themeColor="text1"/>
          <w:sz w:val="24"/>
          <w:szCs w:val="24"/>
        </w:rPr>
        <w:t>g</w:t>
      </w:r>
      <w:r w:rsidRPr="00AC5D9F">
        <w:rPr>
          <w:rFonts w:ascii="Times New Roman" w:hAnsi="Times New Roman" w:cs="Times New Roman"/>
          <w:color w:val="000000" w:themeColor="text1"/>
          <w:sz w:val="24"/>
          <w:szCs w:val="24"/>
        </w:rPr>
        <w:t xml:space="preserve">overnment </w:t>
      </w:r>
    </w:p>
    <w:p w14:paraId="0430B4E9" w14:textId="3576BA30" w:rsidR="00AC5D9F" w:rsidRPr="00AC5D9F"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AC5D9F">
        <w:rPr>
          <w:rFonts w:ascii="Times New Roman" w:hAnsi="Times New Roman" w:cs="Times New Roman"/>
          <w:color w:val="000000" w:themeColor="text1"/>
          <w:sz w:val="24"/>
          <w:szCs w:val="24"/>
        </w:rPr>
        <w:t xml:space="preserve">dapting </w:t>
      </w:r>
      <w:r>
        <w:rPr>
          <w:rFonts w:ascii="Times New Roman" w:hAnsi="Times New Roman" w:cs="Times New Roman"/>
          <w:color w:val="000000" w:themeColor="text1"/>
          <w:sz w:val="24"/>
          <w:szCs w:val="24"/>
        </w:rPr>
        <w:t>p</w:t>
      </w:r>
      <w:r w:rsidRPr="00AC5D9F">
        <w:rPr>
          <w:rFonts w:ascii="Times New Roman" w:hAnsi="Times New Roman" w:cs="Times New Roman"/>
          <w:color w:val="000000" w:themeColor="text1"/>
          <w:sz w:val="24"/>
          <w:szCs w:val="24"/>
        </w:rPr>
        <w:t xml:space="preserve">erformance </w:t>
      </w:r>
      <w:r>
        <w:rPr>
          <w:rFonts w:ascii="Times New Roman" w:hAnsi="Times New Roman" w:cs="Times New Roman"/>
          <w:color w:val="000000" w:themeColor="text1"/>
          <w:sz w:val="24"/>
          <w:szCs w:val="24"/>
        </w:rPr>
        <w:t>b</w:t>
      </w:r>
      <w:r w:rsidRPr="00AC5D9F">
        <w:rPr>
          <w:rFonts w:ascii="Times New Roman" w:hAnsi="Times New Roman" w:cs="Times New Roman"/>
          <w:color w:val="000000" w:themeColor="text1"/>
          <w:sz w:val="24"/>
          <w:szCs w:val="24"/>
        </w:rPr>
        <w:t xml:space="preserve">udgeting to the </w:t>
      </w:r>
      <w:r>
        <w:rPr>
          <w:rFonts w:ascii="Times New Roman" w:hAnsi="Times New Roman" w:cs="Times New Roman"/>
          <w:color w:val="000000" w:themeColor="text1"/>
          <w:sz w:val="24"/>
          <w:szCs w:val="24"/>
        </w:rPr>
        <w:t>c</w:t>
      </w:r>
      <w:r w:rsidRPr="00AC5D9F">
        <w:rPr>
          <w:rFonts w:ascii="Times New Roman" w:hAnsi="Times New Roman" w:cs="Times New Roman"/>
          <w:color w:val="000000" w:themeColor="text1"/>
          <w:sz w:val="24"/>
          <w:szCs w:val="24"/>
        </w:rPr>
        <w:t xml:space="preserve">omplex, </w:t>
      </w:r>
      <w:r>
        <w:rPr>
          <w:rFonts w:ascii="Times New Roman" w:hAnsi="Times New Roman" w:cs="Times New Roman"/>
          <w:color w:val="000000" w:themeColor="text1"/>
          <w:sz w:val="24"/>
          <w:szCs w:val="24"/>
        </w:rPr>
        <w:t>v</w:t>
      </w:r>
      <w:r w:rsidRPr="00AC5D9F">
        <w:rPr>
          <w:rFonts w:ascii="Times New Roman" w:hAnsi="Times New Roman" w:cs="Times New Roman"/>
          <w:color w:val="000000" w:themeColor="text1"/>
          <w:sz w:val="24"/>
          <w:szCs w:val="24"/>
        </w:rPr>
        <w:t xml:space="preserve">arying </w:t>
      </w:r>
      <w:r>
        <w:rPr>
          <w:rFonts w:ascii="Times New Roman" w:hAnsi="Times New Roman" w:cs="Times New Roman"/>
          <w:color w:val="000000" w:themeColor="text1"/>
          <w:sz w:val="24"/>
          <w:szCs w:val="24"/>
        </w:rPr>
        <w:t>n</w:t>
      </w:r>
      <w:r w:rsidRPr="00AC5D9F">
        <w:rPr>
          <w:rFonts w:ascii="Times New Roman" w:hAnsi="Times New Roman" w:cs="Times New Roman"/>
          <w:color w:val="000000" w:themeColor="text1"/>
          <w:sz w:val="24"/>
          <w:szCs w:val="24"/>
        </w:rPr>
        <w:t xml:space="preserve">eeds of </w:t>
      </w:r>
      <w:r>
        <w:rPr>
          <w:rFonts w:ascii="Times New Roman" w:hAnsi="Times New Roman" w:cs="Times New Roman"/>
          <w:color w:val="000000" w:themeColor="text1"/>
          <w:sz w:val="24"/>
          <w:szCs w:val="24"/>
        </w:rPr>
        <w:t>p</w:t>
      </w:r>
      <w:r w:rsidRPr="00AC5D9F">
        <w:rPr>
          <w:rFonts w:ascii="Times New Roman" w:hAnsi="Times New Roman" w:cs="Times New Roman"/>
          <w:color w:val="000000" w:themeColor="text1"/>
          <w:sz w:val="24"/>
          <w:szCs w:val="24"/>
        </w:rPr>
        <w:t>olicy-making</w:t>
      </w:r>
    </w:p>
    <w:p w14:paraId="4DDFBE13" w14:textId="4BC5BF5C" w:rsidR="00AC5D9F" w:rsidRPr="00AC5D9F" w:rsidRDefault="00AC5D9F" w:rsidP="00AC5D9F">
      <w:pPr>
        <w:pStyle w:val="ListParagraph"/>
        <w:numPr>
          <w:ilvl w:val="0"/>
          <w:numId w:val="46"/>
        </w:numPr>
        <w:tabs>
          <w:tab w:val="left" w:pos="6975"/>
        </w:tabs>
        <w:spacing w:after="240"/>
        <w:ind w:left="630"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AC5D9F">
        <w:rPr>
          <w:rFonts w:ascii="Times New Roman" w:hAnsi="Times New Roman" w:cs="Times New Roman"/>
          <w:color w:val="000000" w:themeColor="text1"/>
          <w:sz w:val="24"/>
          <w:szCs w:val="24"/>
        </w:rPr>
        <w:t xml:space="preserve">anaging </w:t>
      </w:r>
      <w:r>
        <w:rPr>
          <w:rFonts w:ascii="Times New Roman" w:hAnsi="Times New Roman" w:cs="Times New Roman"/>
          <w:color w:val="000000" w:themeColor="text1"/>
          <w:sz w:val="24"/>
          <w:szCs w:val="24"/>
        </w:rPr>
        <w:t>p</w:t>
      </w:r>
      <w:r w:rsidRPr="00AC5D9F">
        <w:rPr>
          <w:rFonts w:ascii="Times New Roman" w:hAnsi="Times New Roman" w:cs="Times New Roman"/>
          <w:color w:val="000000" w:themeColor="text1"/>
          <w:sz w:val="24"/>
          <w:szCs w:val="24"/>
        </w:rPr>
        <w:t xml:space="preserve">erformance </w:t>
      </w:r>
      <w:r>
        <w:rPr>
          <w:rFonts w:ascii="Times New Roman" w:hAnsi="Times New Roman" w:cs="Times New Roman"/>
          <w:color w:val="000000" w:themeColor="text1"/>
          <w:sz w:val="24"/>
          <w:szCs w:val="24"/>
        </w:rPr>
        <w:t>i</w:t>
      </w:r>
      <w:r w:rsidRPr="00AC5D9F">
        <w:rPr>
          <w:rFonts w:ascii="Times New Roman" w:hAnsi="Times New Roman" w:cs="Times New Roman"/>
          <w:color w:val="000000" w:themeColor="text1"/>
          <w:sz w:val="24"/>
          <w:szCs w:val="24"/>
        </w:rPr>
        <w:t>nformation</w:t>
      </w:r>
    </w:p>
    <w:p w14:paraId="4A9DEEBE" w14:textId="78F57BE0" w:rsidR="00AC5D9F" w:rsidRPr="004B2B19"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creating the infrastructure to </w:t>
      </w:r>
      <w:r w:rsidRPr="004B2B19">
        <w:rPr>
          <w:rFonts w:ascii="Times New Roman" w:hAnsi="Times New Roman" w:cs="Times New Roman"/>
          <w:color w:val="000000" w:themeColor="text1"/>
          <w:sz w:val="24"/>
          <w:szCs w:val="24"/>
        </w:rPr>
        <w:t xml:space="preserve">support performance budgeting  </w:t>
      </w:r>
    </w:p>
    <w:p w14:paraId="1DF8C6EB" w14:textId="25B8B50B" w:rsidR="00AC5D9F" w:rsidRPr="004B2B19"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sidRPr="004B2B19">
        <w:rPr>
          <w:rFonts w:ascii="Times New Roman" w:hAnsi="Times New Roman" w:cs="Times New Roman"/>
          <w:color w:val="000000" w:themeColor="text1"/>
          <w:sz w:val="24"/>
          <w:szCs w:val="24"/>
        </w:rPr>
        <w:t>ensuring systematic evaluation and oversight of performance</w:t>
      </w:r>
    </w:p>
    <w:p w14:paraId="4D546DFE" w14:textId="0AFFFDC0" w:rsidR="00AC5D9F" w:rsidRPr="004B2B19"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sidRPr="004B2B19">
        <w:rPr>
          <w:rFonts w:ascii="Times New Roman" w:hAnsi="Times New Roman" w:cs="Times New Roman"/>
          <w:color w:val="000000" w:themeColor="text1"/>
          <w:sz w:val="24"/>
          <w:szCs w:val="24"/>
        </w:rPr>
        <w:t>incentivizing performance-oriented behavior and learning</w:t>
      </w:r>
    </w:p>
    <w:p w14:paraId="2B918E9D" w14:textId="317A8DA3" w:rsidR="00AC5D9F" w:rsidRPr="004B2B19" w:rsidRDefault="00AC5D9F" w:rsidP="004B2B19">
      <w:pPr>
        <w:tabs>
          <w:tab w:val="left" w:pos="6975"/>
        </w:tabs>
        <w:spacing w:after="240"/>
        <w:jc w:val="both"/>
        <w:rPr>
          <w:rFonts w:ascii="Times New Roman" w:hAnsi="Times New Roman" w:cs="Times New Roman"/>
          <w:b/>
          <w:color w:val="1E63AE"/>
          <w:sz w:val="24"/>
          <w:szCs w:val="24"/>
        </w:rPr>
      </w:pPr>
      <w:r w:rsidRPr="004B2B19">
        <w:rPr>
          <w:rFonts w:ascii="Times New Roman" w:hAnsi="Times New Roman" w:cs="Times New Roman"/>
          <w:color w:val="222222"/>
          <w:sz w:val="24"/>
          <w:szCs w:val="24"/>
        </w:rPr>
        <w:t xml:space="preserve">The current version of the </w:t>
      </w:r>
      <w:r w:rsidRPr="004B2B19">
        <w:rPr>
          <w:rFonts w:ascii="Times New Roman" w:hAnsi="Times New Roman" w:cs="Times New Roman"/>
          <w:i/>
          <w:color w:val="222222"/>
          <w:sz w:val="24"/>
          <w:szCs w:val="24"/>
        </w:rPr>
        <w:t>OECD Best Practices in Performance Budgeting</w:t>
      </w:r>
      <w:r w:rsidRPr="004B2B19">
        <w:rPr>
          <w:rFonts w:ascii="Times New Roman" w:hAnsi="Times New Roman" w:cs="Times New Roman"/>
          <w:color w:val="222222"/>
          <w:sz w:val="24"/>
          <w:szCs w:val="24"/>
        </w:rPr>
        <w:t xml:space="preserve"> was circulated </w:t>
      </w:r>
      <w:r w:rsidR="004B2B19" w:rsidRPr="004B2B19">
        <w:rPr>
          <w:rFonts w:ascii="Times New Roman" w:hAnsi="Times New Roman" w:cs="Times New Roman"/>
          <w:color w:val="222222"/>
          <w:sz w:val="24"/>
          <w:szCs w:val="24"/>
        </w:rPr>
        <w:t>to BCOP members as background material for this plenary meeting</w:t>
      </w:r>
      <w:r w:rsidR="004B2B19">
        <w:rPr>
          <w:rFonts w:ascii="Times New Roman" w:hAnsi="Times New Roman" w:cs="Times New Roman"/>
          <w:color w:val="222222"/>
          <w:sz w:val="24"/>
          <w:szCs w:val="24"/>
        </w:rPr>
        <w:t xml:space="preserve"> in English. It is expected that the OECD will finalize the document in mid 2018, after which BCOP will translate it to PEMPAL language and circulate to all members.  </w:t>
      </w:r>
      <w:r w:rsidR="004B2B19" w:rsidRPr="004B2B19">
        <w:rPr>
          <w:rFonts w:ascii="Times New Roman" w:hAnsi="Times New Roman" w:cs="Times New Roman"/>
          <w:color w:val="222222"/>
          <w:sz w:val="24"/>
          <w:szCs w:val="24"/>
        </w:rPr>
        <w:t xml:space="preserve"> </w:t>
      </w:r>
    </w:p>
    <w:p w14:paraId="70BEAB6A" w14:textId="31225853" w:rsidR="004B2B19" w:rsidRPr="008B6ACD" w:rsidRDefault="004B2B19" w:rsidP="004B2B19">
      <w:pPr>
        <w:shd w:val="clear" w:color="auto" w:fill="FFFFFF"/>
        <w:spacing w:before="100" w:beforeAutospacing="1" w:after="120" w:line="240" w:lineRule="auto"/>
        <w:jc w:val="both"/>
        <w:rPr>
          <w:rFonts w:ascii="Times New Roman" w:hAnsi="Times New Roman" w:cs="Times New Roman"/>
          <w:b/>
          <w:color w:val="222222"/>
          <w:sz w:val="24"/>
          <w:szCs w:val="24"/>
        </w:rPr>
      </w:pPr>
      <w:r w:rsidRPr="008B6ACD">
        <w:rPr>
          <w:rFonts w:ascii="Times New Roman" w:hAnsi="Times New Roman" w:cs="Times New Roman"/>
          <w:b/>
          <w:color w:val="222222"/>
          <w:sz w:val="24"/>
          <w:szCs w:val="24"/>
        </w:rPr>
        <w:t xml:space="preserve">Next, Russian Federation and Serbia, which were identified as having the most useful lessons learnt and progress to share with other countries based on data collected recently for the PPBWG knowledge product, reported on their progress with design, implementation, and readjustment of program budgeting reforms with focus on performance indicators. </w:t>
      </w:r>
    </w:p>
    <w:p w14:paraId="0A4CC342" w14:textId="77777777" w:rsidR="00F53913" w:rsidRDefault="00F53913" w:rsidP="00F53913">
      <w:pPr>
        <w:pStyle w:val="ListParagraph"/>
        <w:shd w:val="clear" w:color="auto" w:fill="FFFFFF"/>
        <w:spacing w:after="120" w:line="240" w:lineRule="auto"/>
        <w:ind w:left="0"/>
        <w:contextualSpacing w:val="0"/>
        <w:jc w:val="both"/>
        <w:rPr>
          <w:rFonts w:ascii="Times New Roman" w:eastAsia="Times New Roman" w:hAnsi="Times New Roman" w:cs="Times New Roman"/>
          <w:color w:val="222222"/>
          <w:sz w:val="24"/>
          <w:szCs w:val="24"/>
        </w:rPr>
      </w:pPr>
    </w:p>
    <w:p w14:paraId="423FDEDA" w14:textId="3DE4A64B" w:rsidR="00F53913" w:rsidRPr="00A73444" w:rsidRDefault="00F53913" w:rsidP="00F53913">
      <w:pPr>
        <w:pStyle w:val="ListParagraph"/>
        <w:shd w:val="clear" w:color="auto" w:fill="FFFFFF"/>
        <w:spacing w:after="120" w:line="240" w:lineRule="auto"/>
        <w:ind w:left="0"/>
        <w:contextualSpacing w:val="0"/>
        <w:jc w:val="both"/>
        <w:rPr>
          <w:rFonts w:ascii="Times New Roman" w:eastAsia="Times New Roman" w:hAnsi="Times New Roman" w:cs="Times New Roman"/>
          <w:color w:val="222222"/>
          <w:sz w:val="24"/>
          <w:szCs w:val="24"/>
        </w:rPr>
      </w:pPr>
      <w:r w:rsidRPr="00F53913">
        <w:rPr>
          <w:rFonts w:ascii="Times New Roman" w:eastAsia="Times New Roman" w:hAnsi="Times New Roman" w:cs="Times New Roman"/>
          <w:b/>
          <w:color w:val="222222"/>
          <w:sz w:val="24"/>
          <w:szCs w:val="24"/>
        </w:rPr>
        <w:t>Nikolay Begchin, Deputy Director of the Department of Budget Policy and Strategic Planning, Ministry of Finance of the Russian Federation, and PPBWG Lead presented the case of program budgeting in the Russian Federation.</w:t>
      </w:r>
      <w:r w:rsidRPr="00A73444">
        <w:rPr>
          <w:rFonts w:ascii="Times New Roman" w:eastAsia="Times New Roman" w:hAnsi="Times New Roman" w:cs="Times New Roman"/>
          <w:color w:val="222222"/>
          <w:sz w:val="24"/>
          <w:szCs w:val="24"/>
        </w:rPr>
        <w:t xml:space="preserve"> His detailed presentation included overview of: i) history and general context of program budgeting in Russia, ii) the current program budgeting framework, iii) initial lessons and outcomes of implementation of government programs, and iv) ideas for future work. Russia’s positive outcomes of program budgeting implementation so far include increased transparency and simplified composition of budget expenditures, improved discipline and understanding of the need to achieve specific outcomes, broader opportunities for analysis (with previously unnoticed issues now coming to light through program and performance information), and possibility to formalize the </w:t>
      </w:r>
      <w:r w:rsidRPr="00A73444">
        <w:rPr>
          <w:rFonts w:ascii="Times New Roman" w:eastAsia="Times New Roman" w:hAnsi="Times New Roman" w:cs="Times New Roman"/>
          <w:color w:val="222222"/>
          <w:sz w:val="24"/>
          <w:szCs w:val="24"/>
        </w:rPr>
        <w:lastRenderedPageBreak/>
        <w:t>relationship between activities of the central and subnational government. As in all countries, including the OECD countries, not all of expectations from program and performance budgeting have been realized – remaining challenges include using performance/program information for better prioritization of activities, using performance/program information more in budget allocation decision, and need to further increase quality of goal-setting and of performance indicators (including need to establish top level indicators at highest level, rationalize number of indicators and order them in a more hierarchal way so that outcome indicators are not lumped together with lowest-level technical output indicators, improve connection with subnational and local programs, and improve approach dealing with cross-functional indicators). Finally, several ideas for further enhancement of the approach were identified and launched in 2017 in pilot government programs, including developing a goal-setting system for government programs, streamlining program format, consolidating within a program all budget appropriations related to a specific sector and expected outcomes, introducing mechanisms to coordinate government programs and action programs, clarifying approached to building budget classification, expanding the authority of program managers in terms of input management, developing a single information system, and assigning government programs the status of the main instrument for planning and reporting outcomes of the executive.</w:t>
      </w:r>
    </w:p>
    <w:p w14:paraId="091A7B14" w14:textId="1E95F97F" w:rsidR="0054313C" w:rsidRDefault="00D97BA5" w:rsidP="0054313C">
      <w:pPr>
        <w:pStyle w:val="NormalWeb"/>
        <w:spacing w:after="160" w:line="259" w:lineRule="auto"/>
        <w:jc w:val="both"/>
        <w:rPr>
          <w:color w:val="222222"/>
        </w:rPr>
      </w:pPr>
      <w:r w:rsidRPr="0054313C">
        <w:rPr>
          <w:b/>
          <w:color w:val="222222"/>
        </w:rPr>
        <w:t>Mirjana Cojbasic, State Secretary, Budget Department, Ministry of Finance of Serbia, presented recent program and performance budgeting reforms in Serbia with focus on performance indicators</w:t>
      </w:r>
      <w:r w:rsidRPr="00F43F75">
        <w:rPr>
          <w:color w:val="222222"/>
        </w:rPr>
        <w:t>.</w:t>
      </w:r>
      <w:r w:rsidRPr="00C167D8">
        <w:rPr>
          <w:color w:val="222222"/>
        </w:rPr>
        <w:t xml:space="preserve"> Serbia first introduced program budgeting in 2005, with five pilot ministries. In </w:t>
      </w:r>
      <w:r w:rsidR="00C167D8" w:rsidRPr="00C167D8">
        <w:rPr>
          <w:color w:val="222222"/>
        </w:rPr>
        <w:t>recent years</w:t>
      </w:r>
      <w:r w:rsidRPr="00C167D8">
        <w:rPr>
          <w:color w:val="222222"/>
        </w:rPr>
        <w:t xml:space="preserve">, intensive work was done on designing methodology for program budgeting, taking into consideration the experience of pilot users. </w:t>
      </w:r>
      <w:r w:rsidR="00AB3A46">
        <w:rPr>
          <w:color w:val="222222"/>
        </w:rPr>
        <w:t xml:space="preserve">The process is led by the Ministry of Finance. </w:t>
      </w:r>
      <w:r w:rsidRPr="00C167D8">
        <w:rPr>
          <w:color w:val="222222"/>
        </w:rPr>
        <w:t>In co</w:t>
      </w:r>
      <w:r w:rsidR="00C167D8" w:rsidRPr="00C167D8">
        <w:rPr>
          <w:color w:val="222222"/>
        </w:rPr>
        <w:t xml:space="preserve">operation with the budget users, </w:t>
      </w:r>
      <w:r w:rsidRPr="00C167D8">
        <w:rPr>
          <w:color w:val="222222"/>
        </w:rPr>
        <w:t xml:space="preserve">program structures </w:t>
      </w:r>
      <w:r w:rsidR="00C167D8" w:rsidRPr="00C167D8">
        <w:rPr>
          <w:color w:val="222222"/>
        </w:rPr>
        <w:t>were developed and objectives</w:t>
      </w:r>
      <w:r w:rsidRPr="00C167D8">
        <w:rPr>
          <w:color w:val="222222"/>
        </w:rPr>
        <w:t xml:space="preserve"> and indicators</w:t>
      </w:r>
      <w:r w:rsidR="00C167D8" w:rsidRPr="00C167D8">
        <w:rPr>
          <w:color w:val="222222"/>
        </w:rPr>
        <w:t xml:space="preserve"> formulated. Special attention was given to e</w:t>
      </w:r>
      <w:r w:rsidRPr="00C167D8">
        <w:rPr>
          <w:color w:val="222222"/>
        </w:rPr>
        <w:t>stablishing connection with strategic documents</w:t>
      </w:r>
      <w:r w:rsidR="00C167D8" w:rsidRPr="00C167D8">
        <w:rPr>
          <w:color w:val="222222"/>
        </w:rPr>
        <w:t xml:space="preserve">. </w:t>
      </w:r>
      <w:r w:rsidR="00C167D8">
        <w:rPr>
          <w:color w:val="222222"/>
        </w:rPr>
        <w:t>Since 2015, b</w:t>
      </w:r>
      <w:r w:rsidR="00C167D8" w:rsidRPr="00C167D8">
        <w:rPr>
          <w:color w:val="222222"/>
        </w:rPr>
        <w:t xml:space="preserve">udget planning, approval and execution </w:t>
      </w:r>
      <w:r w:rsidR="00C167D8">
        <w:rPr>
          <w:color w:val="222222"/>
        </w:rPr>
        <w:t>is on program basis at a</w:t>
      </w:r>
      <w:r w:rsidR="00C167D8" w:rsidRPr="00C167D8">
        <w:rPr>
          <w:color w:val="222222"/>
        </w:rPr>
        <w:t>ll government levels</w:t>
      </w:r>
      <w:r w:rsidR="00C167D8">
        <w:rPr>
          <w:color w:val="222222"/>
        </w:rPr>
        <w:t xml:space="preserve">. Program structure us three-tiered: programs, activities, and projects. Specific types of program activities have been defined (regulating competencies, inspections, provision of public service, administrative operations, subsidies, grants, transfers, administration and management, and budget reserve). </w:t>
      </w:r>
      <w:r w:rsidR="00C167D8" w:rsidRPr="00C167D8">
        <w:rPr>
          <w:color w:val="222222"/>
        </w:rPr>
        <w:t xml:space="preserve">A project is a budget user’s business venture with a set deadline whose implementation enables the achievement of goals which contribute to the achievement of program goals. Special project types are capital projects and IPA projects. </w:t>
      </w:r>
      <w:r w:rsidR="00C167D8">
        <w:rPr>
          <w:color w:val="222222"/>
        </w:rPr>
        <w:t xml:space="preserve">The following was used to define program structure of a budget user: key responsibilities, organizational structure, budget execution from the previous year, and medium-terms plans and sectoral strategies. </w:t>
      </w:r>
      <w:r w:rsidR="00AB3A46">
        <w:rPr>
          <w:color w:val="222222"/>
        </w:rPr>
        <w:t xml:space="preserve">Ministry of Finance’s guidance includes: 3-7 programs per ministry and 1-3 per other budget users/agencies; value of budget funds being balanced by programs and programs of value below 5% of total budget of a budget user is not recommended; 2-10 activities and/or projects per program, 2-3 objectives per program, activities, and project; and </w:t>
      </w:r>
      <w:r w:rsidR="00F43F75">
        <w:rPr>
          <w:color w:val="222222"/>
        </w:rPr>
        <w:t>maximum 2 indicators per objective. In addition to three-tiered program structure, sectoral level is added as the highest level, with indicators also being defined at that level. In terms of formulating indicators, t</w:t>
      </w:r>
      <w:r w:rsidR="00F43F75" w:rsidRPr="00F43F75">
        <w:rPr>
          <w:color w:val="222222"/>
        </w:rPr>
        <w:t xml:space="preserve">he Ministry of </w:t>
      </w:r>
      <w:r w:rsidR="00F43F75">
        <w:rPr>
          <w:color w:val="222222"/>
        </w:rPr>
        <w:t>Finance prepared i</w:t>
      </w:r>
      <w:r w:rsidR="00F43F75" w:rsidRPr="00F43F75">
        <w:rPr>
          <w:color w:val="222222"/>
        </w:rPr>
        <w:t xml:space="preserve">nstructions for the preparation of program budgeting and </w:t>
      </w:r>
      <w:r w:rsidR="00F43F75">
        <w:rPr>
          <w:color w:val="222222"/>
        </w:rPr>
        <w:t>conducted</w:t>
      </w:r>
      <w:r w:rsidR="00F43F75" w:rsidRPr="00F43F75">
        <w:rPr>
          <w:color w:val="222222"/>
        </w:rPr>
        <w:t xml:space="preserve"> training for budget users</w:t>
      </w:r>
      <w:r w:rsidR="00F43F75">
        <w:rPr>
          <w:color w:val="222222"/>
        </w:rPr>
        <w:t>. There are c</w:t>
      </w:r>
      <w:r w:rsidR="00F43F75" w:rsidRPr="00F43F75">
        <w:rPr>
          <w:color w:val="222222"/>
        </w:rPr>
        <w:t>ertified instructors for program budgeting</w:t>
      </w:r>
      <w:r w:rsidR="00F43F75">
        <w:rPr>
          <w:color w:val="222222"/>
        </w:rPr>
        <w:t xml:space="preserve"> and intense training of t</w:t>
      </w:r>
      <w:r w:rsidR="00F43F75" w:rsidRPr="00F43F75">
        <w:rPr>
          <w:color w:val="222222"/>
        </w:rPr>
        <w:t>raining of analysts within the budget sector</w:t>
      </w:r>
      <w:r w:rsidR="00F43F75">
        <w:rPr>
          <w:color w:val="222222"/>
        </w:rPr>
        <w:t xml:space="preserve"> was conducted. This p</w:t>
      </w:r>
      <w:r w:rsidR="00F43F75" w:rsidRPr="00F43F75">
        <w:rPr>
          <w:color w:val="222222"/>
        </w:rPr>
        <w:t xml:space="preserve">rocess </w:t>
      </w:r>
      <w:r w:rsidR="00F43F75">
        <w:rPr>
          <w:color w:val="222222"/>
        </w:rPr>
        <w:t xml:space="preserve">was </w:t>
      </w:r>
      <w:r w:rsidR="00F43F75" w:rsidRPr="00F43F75">
        <w:rPr>
          <w:color w:val="222222"/>
        </w:rPr>
        <w:t>based on internal capacities with the help of consultants</w:t>
      </w:r>
      <w:r w:rsidR="00F43F75">
        <w:rPr>
          <w:color w:val="222222"/>
        </w:rPr>
        <w:t xml:space="preserve">. </w:t>
      </w:r>
      <w:r w:rsidR="00F43F75" w:rsidRPr="00F43F75">
        <w:rPr>
          <w:color w:val="222222"/>
        </w:rPr>
        <w:t>Indicators defined in strategic documents and action plans were used as the basis</w:t>
      </w:r>
      <w:r w:rsidR="00F43F75">
        <w:rPr>
          <w:color w:val="222222"/>
        </w:rPr>
        <w:t xml:space="preserve">, where they existed. Insisting on connection with strategic planning proved to be a key success factor </w:t>
      </w:r>
      <w:r w:rsidR="000F6CF7">
        <w:rPr>
          <w:color w:val="222222"/>
        </w:rPr>
        <w:t xml:space="preserve">and </w:t>
      </w:r>
      <w:r w:rsidR="000F6CF7" w:rsidRPr="00F43F75">
        <w:rPr>
          <w:color w:val="222222"/>
        </w:rPr>
        <w:t>defining</w:t>
      </w:r>
      <w:r w:rsidR="00F43F75" w:rsidRPr="00F43F75">
        <w:rPr>
          <w:color w:val="222222"/>
        </w:rPr>
        <w:t xml:space="preserve"> indicators in program budgeting has led to the improvement of quality in defining indicators in strategic documents</w:t>
      </w:r>
      <w:r w:rsidR="00F43F75">
        <w:rPr>
          <w:color w:val="222222"/>
        </w:rPr>
        <w:t xml:space="preserve">. Ms Cojbasic next presented in details types and examples of performance indicators for different sectors/budget users, as well as the general characteristics of indicators. </w:t>
      </w:r>
      <w:r w:rsidR="00F43F75" w:rsidRPr="00F43F75">
        <w:rPr>
          <w:color w:val="222222"/>
        </w:rPr>
        <w:t xml:space="preserve">The </w:t>
      </w:r>
      <w:r w:rsidR="00F43F75" w:rsidRPr="00F43F75">
        <w:rPr>
          <w:color w:val="222222"/>
        </w:rPr>
        <w:lastRenderedPageBreak/>
        <w:t>quality of indicators depends on the area; in areas such as education, transport and healthcare, it is easier to define good indicators</w:t>
      </w:r>
      <w:r w:rsidR="00F43F75">
        <w:rPr>
          <w:color w:val="222222"/>
        </w:rPr>
        <w:t>. There is still r</w:t>
      </w:r>
      <w:r w:rsidR="00F43F75" w:rsidRPr="00F43F75">
        <w:rPr>
          <w:color w:val="222222"/>
        </w:rPr>
        <w:t>oom for further improvement of indicator quality</w:t>
      </w:r>
      <w:r w:rsidR="00F43F75">
        <w:rPr>
          <w:color w:val="222222"/>
        </w:rPr>
        <w:t xml:space="preserve">. </w:t>
      </w:r>
      <w:r w:rsidR="00F43F75" w:rsidRPr="00F43F75">
        <w:rPr>
          <w:color w:val="222222"/>
        </w:rPr>
        <w:t>The most common issues related to defining indicators are: measuring and measuring costs, quality of verification so</w:t>
      </w:r>
      <w:r w:rsidR="00F43F75">
        <w:rPr>
          <w:color w:val="222222"/>
        </w:rPr>
        <w:t xml:space="preserve">urce and identification of baseline </w:t>
      </w:r>
      <w:r w:rsidR="00F43F75" w:rsidRPr="00F43F75">
        <w:rPr>
          <w:color w:val="222222"/>
        </w:rPr>
        <w:t>value</w:t>
      </w:r>
      <w:r w:rsidR="00F43F75">
        <w:rPr>
          <w:color w:val="222222"/>
        </w:rPr>
        <w:t xml:space="preserve">. </w:t>
      </w:r>
      <w:r w:rsidR="00F43F75" w:rsidRPr="00F43F75">
        <w:rPr>
          <w:color w:val="222222"/>
        </w:rPr>
        <w:t>Indicators with gender component are also introduced</w:t>
      </w:r>
      <w:r w:rsidR="00DB698C">
        <w:rPr>
          <w:color w:val="222222"/>
        </w:rPr>
        <w:t xml:space="preserve">. Serbian main lessons learned include that: it is necessary to include all relevant strategic level staff from each budget user in defining indicators, as opposed to working only with the budget staff; </w:t>
      </w:r>
      <w:r w:rsidR="0054313C">
        <w:rPr>
          <w:color w:val="222222"/>
        </w:rPr>
        <w:t>i</w:t>
      </w:r>
      <w:r w:rsidR="0054313C" w:rsidRPr="0054313C">
        <w:rPr>
          <w:color w:val="222222"/>
        </w:rPr>
        <w:t>ntroduction of monitoring and reporting on the program performance increased the quality of and the commitment to defining indicators</w:t>
      </w:r>
      <w:r w:rsidR="0054313C">
        <w:rPr>
          <w:color w:val="222222"/>
        </w:rPr>
        <w:t>; t</w:t>
      </w:r>
      <w:r w:rsidR="0054313C" w:rsidRPr="0054313C">
        <w:rPr>
          <w:color w:val="222222"/>
        </w:rPr>
        <w:t>raining, cooperation and continuous communication of analysts with budget users represent a material factor which has contributed to the increase in indicator quality</w:t>
      </w:r>
      <w:r w:rsidR="0054313C">
        <w:rPr>
          <w:color w:val="222222"/>
        </w:rPr>
        <w:t>; and b</w:t>
      </w:r>
      <w:r w:rsidR="0054313C" w:rsidRPr="0054313C">
        <w:rPr>
          <w:color w:val="222222"/>
        </w:rPr>
        <w:t xml:space="preserve">ased on the practical experience, </w:t>
      </w:r>
      <w:r w:rsidR="0054313C">
        <w:rPr>
          <w:color w:val="222222"/>
        </w:rPr>
        <w:t>i</w:t>
      </w:r>
      <w:r w:rsidR="0054313C" w:rsidRPr="0054313C">
        <w:rPr>
          <w:color w:val="222222"/>
        </w:rPr>
        <w:t>nstructions for the preparation of program budgeting are</w:t>
      </w:r>
      <w:r w:rsidR="0054313C">
        <w:rPr>
          <w:color w:val="222222"/>
        </w:rPr>
        <w:t xml:space="preserve"> continuously</w:t>
      </w:r>
      <w:r w:rsidR="0054313C" w:rsidRPr="0054313C">
        <w:rPr>
          <w:color w:val="222222"/>
        </w:rPr>
        <w:t xml:space="preserve"> improved – program activities were defined for which it was not necessary to define indicators</w:t>
      </w:r>
      <w:r w:rsidR="0054313C">
        <w:rPr>
          <w:color w:val="222222"/>
        </w:rPr>
        <w:t xml:space="preserve">. </w:t>
      </w:r>
    </w:p>
    <w:p w14:paraId="1049FDA4" w14:textId="5D228905" w:rsidR="005A7B95" w:rsidRPr="00551A2D" w:rsidRDefault="000F6CF7" w:rsidP="00551A2D">
      <w:pPr>
        <w:pStyle w:val="NormalWeb"/>
        <w:spacing w:after="160" w:line="259" w:lineRule="auto"/>
        <w:jc w:val="both"/>
        <w:rPr>
          <w:color w:val="222222"/>
        </w:rPr>
      </w:pPr>
      <w:r w:rsidRPr="000F6CF7">
        <w:rPr>
          <w:b/>
          <w:color w:val="222222"/>
        </w:rPr>
        <w:t>In the afternoon on Day 2, discussion groups were organized for the participants to discuss types of indicators and process of developing indicators, as well as their monitoring and evaluation.</w:t>
      </w:r>
      <w:r w:rsidRPr="000F6CF7">
        <w:rPr>
          <w:color w:val="222222"/>
        </w:rPr>
        <w:t xml:space="preserve"> The participants recognized the importance of Finance Ministries’ role in leading the process to ensure overall comparability and standardization, however the ultimate responsibility should be with the line ministries/agencies. Possible distinguishing among several types of indicators based on levels were discussed, such as indicators at highest outcome level for policies/sectors, outcome indicators at program level, and output indicators at sub-program/activity/project level. As the level of control of government differs at these three levels, the accountability level should also be differentiated, noting that for the highest outcome level it is not possible to directly link allocations. At the same time, it is important that the Ministry of Finance or some other central agency plays a role of quality assurance to ensure the balance between lowest level output results and outcome results to avoid tracking of only process level indicators. Different levels and types of spending are </w:t>
      </w:r>
      <w:r w:rsidR="00043BA1">
        <w:rPr>
          <w:color w:val="222222"/>
        </w:rPr>
        <w:t xml:space="preserve">not equally </w:t>
      </w:r>
      <w:r w:rsidRPr="000F6CF7">
        <w:rPr>
          <w:color w:val="222222"/>
        </w:rPr>
        <w:t xml:space="preserve">suitable for defining and monitoring of indicators, in particular for administrative functions, </w:t>
      </w:r>
      <w:r w:rsidR="00043BA1">
        <w:rPr>
          <w:color w:val="222222"/>
        </w:rPr>
        <w:t xml:space="preserve">and this </w:t>
      </w:r>
      <w:r w:rsidRPr="000F6CF7">
        <w:rPr>
          <w:color w:val="222222"/>
        </w:rPr>
        <w:t xml:space="preserve">needs to be taken into account. While complete standardization is not possible, the exceptions should be kept at minimum. Special attention should be devoted </w:t>
      </w:r>
      <w:r w:rsidR="00AA75CD" w:rsidRPr="000F6CF7">
        <w:rPr>
          <w:color w:val="222222"/>
        </w:rPr>
        <w:t>to indicators</w:t>
      </w:r>
      <w:r w:rsidRPr="000F6CF7">
        <w:rPr>
          <w:color w:val="222222"/>
        </w:rPr>
        <w:t xml:space="preserve"> which measure final influence on citizens. Monitoring and evaluation are generally weak in PEMPAL countries, but most countries have current plans/strategies to strengthen these. While line ministries/agencies should be in charge of regular monitoring and reporting, an external verification process should exist as well. Evaluations and spending reviews will be in focus in PEMPAL countries in future, as is the case in OECD countries. Mixed teams should be conducting these, including relevant line ministry/agency staff, Ministry of Finance staff, government strategic office staff (where relevant), as well as external independent experts. </w:t>
      </w:r>
    </w:p>
    <w:p w14:paraId="6B57C207" w14:textId="48F1A66B" w:rsidR="005A7B95" w:rsidRPr="00AA75CD" w:rsidRDefault="005A7B95" w:rsidP="00AA75CD">
      <w:pPr>
        <w:pStyle w:val="Heading1"/>
        <w:numPr>
          <w:ilvl w:val="0"/>
          <w:numId w:val="36"/>
        </w:numPr>
        <w:rPr>
          <w:rFonts w:ascii="Times New Roman" w:eastAsia="Times New Roman" w:hAnsi="Times New Roman" w:cs="Times New Roman"/>
          <w:b/>
          <w:sz w:val="24"/>
          <w:szCs w:val="24"/>
          <w:lang w:eastAsia="bs-Latn-BA"/>
        </w:rPr>
      </w:pPr>
      <w:bookmarkStart w:id="10" w:name="_Toc511655354"/>
      <w:r w:rsidRPr="00AA75CD">
        <w:rPr>
          <w:rFonts w:ascii="Times New Roman" w:eastAsia="Times New Roman" w:hAnsi="Times New Roman" w:cs="Times New Roman"/>
          <w:b/>
          <w:sz w:val="24"/>
          <w:szCs w:val="24"/>
          <w:lang w:eastAsia="bs-Latn-BA"/>
        </w:rPr>
        <w:t xml:space="preserve">Day Three – Hosted by the Budget Literacy and Transparency Working Group (BLTWG), with </w:t>
      </w:r>
      <w:r w:rsidR="00043BA1" w:rsidRPr="00AA75CD">
        <w:rPr>
          <w:rFonts w:ascii="Times New Roman" w:eastAsia="Times New Roman" w:hAnsi="Times New Roman" w:cs="Times New Roman"/>
          <w:b/>
          <w:sz w:val="24"/>
          <w:szCs w:val="24"/>
          <w:lang w:eastAsia="bs-Latn-BA"/>
        </w:rPr>
        <w:t xml:space="preserve">the </w:t>
      </w:r>
      <w:r w:rsidRPr="00AA75CD">
        <w:rPr>
          <w:rFonts w:ascii="Times New Roman" w:eastAsia="Times New Roman" w:hAnsi="Times New Roman" w:cs="Times New Roman"/>
          <w:b/>
          <w:sz w:val="24"/>
          <w:szCs w:val="24"/>
          <w:lang w:eastAsia="bs-Latn-BA"/>
        </w:rPr>
        <w:t>Focus on Public Participation</w:t>
      </w:r>
      <w:r w:rsidR="00526BF0" w:rsidRPr="00AA75CD">
        <w:rPr>
          <w:rFonts w:ascii="Times New Roman" w:eastAsia="Times New Roman" w:hAnsi="Times New Roman" w:cs="Times New Roman"/>
          <w:b/>
          <w:sz w:val="24"/>
          <w:szCs w:val="24"/>
          <w:lang w:eastAsia="bs-Latn-BA"/>
        </w:rPr>
        <w:t xml:space="preserve"> in Fiscal Policy and Budget Process</w:t>
      </w:r>
      <w:bookmarkEnd w:id="10"/>
    </w:p>
    <w:p w14:paraId="038D58A6" w14:textId="65253016" w:rsidR="00F43F75" w:rsidRPr="00DB2216" w:rsidRDefault="005A7B95" w:rsidP="005A7B95">
      <w:pPr>
        <w:pStyle w:val="NormalWeb"/>
        <w:spacing w:after="160" w:line="259" w:lineRule="auto"/>
        <w:jc w:val="both"/>
      </w:pPr>
      <w:r w:rsidRPr="00DB2216">
        <w:rPr>
          <w:b/>
        </w:rPr>
        <w:t xml:space="preserve">The BLTWG Lead, Anna Belenchuk, provided an overview of the progress of the Group. </w:t>
      </w:r>
      <w:r w:rsidRPr="00DB2216">
        <w:t>The Group</w:t>
      </w:r>
      <w:r w:rsidR="00E65DB8">
        <w:t xml:space="preserve"> held 5 face-to-face meetings, 3 videoconferences, and one learning visit since May 2015 and also conducted a thematic survey of members in 2015. The work focused on two knowledge products: </w:t>
      </w:r>
      <w:r w:rsidR="00E65DB8" w:rsidRPr="00370D5B">
        <w:rPr>
          <w:i/>
        </w:rPr>
        <w:t>Overcoming Barriers in Citizen’s Budget Preparation in PEMPAL Member States</w:t>
      </w:r>
      <w:r w:rsidR="00E65DB8" w:rsidRPr="00E65DB8">
        <w:t xml:space="preserve"> (2016-2017)</w:t>
      </w:r>
      <w:r w:rsidR="00E65DB8">
        <w:t xml:space="preserve"> and </w:t>
      </w:r>
      <w:r w:rsidR="00E65DB8" w:rsidRPr="00370D5B">
        <w:rPr>
          <w:i/>
        </w:rPr>
        <w:t>Public Participation in the Fiscal Policy and Budget Process</w:t>
      </w:r>
      <w:r w:rsidR="00370D5B">
        <w:t xml:space="preserve">: </w:t>
      </w:r>
      <w:r w:rsidR="00E65DB8" w:rsidRPr="00370D5B">
        <w:rPr>
          <w:i/>
        </w:rPr>
        <w:t>How to Create and/or Strengthen th</w:t>
      </w:r>
      <w:r w:rsidR="00551A2D">
        <w:rPr>
          <w:i/>
        </w:rPr>
        <w:t>e Mechanisms in PEMPAL Countries</w:t>
      </w:r>
      <w:r w:rsidR="00E65DB8" w:rsidRPr="00E65DB8">
        <w:t xml:space="preserve"> (2017-2018) – in progress</w:t>
      </w:r>
      <w:r w:rsidR="00E65DB8">
        <w:t xml:space="preserve">. The main subtopics included budget </w:t>
      </w:r>
      <w:r w:rsidR="00E65DB8">
        <w:lastRenderedPageBreak/>
        <w:t>transparency and access, including citizens’ budgets; budget literacy; and public participation in budget process</w:t>
      </w:r>
      <w:r w:rsidR="00370D5B">
        <w:t>. Within budget transparency and access, the Group tackled issues of h</w:t>
      </w:r>
      <w:r w:rsidR="00370D5B" w:rsidRPr="00370D5B">
        <w:t>ow to make the government budget easier–to-understand for citizens by means of adopting a ‘citizens</w:t>
      </w:r>
      <w:r w:rsidR="00370D5B">
        <w:t>’</w:t>
      </w:r>
      <w:r w:rsidR="00370D5B" w:rsidRPr="00370D5B">
        <w:t xml:space="preserve"> budget’, developing information portals, projects for students and basic</w:t>
      </w:r>
      <w:r w:rsidR="00370D5B">
        <w:t xml:space="preserve"> learning programs for schools. Intense discussions and background research on best global practices were conducted on a</w:t>
      </w:r>
      <w:r w:rsidR="00370D5B" w:rsidRPr="00370D5B">
        <w:t xml:space="preserve">ddressing 10 challenges related to </w:t>
      </w:r>
      <w:r w:rsidR="00370D5B">
        <w:t xml:space="preserve">the development of the citizens’ </w:t>
      </w:r>
      <w:r w:rsidR="00370D5B" w:rsidRPr="00370D5B">
        <w:t>budget, encountered by the WG member states</w:t>
      </w:r>
      <w:r w:rsidR="00370D5B">
        <w:t xml:space="preserve">. In addition, experiences were exchanged on </w:t>
      </w:r>
      <w:r w:rsidR="00370D5B" w:rsidRPr="00370D5B">
        <w:t>drivers of success facilitating improved budget transparency, using country case-studie</w:t>
      </w:r>
      <w:r w:rsidR="00370D5B">
        <w:t>s of</w:t>
      </w:r>
      <w:r w:rsidR="00370D5B" w:rsidRPr="00370D5B">
        <w:t xml:space="preserve"> Romania</w:t>
      </w:r>
      <w:r w:rsidR="00370D5B">
        <w:t>,</w:t>
      </w:r>
      <w:r w:rsidR="00370D5B" w:rsidRPr="00370D5B">
        <w:t xml:space="preserve"> Russia </w:t>
      </w:r>
      <w:r w:rsidR="00370D5B">
        <w:t>and</w:t>
      </w:r>
      <w:r w:rsidR="00370D5B" w:rsidRPr="00370D5B">
        <w:t xml:space="preserve"> Kyrgyz Republic</w:t>
      </w:r>
      <w:r w:rsidR="00370D5B">
        <w:t xml:space="preserve">. </w:t>
      </w:r>
      <w:r w:rsidR="00D10539">
        <w:t>Additionally,</w:t>
      </w:r>
      <w:r w:rsidR="00370D5B">
        <w:t xml:space="preserve"> a learning vi</w:t>
      </w:r>
      <w:r w:rsidR="00D10539">
        <w:t xml:space="preserve">sit to Croatia was held in 2016. </w:t>
      </w:r>
      <w:r w:rsidR="000840E1">
        <w:t xml:space="preserve">Within budget literacy, the Group reviewed </w:t>
      </w:r>
      <w:r w:rsidR="006414AE">
        <w:t xml:space="preserve">international </w:t>
      </w:r>
      <w:r w:rsidR="006414AE" w:rsidRPr="006414AE">
        <w:t>practices related to budget liter</w:t>
      </w:r>
      <w:r w:rsidR="006414AE">
        <w:t xml:space="preserve">acy based on the World Bank’s survey of over 30 countries and reviewed </w:t>
      </w:r>
      <w:r w:rsidR="006414AE" w:rsidRPr="006414AE">
        <w:t xml:space="preserve">outcomes of the World Bank’s and the MoF of Russia’s Project ‘Budget Literacy for High-Grade Students’ </w:t>
      </w:r>
      <w:r w:rsidR="006414AE">
        <w:t>in 2017. Finally, within public participation, the Group r</w:t>
      </w:r>
      <w:r w:rsidR="006414AE" w:rsidRPr="006414AE">
        <w:t>eview</w:t>
      </w:r>
      <w:r w:rsidR="006414AE">
        <w:t>ed</w:t>
      </w:r>
      <w:r w:rsidR="006414AE" w:rsidRPr="006414AE">
        <w:t xml:space="preserve"> the new Principles of Public Participation in F</w:t>
      </w:r>
      <w:r w:rsidR="006414AE">
        <w:t xml:space="preserve">iscal Policy developed by GIFT </w:t>
      </w:r>
      <w:r w:rsidR="006414AE" w:rsidRPr="006414AE">
        <w:t>and changes to the IBP public participation assessment methodology</w:t>
      </w:r>
      <w:r w:rsidR="006414AE">
        <w:t>; exchanged</w:t>
      </w:r>
      <w:r w:rsidR="006414AE" w:rsidRPr="006414AE">
        <w:t xml:space="preserve"> countries’ practices in the area of public participation in the budget process</w:t>
      </w:r>
      <w:r w:rsidR="006414AE">
        <w:t xml:space="preserve"> in Brazil and Kyrgyz Republic; and has worked on f</w:t>
      </w:r>
      <w:r w:rsidR="006414AE" w:rsidRPr="006414AE">
        <w:t>ormulating the concept of a knowledge product that would be instrumental in further reforms in th</w:t>
      </w:r>
      <w:r w:rsidR="006414AE">
        <w:t xml:space="preserve">e area of public participation. Ms. Belenchuk stressed that the BLTWG’s knowledge product on </w:t>
      </w:r>
      <w:r w:rsidR="009F67BA">
        <w:t>the citizens</w:t>
      </w:r>
      <w:r w:rsidR="008C03C7">
        <w:t>’</w:t>
      </w:r>
      <w:r w:rsidR="00577F0C">
        <w:t xml:space="preserve"> </w:t>
      </w:r>
      <w:r w:rsidR="008C03C7">
        <w:t>budg</w:t>
      </w:r>
      <w:r w:rsidR="00577F0C">
        <w:t xml:space="preserve">ets, </w:t>
      </w:r>
      <w:r w:rsidR="00551A2D">
        <w:t>containing</w:t>
      </w:r>
      <w:r w:rsidR="00551A2D" w:rsidRPr="00551A2D">
        <w:t xml:space="preserve"> proposals (options) for addressing 10 challenges encou</w:t>
      </w:r>
      <w:r w:rsidR="00551A2D">
        <w:t xml:space="preserve">ntered by the WG member states </w:t>
      </w:r>
      <w:r w:rsidR="00551A2D" w:rsidRPr="00551A2D">
        <w:t>based on the member</w:t>
      </w:r>
      <w:r w:rsidR="00551A2D">
        <w:t>s’</w:t>
      </w:r>
      <w:r w:rsidR="00551A2D" w:rsidRPr="00551A2D">
        <w:t xml:space="preserve"> recommendations and international experience</w:t>
      </w:r>
      <w:r w:rsidR="00551A2D">
        <w:t>, has been highly appraised by international organizations, including the OECD, IBP, GIFT, and Public Finance Institute from Croatia. The BLTWG’s</w:t>
      </w:r>
      <w:r w:rsidR="00551A2D" w:rsidRPr="00551A2D">
        <w:t xml:space="preserve"> objective now is to </w:t>
      </w:r>
      <w:r w:rsidR="008B6ACD" w:rsidRPr="00551A2D">
        <w:t>e</w:t>
      </w:r>
      <w:r w:rsidR="008B6ACD">
        <w:t>xpand</w:t>
      </w:r>
      <w:r w:rsidR="00551A2D" w:rsidRPr="00551A2D">
        <w:t xml:space="preserve"> </w:t>
      </w:r>
      <w:r w:rsidR="00551A2D">
        <w:t xml:space="preserve">its </w:t>
      </w:r>
      <w:r w:rsidR="00551A2D" w:rsidRPr="00551A2D">
        <w:t>activity on the basis of wha</w:t>
      </w:r>
      <w:r w:rsidR="00551A2D">
        <w:t xml:space="preserve">t has already been achieved and </w:t>
      </w:r>
      <w:r w:rsidR="00551A2D" w:rsidRPr="00551A2D">
        <w:t>use citizens budgets as a tool promoting more active public participation in the budget process</w:t>
      </w:r>
      <w:r w:rsidR="008B6ACD">
        <w:t xml:space="preserve">. </w:t>
      </w:r>
      <w:r w:rsidR="008B6ACD" w:rsidRPr="004B2B19">
        <w:rPr>
          <w:color w:val="222222"/>
        </w:rPr>
        <w:t>Further comments on this draft product, prepared based on detailed data and information collected from ten PEMPAL countries) were sought from the broader BCOP membership at this event, which will be used to finalize the product</w:t>
      </w:r>
    </w:p>
    <w:p w14:paraId="402E6122" w14:textId="23DF9B1C" w:rsidR="00526BF0" w:rsidRDefault="00526BF0" w:rsidP="00526BF0">
      <w:pPr>
        <w:shd w:val="clear" w:color="auto" w:fill="FFFFFF"/>
        <w:jc w:val="both"/>
        <w:rPr>
          <w:rFonts w:ascii="Times New Roman" w:eastAsia="Times New Roman" w:hAnsi="Times New Roman" w:cs="Times New Roman"/>
          <w:color w:val="000000" w:themeColor="text1"/>
          <w:sz w:val="24"/>
          <w:szCs w:val="24"/>
        </w:rPr>
      </w:pPr>
      <w:r w:rsidRPr="00DB2216">
        <w:rPr>
          <w:rFonts w:ascii="Times New Roman" w:hAnsi="Times New Roman" w:cs="Times New Roman"/>
          <w:b/>
          <w:color w:val="222222"/>
          <w:sz w:val="24"/>
          <w:szCs w:val="24"/>
        </w:rPr>
        <w:t xml:space="preserve">Harika Masud, Social Development Specialist, World Bank, presented the BLTWG’s progress towards the knowledge product on public participation in fiscal policy and budget process. </w:t>
      </w:r>
      <w:r w:rsidRPr="00DB2216">
        <w:rPr>
          <w:rFonts w:ascii="Times New Roman" w:eastAsia="Times New Roman" w:hAnsi="Times New Roman" w:cs="Times New Roman"/>
          <w:color w:val="4472C4"/>
          <w:sz w:val="24"/>
          <w:szCs w:val="24"/>
        </w:rPr>
        <w:t> </w:t>
      </w:r>
      <w:r w:rsidRPr="00DB2216">
        <w:rPr>
          <w:rFonts w:ascii="Times New Roman" w:eastAsia="Times New Roman" w:hAnsi="Times New Roman" w:cs="Times New Roman"/>
          <w:color w:val="000000" w:themeColor="text1"/>
          <w:sz w:val="24"/>
          <w:szCs w:val="24"/>
        </w:rPr>
        <w:t>In</w:t>
      </w:r>
      <w:r w:rsidRPr="00526BF0">
        <w:rPr>
          <w:rFonts w:ascii="Times New Roman" w:eastAsia="Times New Roman" w:hAnsi="Times New Roman" w:cs="Times New Roman"/>
          <w:color w:val="000000" w:themeColor="text1"/>
          <w:sz w:val="24"/>
          <w:szCs w:val="24"/>
        </w:rPr>
        <w:t xml:space="preserve"> her presentation </w:t>
      </w:r>
      <w:r w:rsidRPr="00DB2216">
        <w:rPr>
          <w:rFonts w:ascii="Times New Roman" w:eastAsia="Times New Roman" w:hAnsi="Times New Roman" w:cs="Times New Roman"/>
          <w:color w:val="000000" w:themeColor="text1"/>
          <w:sz w:val="24"/>
          <w:szCs w:val="24"/>
        </w:rPr>
        <w:t>she</w:t>
      </w:r>
      <w:r w:rsidRPr="00526BF0">
        <w:rPr>
          <w:rFonts w:ascii="Times New Roman" w:eastAsia="Times New Roman" w:hAnsi="Times New Roman" w:cs="Times New Roman"/>
          <w:color w:val="000000" w:themeColor="text1"/>
          <w:sz w:val="24"/>
          <w:szCs w:val="24"/>
        </w:rPr>
        <w:t xml:space="preserve"> focused on discussing the 2017 PEMPAL survey findings for 6 participating countries (Belarus, Croatia, Kyrgyz Republic, Russian Federation, Serbia and Uzbekistan), against the backdrop of international standards on public participation established by the IMF, the OECD, GIFT, IBP and others.  The PEMPAL survey findings focused on both supply and demand aspects to foster public engagement on fiscal issues.  On the supply side, only 2 of the 6 countries specified that they have procedural measures in place to ensure accountability for responding to feedback during public consultations. Online/written petitions and budget hearings/consultations are the mechanisms being used by most of the 6 countries. The survey also found that much of the efforts to engage with the public are concentrated during the budget preparation stage, and tend to dwindle during the execution and audit stages of the budget cycle. On the demand side, the survey found that although no groups are excluded from participating in the fiscal process, it is unclear whether vulnerable or under-represented groups have opportunities to be represented. While CSOs use various mechanisms to participate in the budget process, there are no systematic efforts to organize trainings for NGOs, journalists</w:t>
      </w:r>
      <w:r w:rsidR="00DB2216" w:rsidRPr="00DB2216">
        <w:rPr>
          <w:rFonts w:ascii="Times New Roman" w:eastAsia="Times New Roman" w:hAnsi="Times New Roman" w:cs="Times New Roman"/>
          <w:color w:val="000000" w:themeColor="text1"/>
          <w:sz w:val="24"/>
          <w:szCs w:val="24"/>
        </w:rPr>
        <w:t>,</w:t>
      </w:r>
      <w:r w:rsidRPr="00526BF0">
        <w:rPr>
          <w:rFonts w:ascii="Times New Roman" w:eastAsia="Times New Roman" w:hAnsi="Times New Roman" w:cs="Times New Roman"/>
          <w:color w:val="000000" w:themeColor="text1"/>
          <w:sz w:val="24"/>
          <w:szCs w:val="24"/>
        </w:rPr>
        <w:t xml:space="preserve"> and media on budget related issues.</w:t>
      </w:r>
      <w:r w:rsidRPr="00DB2216">
        <w:rPr>
          <w:rFonts w:ascii="Times New Roman" w:eastAsia="Times New Roman" w:hAnsi="Times New Roman" w:cs="Times New Roman"/>
          <w:color w:val="000000" w:themeColor="text1"/>
          <w:sz w:val="24"/>
          <w:szCs w:val="24"/>
        </w:rPr>
        <w:t xml:space="preserve"> </w:t>
      </w:r>
      <w:r w:rsidRPr="00526BF0">
        <w:rPr>
          <w:rFonts w:ascii="Times New Roman" w:eastAsia="Times New Roman" w:hAnsi="Times New Roman" w:cs="Times New Roman"/>
          <w:color w:val="000000" w:themeColor="text1"/>
          <w:sz w:val="24"/>
          <w:szCs w:val="24"/>
        </w:rPr>
        <w:t xml:space="preserve">Based on the Survey’s findings, some of the key recommendations for the Budget Literacy and Transparency Working Group included encouraging line ministries </w:t>
      </w:r>
      <w:r w:rsidRPr="00DB2216">
        <w:rPr>
          <w:rFonts w:ascii="Times New Roman" w:eastAsia="Times New Roman" w:hAnsi="Times New Roman" w:cs="Times New Roman"/>
          <w:color w:val="000000" w:themeColor="text1"/>
          <w:sz w:val="24"/>
          <w:szCs w:val="24"/>
        </w:rPr>
        <w:t>and</w:t>
      </w:r>
      <w:r w:rsidRPr="00526BF0">
        <w:rPr>
          <w:rFonts w:ascii="Times New Roman" w:eastAsia="Times New Roman" w:hAnsi="Times New Roman" w:cs="Times New Roman"/>
          <w:color w:val="000000" w:themeColor="text1"/>
          <w:sz w:val="24"/>
          <w:szCs w:val="24"/>
        </w:rPr>
        <w:t xml:space="preserve"> SAIs to utilize interactive public participation mechanisms during the stages of budget execution and audit; increasing outreach and engagement with vulnerable and marginalized groups; issuing guidelines to </w:t>
      </w:r>
      <w:r w:rsidRPr="00526BF0">
        <w:rPr>
          <w:rFonts w:ascii="Times New Roman" w:eastAsia="Times New Roman" w:hAnsi="Times New Roman" w:cs="Times New Roman"/>
          <w:color w:val="000000" w:themeColor="text1"/>
          <w:sz w:val="24"/>
          <w:szCs w:val="24"/>
        </w:rPr>
        <w:lastRenderedPageBreak/>
        <w:t>specify the role of citizens in the budget process and the steps required to address their feedback in a timely manner, particularly in contexts where overarching legislative frameworks do not provide detailed advice; and exploring arrangements for public entities to organize regular budget literacy trainings in collaboration with NGOs, academics, development partners</w:t>
      </w:r>
      <w:r w:rsidRPr="00DB2216">
        <w:rPr>
          <w:rFonts w:ascii="Times New Roman" w:eastAsia="Times New Roman" w:hAnsi="Times New Roman" w:cs="Times New Roman"/>
          <w:color w:val="000000" w:themeColor="text1"/>
          <w:sz w:val="24"/>
          <w:szCs w:val="24"/>
        </w:rPr>
        <w:t>,</w:t>
      </w:r>
      <w:r w:rsidRPr="00526BF0">
        <w:rPr>
          <w:rFonts w:ascii="Times New Roman" w:eastAsia="Times New Roman" w:hAnsi="Times New Roman" w:cs="Times New Roman"/>
          <w:color w:val="000000" w:themeColor="text1"/>
          <w:sz w:val="24"/>
          <w:szCs w:val="24"/>
        </w:rPr>
        <w:t xml:space="preserve"> and other stakeholders.</w:t>
      </w:r>
      <w:r w:rsidR="008B6ACD">
        <w:rPr>
          <w:rFonts w:ascii="Times New Roman" w:eastAsia="Times New Roman" w:hAnsi="Times New Roman" w:cs="Times New Roman"/>
          <w:color w:val="000000" w:themeColor="text1"/>
          <w:sz w:val="24"/>
          <w:szCs w:val="24"/>
        </w:rPr>
        <w:t xml:space="preserve"> </w:t>
      </w:r>
      <w:r w:rsidR="008B6ACD" w:rsidRPr="008B6ACD">
        <w:rPr>
          <w:rFonts w:ascii="Times New Roman" w:eastAsia="Times New Roman" w:hAnsi="Times New Roman" w:cs="Times New Roman"/>
          <w:color w:val="000000" w:themeColor="text1"/>
          <w:sz w:val="24"/>
          <w:szCs w:val="24"/>
        </w:rPr>
        <w:t>Further comments on this draft product, prepared based on detailed information collected from six PEMPAL countries) were sought from the broader BCOP membership at this event, which will be used to finalize the product.</w:t>
      </w:r>
    </w:p>
    <w:p w14:paraId="140DD7DF" w14:textId="02776FD7" w:rsidR="00573A7E" w:rsidRPr="00C020C4" w:rsidRDefault="008B6ACD" w:rsidP="00573A7E">
      <w:pPr>
        <w:shd w:val="clear" w:color="auto" w:fill="FFFFFF"/>
        <w:jc w:val="both"/>
        <w:rPr>
          <w:rFonts w:ascii="Times New Roman" w:eastAsia="Times New Roman" w:hAnsi="Times New Roman" w:cs="Times New Roman"/>
          <w:bCs/>
          <w:color w:val="000000" w:themeColor="text1"/>
          <w:sz w:val="24"/>
          <w:szCs w:val="24"/>
        </w:rPr>
      </w:pPr>
      <w:r w:rsidRPr="00272414">
        <w:rPr>
          <w:rFonts w:ascii="Times New Roman" w:eastAsia="Times New Roman" w:hAnsi="Times New Roman" w:cs="Times New Roman"/>
          <w:b/>
          <w:color w:val="000000" w:themeColor="text1"/>
          <w:sz w:val="24"/>
          <w:szCs w:val="24"/>
        </w:rPr>
        <w:t>Sally Torbert, Program Officer from IBP, presented the public participation results of the 2017 IBP’s Open Budget Survey (OBS)</w:t>
      </w:r>
      <w:r>
        <w:rPr>
          <w:rFonts w:ascii="Times New Roman" w:eastAsia="Times New Roman" w:hAnsi="Times New Roman" w:cs="Times New Roman"/>
          <w:color w:val="000000" w:themeColor="text1"/>
          <w:sz w:val="24"/>
          <w:szCs w:val="24"/>
        </w:rPr>
        <w:t>.</w:t>
      </w:r>
      <w:r w:rsidR="00272414">
        <w:rPr>
          <w:rFonts w:ascii="Times New Roman" w:eastAsia="Times New Roman" w:hAnsi="Times New Roman" w:cs="Times New Roman"/>
          <w:color w:val="000000" w:themeColor="text1"/>
          <w:sz w:val="24"/>
          <w:szCs w:val="24"/>
        </w:rPr>
        <w:t xml:space="preserve"> The OBS measures transparency (109 indicators used to construct the Open Budget Index), oversight (18 revised questions examine formal oversight institutions), and public participation (18 new questions examine opportunities for public participation in national budget decision-making and oversight). The 2017 OBS results indicate that governments overall fail to make sufficient information available to the public to understand, debate, and participate in budget decisions. </w:t>
      </w:r>
      <w:r w:rsidR="00D53057">
        <w:rPr>
          <w:rFonts w:ascii="Times New Roman" w:eastAsia="Times New Roman" w:hAnsi="Times New Roman" w:cs="Times New Roman"/>
          <w:color w:val="000000" w:themeColor="text1"/>
          <w:sz w:val="24"/>
          <w:szCs w:val="24"/>
        </w:rPr>
        <w:t xml:space="preserve">Global score is 42/100. </w:t>
      </w:r>
      <w:r w:rsidR="00272414" w:rsidRPr="00272414">
        <w:rPr>
          <w:rFonts w:ascii="Times New Roman" w:eastAsia="Times New Roman" w:hAnsi="Times New Roman" w:cs="Times New Roman"/>
          <w:bCs/>
          <w:color w:val="000000" w:themeColor="text1"/>
          <w:sz w:val="24"/>
          <w:szCs w:val="24"/>
        </w:rPr>
        <w:t>On average, PEMPAL countries provide limited budget information</w:t>
      </w:r>
      <w:r w:rsidR="00D53057">
        <w:rPr>
          <w:rFonts w:ascii="Times New Roman" w:eastAsia="Times New Roman" w:hAnsi="Times New Roman" w:cs="Times New Roman"/>
          <w:bCs/>
          <w:color w:val="000000" w:themeColor="text1"/>
          <w:sz w:val="24"/>
          <w:szCs w:val="24"/>
        </w:rPr>
        <w:t>, based on 18 PEMPAL countries included in the 2017 OBS, scoring an average 54/100, while OECD countries score an average of 68/100. When it comes to budget documents, 78% of documents are publically available on average, while more than half of publically unavailable documents are actually internally available, thus PEMPAL countries can easily increase the score by publishing t</w:t>
      </w:r>
      <w:r w:rsidR="00C020C4">
        <w:rPr>
          <w:rFonts w:ascii="Times New Roman" w:eastAsia="Times New Roman" w:hAnsi="Times New Roman" w:cs="Times New Roman"/>
          <w:bCs/>
          <w:color w:val="000000" w:themeColor="text1"/>
          <w:sz w:val="24"/>
          <w:szCs w:val="24"/>
        </w:rPr>
        <w:t>hese documents. Another finding</w:t>
      </w:r>
      <w:r w:rsidR="00D53057">
        <w:rPr>
          <w:rFonts w:ascii="Times New Roman" w:eastAsia="Times New Roman" w:hAnsi="Times New Roman" w:cs="Times New Roman"/>
          <w:bCs/>
          <w:color w:val="000000" w:themeColor="text1"/>
          <w:sz w:val="24"/>
          <w:szCs w:val="24"/>
        </w:rPr>
        <w:t xml:space="preserve"> of the 2017 OBS is that the p</w:t>
      </w:r>
      <w:r w:rsidR="00D53057" w:rsidRPr="00D53057">
        <w:rPr>
          <w:rFonts w:ascii="Times New Roman" w:eastAsia="Times New Roman" w:hAnsi="Times New Roman" w:cs="Times New Roman"/>
          <w:bCs/>
          <w:color w:val="000000" w:themeColor="text1"/>
          <w:sz w:val="24"/>
          <w:szCs w:val="24"/>
        </w:rPr>
        <w:t xml:space="preserve">rogress toward greater transparency </w:t>
      </w:r>
      <w:r w:rsidR="00D53057">
        <w:rPr>
          <w:rFonts w:ascii="Times New Roman" w:eastAsia="Times New Roman" w:hAnsi="Times New Roman" w:cs="Times New Roman"/>
          <w:bCs/>
          <w:color w:val="000000" w:themeColor="text1"/>
          <w:sz w:val="24"/>
          <w:szCs w:val="24"/>
        </w:rPr>
        <w:t xml:space="preserve">globally </w:t>
      </w:r>
      <w:r w:rsidR="00D53057" w:rsidRPr="00D53057">
        <w:rPr>
          <w:rFonts w:ascii="Times New Roman" w:eastAsia="Times New Roman" w:hAnsi="Times New Roman" w:cs="Times New Roman"/>
          <w:bCs/>
          <w:color w:val="000000" w:themeColor="text1"/>
          <w:sz w:val="24"/>
          <w:szCs w:val="24"/>
        </w:rPr>
        <w:t>has stalled for the first time since IBP bega</w:t>
      </w:r>
      <w:r w:rsidR="00D53057">
        <w:rPr>
          <w:rFonts w:ascii="Times New Roman" w:eastAsia="Times New Roman" w:hAnsi="Times New Roman" w:cs="Times New Roman"/>
          <w:bCs/>
          <w:color w:val="000000" w:themeColor="text1"/>
          <w:sz w:val="24"/>
          <w:szCs w:val="24"/>
        </w:rPr>
        <w:t xml:space="preserve">n measuring it over a decade ago. However, for PEMPAL region, the </w:t>
      </w:r>
      <w:r w:rsidR="00D53057" w:rsidRPr="00D53057">
        <w:rPr>
          <w:rFonts w:ascii="Times New Roman" w:eastAsia="Times New Roman" w:hAnsi="Times New Roman" w:cs="Times New Roman"/>
          <w:bCs/>
          <w:color w:val="000000" w:themeColor="text1"/>
          <w:sz w:val="24"/>
          <w:szCs w:val="24"/>
        </w:rPr>
        <w:t>average OBI increased from 52 to 53 for the 17 comparable countries</w:t>
      </w:r>
      <w:r w:rsidR="00573A7E">
        <w:rPr>
          <w:rFonts w:ascii="Times New Roman" w:eastAsia="Times New Roman" w:hAnsi="Times New Roman" w:cs="Times New Roman"/>
          <w:bCs/>
          <w:color w:val="000000" w:themeColor="text1"/>
          <w:sz w:val="24"/>
          <w:szCs w:val="24"/>
        </w:rPr>
        <w:t xml:space="preserve">. </w:t>
      </w:r>
      <w:r w:rsidR="00573A7E" w:rsidRPr="00573A7E">
        <w:rPr>
          <w:rFonts w:ascii="Times New Roman" w:eastAsia="Times New Roman" w:hAnsi="Times New Roman" w:cs="Times New Roman"/>
          <w:bCs/>
          <w:color w:val="000000" w:themeColor="text1"/>
          <w:sz w:val="24"/>
          <w:szCs w:val="24"/>
        </w:rPr>
        <w:t xml:space="preserve">Within </w:t>
      </w:r>
      <w:r w:rsidR="00573A7E">
        <w:rPr>
          <w:rFonts w:ascii="Times New Roman" w:eastAsia="Times New Roman" w:hAnsi="Times New Roman" w:cs="Times New Roman"/>
          <w:bCs/>
          <w:color w:val="000000" w:themeColor="text1"/>
          <w:sz w:val="24"/>
          <w:szCs w:val="24"/>
        </w:rPr>
        <w:t>PEMPAL</w:t>
      </w:r>
      <w:r w:rsidR="00573A7E" w:rsidRPr="00573A7E">
        <w:rPr>
          <w:rFonts w:ascii="Times New Roman" w:eastAsia="Times New Roman" w:hAnsi="Times New Roman" w:cs="Times New Roman"/>
          <w:bCs/>
          <w:color w:val="000000" w:themeColor="text1"/>
          <w:sz w:val="24"/>
          <w:szCs w:val="24"/>
        </w:rPr>
        <w:t xml:space="preserve"> region, Georgia stands out for experiencing substantial gains over the last decade</w:t>
      </w:r>
      <w:r w:rsidR="00573A7E">
        <w:rPr>
          <w:rFonts w:ascii="Times New Roman" w:eastAsia="Times New Roman" w:hAnsi="Times New Roman" w:cs="Times New Roman"/>
          <w:bCs/>
          <w:color w:val="000000" w:themeColor="text1"/>
          <w:sz w:val="24"/>
          <w:szCs w:val="24"/>
        </w:rPr>
        <w:t xml:space="preserve">. </w:t>
      </w:r>
      <w:r w:rsidR="00573A7E" w:rsidRPr="00573A7E">
        <w:rPr>
          <w:rFonts w:ascii="Times New Roman" w:eastAsia="Times New Roman" w:hAnsi="Times New Roman" w:cs="Times New Roman"/>
          <w:bCs/>
          <w:color w:val="000000" w:themeColor="text1"/>
          <w:sz w:val="24"/>
          <w:szCs w:val="24"/>
        </w:rPr>
        <w:t>Problems associated with a lack of budget transparency are compounded by limited oversight and few opportunities for public participation in budgeting, as evidenced by the 2017 OBS.</w:t>
      </w:r>
      <w:r w:rsidR="00573A7E">
        <w:rPr>
          <w:rFonts w:ascii="Times New Roman" w:eastAsia="Times New Roman" w:hAnsi="Times New Roman" w:cs="Times New Roman"/>
          <w:bCs/>
          <w:color w:val="000000" w:themeColor="text1"/>
          <w:sz w:val="24"/>
          <w:szCs w:val="24"/>
        </w:rPr>
        <w:t xml:space="preserve"> In terms of oversight, it is scored as adequate across PEMPAL region, with the average score of 67/100 compared to global score of 53/100 and OECD average of 72/100. Audit practices are better than the legislative oversight and independent fiscal institutions are scarce in PEMPAL countries compared to OECD countries. Scores on participation are low, with global and PEMPAL average of 12/100, and OECD average of 22/100. Ms. Torbert also discussed the examples of participation mechanisms based on information gathered for the 2017 OBS, including the Budget Partnership Agr</w:t>
      </w:r>
      <w:r w:rsidR="00436F38">
        <w:rPr>
          <w:rFonts w:ascii="Times New Roman" w:eastAsia="Times New Roman" w:hAnsi="Times New Roman" w:cs="Times New Roman"/>
          <w:bCs/>
          <w:color w:val="000000" w:themeColor="text1"/>
          <w:sz w:val="24"/>
          <w:szCs w:val="24"/>
        </w:rPr>
        <w:t>eements in the Philippines in which agencies negotiate their budget demands with the finance ministries through partnerships with citizens and the Waste Reporting Center in South Korea that saved significant funds for the government over the last 16 year</w:t>
      </w:r>
      <w:r w:rsidR="00916A9D">
        <w:rPr>
          <w:rFonts w:ascii="Times New Roman" w:eastAsia="Times New Roman" w:hAnsi="Times New Roman" w:cs="Times New Roman"/>
          <w:bCs/>
          <w:color w:val="000000" w:themeColor="text1"/>
          <w:sz w:val="24"/>
          <w:szCs w:val="24"/>
        </w:rPr>
        <w:t>s</w:t>
      </w:r>
      <w:r w:rsidR="00436F38">
        <w:rPr>
          <w:rFonts w:ascii="Times New Roman" w:eastAsia="Times New Roman" w:hAnsi="Times New Roman" w:cs="Times New Roman"/>
          <w:bCs/>
          <w:color w:val="000000" w:themeColor="text1"/>
          <w:sz w:val="24"/>
          <w:szCs w:val="24"/>
        </w:rPr>
        <w:t xml:space="preserve">. In PEMPAL region, examples include expert budget hearings in Ukraine; Economic and Social Council in Croatia; Online Consultation on Budget Priorities and a coordination council in the Ministry of Finance in Georgia; and the </w:t>
      </w:r>
      <w:r w:rsidR="00436F38" w:rsidRPr="002F7AA0">
        <w:rPr>
          <w:rFonts w:ascii="Times New Roman" w:eastAsia="Times New Roman" w:hAnsi="Times New Roman" w:cs="Times New Roman"/>
          <w:bCs/>
          <w:color w:val="000000" w:themeColor="text1"/>
          <w:sz w:val="24"/>
          <w:szCs w:val="24"/>
        </w:rPr>
        <w:t xml:space="preserve">open invitation budget hearings in the Kyrgyz Republic. Across all three OBS pillars of accountability system, </w:t>
      </w:r>
      <w:r w:rsidR="00151AB9">
        <w:rPr>
          <w:rFonts w:ascii="Times New Roman" w:eastAsia="Times New Roman" w:hAnsi="Times New Roman" w:cs="Times New Roman"/>
          <w:bCs/>
          <w:color w:val="000000" w:themeColor="text1"/>
          <w:sz w:val="24"/>
          <w:szCs w:val="24"/>
        </w:rPr>
        <w:t xml:space="preserve">no countries score above 61, however </w:t>
      </w:r>
      <w:r w:rsidR="00436F38" w:rsidRPr="002F7AA0">
        <w:rPr>
          <w:rFonts w:ascii="Times New Roman" w:eastAsia="Times New Roman" w:hAnsi="Times New Roman" w:cs="Times New Roman"/>
          <w:bCs/>
          <w:color w:val="000000" w:themeColor="text1"/>
          <w:sz w:val="24"/>
          <w:szCs w:val="24"/>
        </w:rPr>
        <w:t xml:space="preserve">six PEMPAL– Albania, Georgia, Kyrgyz </w:t>
      </w:r>
      <w:r w:rsidR="00436F38" w:rsidRPr="00C020C4">
        <w:rPr>
          <w:rFonts w:ascii="Times New Roman" w:eastAsia="Times New Roman" w:hAnsi="Times New Roman" w:cs="Times New Roman"/>
          <w:bCs/>
          <w:color w:val="000000" w:themeColor="text1"/>
          <w:sz w:val="24"/>
          <w:szCs w:val="24"/>
        </w:rPr>
        <w:t>Republic, Russia, Tajikistan, and Ukraine</w:t>
      </w:r>
      <w:r w:rsidR="00151AB9">
        <w:rPr>
          <w:rFonts w:ascii="Times New Roman" w:eastAsia="Times New Roman" w:hAnsi="Times New Roman" w:cs="Times New Roman"/>
          <w:bCs/>
          <w:color w:val="000000" w:themeColor="text1"/>
          <w:sz w:val="24"/>
          <w:szCs w:val="24"/>
        </w:rPr>
        <w:t xml:space="preserve"> – score above 61 on transparency and oversight</w:t>
      </w:r>
      <w:r w:rsidR="00436F38" w:rsidRPr="00C020C4">
        <w:rPr>
          <w:rFonts w:ascii="Times New Roman" w:eastAsia="Times New Roman" w:hAnsi="Times New Roman" w:cs="Times New Roman"/>
          <w:bCs/>
          <w:color w:val="000000" w:themeColor="text1"/>
          <w:sz w:val="24"/>
          <w:szCs w:val="24"/>
        </w:rPr>
        <w:t xml:space="preserve">. IBP’s overall recommendations for the governments are </w:t>
      </w:r>
      <w:r w:rsidR="00151AB9">
        <w:rPr>
          <w:rFonts w:ascii="Times New Roman" w:eastAsia="Times New Roman" w:hAnsi="Times New Roman" w:cs="Times New Roman"/>
          <w:bCs/>
          <w:color w:val="000000" w:themeColor="text1"/>
          <w:sz w:val="24"/>
          <w:szCs w:val="24"/>
        </w:rPr>
        <w:t xml:space="preserve">to </w:t>
      </w:r>
      <w:r w:rsidR="00436F38" w:rsidRPr="00C020C4">
        <w:rPr>
          <w:rFonts w:ascii="Times New Roman" w:eastAsia="Times New Roman" w:hAnsi="Times New Roman" w:cs="Times New Roman"/>
          <w:bCs/>
          <w:color w:val="000000" w:themeColor="text1"/>
          <w:sz w:val="24"/>
          <w:szCs w:val="24"/>
        </w:rPr>
        <w:t xml:space="preserve">increase transparency by simply publishing online all budget documents and to establish formal mechanisms for public participation in budgeting. Oversight </w:t>
      </w:r>
      <w:r w:rsidR="00225203" w:rsidRPr="00C020C4">
        <w:rPr>
          <w:rFonts w:ascii="Times New Roman" w:eastAsia="Times New Roman" w:hAnsi="Times New Roman" w:cs="Times New Roman"/>
          <w:bCs/>
          <w:color w:val="000000" w:themeColor="text1"/>
          <w:sz w:val="24"/>
          <w:szCs w:val="24"/>
        </w:rPr>
        <w:t>institutions</w:t>
      </w:r>
      <w:r w:rsidR="00436F38" w:rsidRPr="00C020C4">
        <w:rPr>
          <w:rFonts w:ascii="Times New Roman" w:eastAsia="Times New Roman" w:hAnsi="Times New Roman" w:cs="Times New Roman"/>
          <w:bCs/>
          <w:color w:val="000000" w:themeColor="text1"/>
          <w:sz w:val="24"/>
          <w:szCs w:val="24"/>
        </w:rPr>
        <w:t xml:space="preserve"> should be strengthened to ensure implementation of </w:t>
      </w:r>
      <w:r w:rsidR="00225203" w:rsidRPr="00C020C4">
        <w:rPr>
          <w:rFonts w:ascii="Times New Roman" w:eastAsia="Times New Roman" w:hAnsi="Times New Roman" w:cs="Times New Roman"/>
          <w:bCs/>
          <w:color w:val="000000" w:themeColor="text1"/>
          <w:sz w:val="24"/>
          <w:szCs w:val="24"/>
        </w:rPr>
        <w:t xml:space="preserve">budget decisions and should expand and improve public participation. Civil society should continue to advocate for greater transparency and engage in the budget process as much as possible, while donors should work with the civil society and oversight institutions to push for sustainable transparency and participation reforms. </w:t>
      </w:r>
    </w:p>
    <w:p w14:paraId="4527082A" w14:textId="6A789357" w:rsidR="00C24861" w:rsidRPr="00C020C4" w:rsidRDefault="002F7AA0" w:rsidP="00C020C4">
      <w:pPr>
        <w:ind w:left="-14" w:firstLine="14"/>
        <w:jc w:val="both"/>
        <w:rPr>
          <w:rFonts w:ascii="Times New Roman" w:hAnsi="Times New Roman" w:cs="Times New Roman"/>
          <w:sz w:val="24"/>
          <w:szCs w:val="24"/>
        </w:rPr>
      </w:pPr>
      <w:r w:rsidRPr="00C020C4">
        <w:rPr>
          <w:rFonts w:ascii="Times New Roman" w:hAnsi="Times New Roman" w:cs="Times New Roman"/>
          <w:b/>
          <w:sz w:val="24"/>
          <w:szCs w:val="24"/>
        </w:rPr>
        <w:lastRenderedPageBreak/>
        <w:t>Juan Pablo Guerrero, GIFT Network Director</w:t>
      </w:r>
      <w:r w:rsidRPr="00C020C4">
        <w:rPr>
          <w:rFonts w:ascii="Times New Roman" w:hAnsi="Times New Roman" w:cs="Times New Roman"/>
          <w:b/>
          <w:bCs/>
          <w:sz w:val="24"/>
          <w:szCs w:val="24"/>
        </w:rPr>
        <w:t xml:space="preserve">, presented the GIFT takeaways and insights on the OBS 2017 results on public participation and new cases recently identified in the Guide on Public Participation. </w:t>
      </w:r>
      <w:r w:rsidRPr="00C020C4">
        <w:rPr>
          <w:rFonts w:ascii="Times New Roman" w:hAnsi="Times New Roman" w:cs="Times New Roman"/>
          <w:bCs/>
          <w:sz w:val="24"/>
          <w:szCs w:val="24"/>
        </w:rPr>
        <w:t xml:space="preserve">He presented developments related to international codes and standards in public participation since the High-Level Principles were developed b GIFT in 2012, including the </w:t>
      </w:r>
      <w:r w:rsidRPr="00C020C4">
        <w:rPr>
          <w:rFonts w:ascii="Times New Roman" w:hAnsi="Times New Roman" w:cs="Times New Roman"/>
          <w:sz w:val="24"/>
          <w:szCs w:val="24"/>
        </w:rPr>
        <w:t xml:space="preserve">IMF Fiscal Transparency Code, OECD Principles on Budgetary Governance, PEFA, OBS, OECD Budget Transparency Toolkit, and BCOP BLTWG’s current work.  PEMPAL is the first network of practitioners to engage systematically on the public participation issues. He </w:t>
      </w:r>
      <w:r w:rsidR="00F54DD6" w:rsidRPr="00C020C4">
        <w:rPr>
          <w:rFonts w:ascii="Times New Roman" w:hAnsi="Times New Roman" w:cs="Times New Roman"/>
          <w:sz w:val="24"/>
          <w:szCs w:val="24"/>
        </w:rPr>
        <w:t xml:space="preserve">presented the main lessons from the BLTWG’s Background Paper on Public Participation (which was circulated to all participants within the background materials for this plenary meeting), highlighting that public participation seeks feedback for improvements and needs to include relevant and diverse inputs and that information technologies are a game changer for public participation. Mr. Guerrero explained how specific questions from the OBS are linked to GIFT Principles and how the 2017 OBS improved from 2015 OBS in the public participation dimensions. This includes focus on </w:t>
      </w:r>
      <w:r w:rsidR="00C24861" w:rsidRPr="00C020C4">
        <w:rPr>
          <w:rFonts w:ascii="Times New Roman" w:hAnsi="Times New Roman" w:cs="Times New Roman"/>
          <w:sz w:val="24"/>
          <w:szCs w:val="24"/>
        </w:rPr>
        <w:t>wider</w:t>
      </w:r>
      <w:r w:rsidR="00F54DD6" w:rsidRPr="00C020C4">
        <w:rPr>
          <w:rFonts w:ascii="Times New Roman" w:hAnsi="Times New Roman" w:cs="Times New Roman"/>
          <w:sz w:val="24"/>
          <w:szCs w:val="24"/>
        </w:rPr>
        <w:t xml:space="preserve"> scope covered in consultations, reaching a wide public a</w:t>
      </w:r>
      <w:r w:rsidR="00C24861" w:rsidRPr="00C020C4">
        <w:rPr>
          <w:rFonts w:ascii="Times New Roman" w:hAnsi="Times New Roman" w:cs="Times New Roman"/>
          <w:sz w:val="24"/>
          <w:szCs w:val="24"/>
        </w:rPr>
        <w:t>s opposed to selecting groups or individuals for feedback, as well as more meaningful engagement between the government and the citizens as opposed to only collecting citizens’ inputs. On the other hand, OBS caveats are that measures may overestimate the quality of participation processes and undervalue informal participation mechanisms; that some countries have limited national opportunities but is robust local budget participation while the OBS capture national level only; and that line ministries are commonly more in contact with the public (service delivery), while the OBC captures the budget process only. In his review of the OBS public participation results he stressed that global results are low with considerable variation among countries and that public engagement takes place more during the budget preparation than during budget implementation and more when the budget is approved by the legislature than when the legislature con</w:t>
      </w:r>
      <w:r w:rsidR="00E67304" w:rsidRPr="00C020C4">
        <w:rPr>
          <w:rFonts w:ascii="Times New Roman" w:hAnsi="Times New Roman" w:cs="Times New Roman"/>
          <w:sz w:val="24"/>
          <w:szCs w:val="24"/>
        </w:rPr>
        <w:t>siders the Audit Report. F</w:t>
      </w:r>
      <w:r w:rsidR="00C24861" w:rsidRPr="00C020C4">
        <w:rPr>
          <w:rFonts w:ascii="Times New Roman" w:hAnsi="Times New Roman" w:cs="Times New Roman"/>
          <w:sz w:val="24"/>
          <w:szCs w:val="24"/>
        </w:rPr>
        <w:t xml:space="preserve">ew countries engage the public across the budget cycle, </w:t>
      </w:r>
      <w:r w:rsidR="00E67304" w:rsidRPr="00C020C4">
        <w:rPr>
          <w:rFonts w:ascii="Times New Roman" w:hAnsi="Times New Roman" w:cs="Times New Roman"/>
          <w:sz w:val="24"/>
          <w:szCs w:val="24"/>
        </w:rPr>
        <w:t xml:space="preserve">but 94 out of 115 countries have some form of participatory mechanism. Most countries do not make efforts to engage diverse set of citizens and interests and do not provide feedback to the public on how their inputs were considered and used. Mr Guerrero also presented the examples of public participation mechanisms from the 2017 OBS, including in the pre-budget hearings in Kyrgyzstan and Ukraine, in pre-budget consultations in Russia and Georgia, in pre-budget submissions in UK and Georgia, in public councils, in policy consultations on specific issues in Moldova, Croatia, Czech Republic and Bulgaria, in sector working groups in Kazakhstan and Russia, in online reporting mechanisms in Georgia and Mexico and in bottom-up consultations approach in the Philippines.  </w:t>
      </w:r>
      <w:r w:rsidR="00114143" w:rsidRPr="00C020C4">
        <w:rPr>
          <w:rFonts w:ascii="Times New Roman" w:hAnsi="Times New Roman" w:cs="Times New Roman"/>
          <w:sz w:val="24"/>
          <w:szCs w:val="24"/>
        </w:rPr>
        <w:t xml:space="preserve">He then gave a word to participants from Kyrgyzstan, Bulgaria, and Moldova. The presentation concluded with an example from UK, on a strong dialogue for budget formulation including tax policy decisions. At the end of a consultation, a summary of responses is published, including a listing of those who made submissions. </w:t>
      </w:r>
    </w:p>
    <w:p w14:paraId="13E45CDE" w14:textId="2EB9651F" w:rsidR="008B6ACD" w:rsidRDefault="008B6ACD" w:rsidP="00526BF0">
      <w:pPr>
        <w:shd w:val="clear" w:color="auto" w:fill="FFFFFF"/>
        <w:jc w:val="both"/>
        <w:rPr>
          <w:rFonts w:ascii="Times New Roman" w:eastAsia="Times New Roman" w:hAnsi="Times New Roman" w:cs="Times New Roman"/>
          <w:b/>
          <w:color w:val="000000" w:themeColor="text1"/>
          <w:sz w:val="24"/>
          <w:szCs w:val="24"/>
        </w:rPr>
      </w:pPr>
      <w:r w:rsidRPr="00C020C4">
        <w:rPr>
          <w:rFonts w:ascii="Times New Roman" w:eastAsia="Times New Roman" w:hAnsi="Times New Roman" w:cs="Times New Roman"/>
          <w:b/>
          <w:color w:val="000000" w:themeColor="text1"/>
          <w:sz w:val="24"/>
          <w:szCs w:val="24"/>
        </w:rPr>
        <w:t xml:space="preserve">Next, Georgia and </w:t>
      </w:r>
      <w:r w:rsidR="00C811EB" w:rsidRPr="00C020C4">
        <w:rPr>
          <w:rFonts w:ascii="Times New Roman" w:eastAsia="Times New Roman" w:hAnsi="Times New Roman" w:cs="Times New Roman"/>
          <w:b/>
          <w:color w:val="000000" w:themeColor="text1"/>
          <w:sz w:val="24"/>
          <w:szCs w:val="24"/>
        </w:rPr>
        <w:t>Croatia</w:t>
      </w:r>
      <w:r w:rsidRPr="00C020C4">
        <w:rPr>
          <w:rFonts w:ascii="Times New Roman" w:eastAsia="Times New Roman" w:hAnsi="Times New Roman" w:cs="Times New Roman"/>
          <w:b/>
          <w:color w:val="000000" w:themeColor="text1"/>
          <w:sz w:val="24"/>
          <w:szCs w:val="24"/>
        </w:rPr>
        <w:t>, which were identified as two of countries with some of the best practices in public participation by IBP and/or GIFT, reported on their public participation mechanisms.</w:t>
      </w:r>
    </w:p>
    <w:p w14:paraId="4C0A4803" w14:textId="4402F8BB" w:rsidR="00C020C4" w:rsidRDefault="00C020C4" w:rsidP="00264A4A">
      <w:pPr>
        <w:pStyle w:val="ListParagraph"/>
        <w:spacing w:after="0" w:line="240" w:lineRule="auto"/>
        <w:ind w:left="0"/>
        <w:jc w:val="both"/>
        <w:rPr>
          <w:rFonts w:ascii="Times New Roman" w:hAnsi="Times New Roman" w:cs="Times New Roman"/>
          <w:sz w:val="24"/>
          <w:szCs w:val="24"/>
        </w:rPr>
      </w:pPr>
      <w:r w:rsidRPr="00C020C4">
        <w:rPr>
          <w:rFonts w:ascii="Times New Roman" w:hAnsi="Times New Roman" w:cs="Times New Roman"/>
          <w:sz w:val="24"/>
          <w:szCs w:val="24"/>
        </w:rPr>
        <w:t>I</w:t>
      </w:r>
      <w:r w:rsidRPr="00C020C4">
        <w:rPr>
          <w:rFonts w:ascii="Times New Roman" w:hAnsi="Times New Roman" w:cs="Times New Roman"/>
          <w:b/>
          <w:sz w:val="24"/>
          <w:szCs w:val="24"/>
        </w:rPr>
        <w:t>nga Gurgenidze, Head of the State and Consolidated Budget Formation Division, Budget Department, Ministry of Finance of Georgia, gave a presentation on public participation mechanisms in Georgia</w:t>
      </w:r>
      <w:r>
        <w:rPr>
          <w:rFonts w:ascii="Times New Roman" w:hAnsi="Times New Roman" w:cs="Times New Roman"/>
          <w:sz w:val="24"/>
          <w:szCs w:val="24"/>
        </w:rPr>
        <w:t xml:space="preserve">. Georgia </w:t>
      </w:r>
      <w:r w:rsidR="00043BA1">
        <w:rPr>
          <w:rFonts w:ascii="Times New Roman" w:hAnsi="Times New Roman" w:cs="Times New Roman"/>
          <w:sz w:val="24"/>
          <w:szCs w:val="24"/>
        </w:rPr>
        <w:t xml:space="preserve">implemented </w:t>
      </w:r>
      <w:r>
        <w:rPr>
          <w:rFonts w:ascii="Times New Roman" w:hAnsi="Times New Roman" w:cs="Times New Roman"/>
          <w:sz w:val="24"/>
          <w:szCs w:val="24"/>
        </w:rPr>
        <w:t>reforms that improved the country’s position in the OBS from 34 point</w:t>
      </w:r>
      <w:r w:rsidR="00387935">
        <w:rPr>
          <w:rFonts w:ascii="Times New Roman" w:hAnsi="Times New Roman" w:cs="Times New Roman"/>
          <w:sz w:val="24"/>
          <w:szCs w:val="24"/>
        </w:rPr>
        <w:t xml:space="preserve">s in 2006 to 82 points in 2017, </w:t>
      </w:r>
      <w:r w:rsidR="00043BA1">
        <w:rPr>
          <w:rFonts w:ascii="Times New Roman" w:hAnsi="Times New Roman" w:cs="Times New Roman"/>
          <w:sz w:val="24"/>
          <w:szCs w:val="24"/>
        </w:rPr>
        <w:t>putting</w:t>
      </w:r>
      <w:r w:rsidR="00387935">
        <w:rPr>
          <w:rFonts w:ascii="Times New Roman" w:hAnsi="Times New Roman" w:cs="Times New Roman"/>
          <w:sz w:val="24"/>
          <w:szCs w:val="24"/>
        </w:rPr>
        <w:t xml:space="preserve"> Georgia in the fifth place on OBS. Improvements were made across the key areas of public availability of budget documents; comprehensiveness, usefulness, and transparency of budget documents; as well as budget process </w:t>
      </w:r>
      <w:r w:rsidR="00387935">
        <w:rPr>
          <w:rFonts w:ascii="Times New Roman" w:hAnsi="Times New Roman" w:cs="Times New Roman"/>
          <w:sz w:val="24"/>
          <w:szCs w:val="24"/>
        </w:rPr>
        <w:lastRenderedPageBreak/>
        <w:t xml:space="preserve">transparency and accessibility (such as free admissions to budget hearings, live broadcasting of hearings, and  citizens’ budgets being drafted at both preparation and adoption stages, available online disseminated, and discussed on television). </w:t>
      </w:r>
      <w:r w:rsidR="00264A4A">
        <w:rPr>
          <w:rFonts w:ascii="Times New Roman" w:hAnsi="Times New Roman" w:cs="Times New Roman"/>
          <w:sz w:val="24"/>
          <w:szCs w:val="24"/>
        </w:rPr>
        <w:t>Improvements</w:t>
      </w:r>
      <w:r w:rsidR="00387935">
        <w:rPr>
          <w:rFonts w:ascii="Times New Roman" w:hAnsi="Times New Roman" w:cs="Times New Roman"/>
          <w:sz w:val="24"/>
          <w:szCs w:val="24"/>
        </w:rPr>
        <w:t xml:space="preserve"> were made in engagements and communication as well, including the PFM Coordination Council with civil society </w:t>
      </w:r>
      <w:r w:rsidR="00264A4A">
        <w:rPr>
          <w:rFonts w:ascii="Times New Roman" w:hAnsi="Times New Roman" w:cs="Times New Roman"/>
          <w:sz w:val="24"/>
          <w:szCs w:val="24"/>
        </w:rPr>
        <w:t>representation</w:t>
      </w:r>
      <w:r w:rsidR="00387935">
        <w:rPr>
          <w:rFonts w:ascii="Times New Roman" w:hAnsi="Times New Roman" w:cs="Times New Roman"/>
          <w:sz w:val="24"/>
          <w:szCs w:val="24"/>
        </w:rPr>
        <w:t xml:space="preserve"> and meetings with the public and local governments. </w:t>
      </w:r>
      <w:r w:rsidR="00264A4A">
        <w:rPr>
          <w:rFonts w:ascii="Times New Roman" w:hAnsi="Times New Roman" w:cs="Times New Roman"/>
          <w:sz w:val="24"/>
          <w:szCs w:val="24"/>
        </w:rPr>
        <w:t xml:space="preserve">In budget reporting, semi-annual budget report is now drafted </w:t>
      </w:r>
      <w:r w:rsidR="00264A4A" w:rsidRPr="00264A4A">
        <w:rPr>
          <w:rFonts w:ascii="Times New Roman" w:hAnsi="Times New Roman" w:cs="Times New Roman"/>
          <w:sz w:val="24"/>
          <w:szCs w:val="24"/>
        </w:rPr>
        <w:t>along</w:t>
      </w:r>
      <w:r w:rsidR="00264A4A">
        <w:rPr>
          <w:rFonts w:ascii="Times New Roman" w:hAnsi="Times New Roman" w:cs="Times New Roman"/>
          <w:sz w:val="24"/>
          <w:szCs w:val="24"/>
        </w:rPr>
        <w:t xml:space="preserve"> with a half-year budget review. </w:t>
      </w:r>
      <w:r w:rsidR="00264A4A" w:rsidRPr="00264A4A">
        <w:rPr>
          <w:rFonts w:ascii="Times New Roman" w:hAnsi="Times New Roman" w:cs="Times New Roman"/>
          <w:sz w:val="24"/>
          <w:szCs w:val="24"/>
        </w:rPr>
        <w:t>The state audit service has designed an innovative interactive Budget Monitor web-platform (budgetmonitor.ge). The webpage targets citizens, NGOs, and the media. Users are able to compare various data, process them, and make forecasts. </w:t>
      </w:r>
      <w:r w:rsidR="00264A4A">
        <w:rPr>
          <w:rFonts w:ascii="Times New Roman" w:hAnsi="Times New Roman" w:cs="Times New Roman"/>
          <w:sz w:val="24"/>
          <w:szCs w:val="24"/>
        </w:rPr>
        <w:t>This platform received several global awards, including from GIFT. Ms. Gurgenidze presented in detailed the online platform to the participants interactively and showcased how it provides a two-way communications channel and interface enable data input in a visually appealing user-friendly way and include both financial information and performance indicators. The platform is four-tiered, with parts on Government Budget, Municipal Budgets, Audit, and Citizens’ Page. The Citizens’ Page has over 8,500 unique users and includes three modul</w:t>
      </w:r>
      <w:r w:rsidR="00AE2825">
        <w:rPr>
          <w:rFonts w:ascii="Times New Roman" w:hAnsi="Times New Roman" w:cs="Times New Roman"/>
          <w:sz w:val="24"/>
          <w:szCs w:val="24"/>
        </w:rPr>
        <w:t>es: Plan with Us (engaging citizens in audit plan exercise through citizens’ petitions),</w:t>
      </w:r>
      <w:r w:rsidR="00264A4A">
        <w:rPr>
          <w:rFonts w:ascii="Times New Roman" w:hAnsi="Times New Roman" w:cs="Times New Roman"/>
          <w:sz w:val="24"/>
          <w:szCs w:val="24"/>
        </w:rPr>
        <w:t xml:space="preserve"> Fight Corruption, and Vote for Priority</w:t>
      </w:r>
      <w:r w:rsidR="00AE2825">
        <w:rPr>
          <w:rFonts w:ascii="Times New Roman" w:hAnsi="Times New Roman" w:cs="Times New Roman"/>
          <w:sz w:val="24"/>
          <w:szCs w:val="24"/>
        </w:rPr>
        <w:t xml:space="preserve"> (</w:t>
      </w:r>
      <w:r w:rsidR="004F6580">
        <w:rPr>
          <w:rFonts w:ascii="Times New Roman" w:hAnsi="Times New Roman" w:cs="Times New Roman"/>
          <w:sz w:val="24"/>
          <w:szCs w:val="24"/>
        </w:rPr>
        <w:t>taking into account </w:t>
      </w:r>
      <w:r w:rsidR="00AE2825" w:rsidRPr="00AE2825">
        <w:rPr>
          <w:rFonts w:ascii="Times New Roman" w:hAnsi="Times New Roman" w:cs="Times New Roman"/>
          <w:sz w:val="24"/>
          <w:szCs w:val="24"/>
        </w:rPr>
        <w:t>citizens’ interests when identifying audit priorities</w:t>
      </w:r>
      <w:r w:rsidR="00AE2825">
        <w:rPr>
          <w:rFonts w:ascii="Times New Roman" w:hAnsi="Times New Roman" w:cs="Times New Roman"/>
          <w:sz w:val="24"/>
          <w:szCs w:val="24"/>
        </w:rPr>
        <w:t>)</w:t>
      </w:r>
      <w:r w:rsidR="00264A4A">
        <w:rPr>
          <w:rFonts w:ascii="Times New Roman" w:hAnsi="Times New Roman" w:cs="Times New Roman"/>
          <w:sz w:val="24"/>
          <w:szCs w:val="24"/>
        </w:rPr>
        <w:t xml:space="preserve">. </w:t>
      </w:r>
    </w:p>
    <w:p w14:paraId="5939A5B3" w14:textId="0336C836" w:rsidR="00264A4A" w:rsidRPr="004F6580" w:rsidRDefault="00264A4A" w:rsidP="00264A4A">
      <w:pPr>
        <w:pStyle w:val="ListParagraph"/>
        <w:spacing w:after="0" w:line="240" w:lineRule="auto"/>
        <w:ind w:left="0"/>
        <w:jc w:val="both"/>
        <w:rPr>
          <w:rFonts w:ascii="Times New Roman" w:hAnsi="Times New Roman" w:cs="Times New Roman"/>
          <w:b/>
          <w:sz w:val="24"/>
          <w:szCs w:val="24"/>
        </w:rPr>
      </w:pPr>
    </w:p>
    <w:p w14:paraId="55F92D69" w14:textId="410CFA2C" w:rsidR="00540D27" w:rsidRPr="00264A4A" w:rsidRDefault="004F6580" w:rsidP="002C3A23">
      <w:pPr>
        <w:jc w:val="both"/>
        <w:rPr>
          <w:rFonts w:ascii="Times New Roman" w:hAnsi="Times New Roman" w:cs="Times New Roman"/>
          <w:sz w:val="24"/>
          <w:szCs w:val="24"/>
        </w:rPr>
      </w:pPr>
      <w:r w:rsidRPr="002C3A23">
        <w:rPr>
          <w:rFonts w:ascii="Times New Roman" w:hAnsi="Times New Roman" w:cs="Times New Roman"/>
          <w:b/>
          <w:sz w:val="24"/>
          <w:szCs w:val="24"/>
        </w:rPr>
        <w:t>Mladenka Karacic, Head of Sector, State Treasury Department, Ministry of Finance of Croatia, presented on public participation mechanisms in Croatia</w:t>
      </w:r>
      <w:r w:rsidRPr="004F6580">
        <w:rPr>
          <w:rFonts w:ascii="Times New Roman" w:hAnsi="Times New Roman" w:cs="Times New Roman"/>
          <w:sz w:val="24"/>
          <w:szCs w:val="24"/>
        </w:rPr>
        <w:t>.</w:t>
      </w:r>
      <w:r>
        <w:rPr>
          <w:rFonts w:ascii="Times New Roman" w:hAnsi="Times New Roman" w:cs="Times New Roman"/>
          <w:sz w:val="24"/>
          <w:szCs w:val="24"/>
        </w:rPr>
        <w:t xml:space="preserve"> While transparency provisions are included in the existing </w:t>
      </w:r>
      <w:r w:rsidR="002C3A23">
        <w:rPr>
          <w:rFonts w:ascii="Times New Roman" w:hAnsi="Times New Roman" w:cs="Times New Roman"/>
          <w:sz w:val="24"/>
          <w:szCs w:val="24"/>
        </w:rPr>
        <w:t xml:space="preserve">budget </w:t>
      </w:r>
      <w:r>
        <w:rPr>
          <w:rFonts w:ascii="Times New Roman" w:hAnsi="Times New Roman" w:cs="Times New Roman"/>
          <w:sz w:val="24"/>
          <w:szCs w:val="24"/>
        </w:rPr>
        <w:t xml:space="preserve">legislative framework in Croatia, this is not yet the case for the public participation. Nevertheless, in budget instructions the Ministry of Finance includes </w:t>
      </w:r>
      <w:r w:rsidR="002C3A23">
        <w:rPr>
          <w:rFonts w:ascii="Times New Roman" w:hAnsi="Times New Roman" w:cs="Times New Roman"/>
          <w:sz w:val="24"/>
          <w:szCs w:val="24"/>
        </w:rPr>
        <w:t xml:space="preserve">recommendations to include the public. </w:t>
      </w:r>
      <w:r>
        <w:rPr>
          <w:rFonts w:ascii="Times New Roman" w:hAnsi="Times New Roman" w:cs="Times New Roman"/>
          <w:sz w:val="24"/>
          <w:szCs w:val="24"/>
        </w:rPr>
        <w:t xml:space="preserve">The work on amending the budget legislation in underway however and the public participation provisions will be included. </w:t>
      </w:r>
      <w:r w:rsidR="002C3A23">
        <w:rPr>
          <w:rFonts w:ascii="Times New Roman" w:hAnsi="Times New Roman" w:cs="Times New Roman"/>
          <w:sz w:val="24"/>
          <w:szCs w:val="24"/>
        </w:rPr>
        <w:t xml:space="preserve">Public participation is more developed at the local compared to national level and there are several excellent examples in the cities in Croatia. Legislation on right of access to information </w:t>
      </w:r>
      <w:r w:rsidR="002C3A23" w:rsidRPr="002C3A23">
        <w:rPr>
          <w:rFonts w:ascii="Times New Roman" w:hAnsi="Times New Roman" w:cs="Times New Roman"/>
          <w:sz w:val="24"/>
          <w:szCs w:val="24"/>
        </w:rPr>
        <w:t xml:space="preserve">stipulates the obligation of public authorities to publish information </w:t>
      </w:r>
      <w:r w:rsidR="002C3A23">
        <w:rPr>
          <w:rFonts w:ascii="Times New Roman" w:hAnsi="Times New Roman" w:cs="Times New Roman"/>
          <w:sz w:val="24"/>
          <w:szCs w:val="24"/>
        </w:rPr>
        <w:t xml:space="preserve">on their web-site </w:t>
      </w:r>
      <w:r w:rsidR="002C3A23" w:rsidRPr="002C3A23">
        <w:rPr>
          <w:rFonts w:ascii="Times New Roman" w:hAnsi="Times New Roman" w:cs="Times New Roman"/>
          <w:sz w:val="24"/>
          <w:szCs w:val="24"/>
        </w:rPr>
        <w:t>in an</w:t>
      </w:r>
      <w:r w:rsidR="002C3A23">
        <w:rPr>
          <w:rFonts w:ascii="Times New Roman" w:hAnsi="Times New Roman" w:cs="Times New Roman"/>
          <w:sz w:val="24"/>
          <w:szCs w:val="24"/>
        </w:rPr>
        <w:t xml:space="preserve"> easily searchable and machine-readable format all legislation and regulation relevant for their scope of activities, registers and databases, information on provided public services, financial information, and information on subsidies, grants, donations, and other support they provide. It also stipulates that</w:t>
      </w:r>
      <w:r w:rsidR="002C3A23" w:rsidRPr="002C3A23">
        <w:rPr>
          <w:rFonts w:ascii="Times New Roman" w:hAnsi="Times New Roman" w:cs="Times New Roman"/>
          <w:sz w:val="24"/>
          <w:szCs w:val="24"/>
        </w:rPr>
        <w:t xml:space="preserve"> the public </w:t>
      </w:r>
      <w:r w:rsidR="002C3A23">
        <w:rPr>
          <w:rFonts w:ascii="Times New Roman" w:hAnsi="Times New Roman" w:cs="Times New Roman"/>
          <w:sz w:val="24"/>
          <w:szCs w:val="24"/>
        </w:rPr>
        <w:t xml:space="preserve">should be consulted </w:t>
      </w:r>
      <w:r w:rsidR="002C3A23" w:rsidRPr="002C3A23">
        <w:rPr>
          <w:rFonts w:ascii="Times New Roman" w:hAnsi="Times New Roman" w:cs="Times New Roman"/>
          <w:sz w:val="24"/>
          <w:szCs w:val="24"/>
        </w:rPr>
        <w:t>in the adoption of laws and by-laws, and in the adoption of general legislation, i.e. other strategic and planning documents, if these have an impact on the citizens’ and legal persons’ interests.</w:t>
      </w:r>
      <w:r w:rsidR="002C3A23">
        <w:rPr>
          <w:rFonts w:ascii="Times New Roman" w:hAnsi="Times New Roman" w:cs="Times New Roman"/>
          <w:sz w:val="24"/>
          <w:szCs w:val="24"/>
        </w:rPr>
        <w:t xml:space="preserve"> </w:t>
      </w:r>
      <w:r w:rsidR="002C3A23" w:rsidRPr="002C3A23">
        <w:rPr>
          <w:rFonts w:ascii="Times New Roman" w:hAnsi="Times New Roman" w:cs="Times New Roman"/>
          <w:sz w:val="24"/>
          <w:szCs w:val="24"/>
        </w:rPr>
        <w:t xml:space="preserve">State administration bodies consult the public through the central </w:t>
      </w:r>
      <w:r w:rsidR="002C3A23">
        <w:rPr>
          <w:rFonts w:ascii="Times New Roman" w:hAnsi="Times New Roman" w:cs="Times New Roman"/>
          <w:sz w:val="24"/>
          <w:szCs w:val="24"/>
        </w:rPr>
        <w:t xml:space="preserve">online </w:t>
      </w:r>
      <w:r w:rsidR="002C3A23" w:rsidRPr="002C3A23">
        <w:rPr>
          <w:rFonts w:ascii="Times New Roman" w:hAnsi="Times New Roman" w:cs="Times New Roman"/>
          <w:sz w:val="24"/>
          <w:szCs w:val="24"/>
        </w:rPr>
        <w:t xml:space="preserve">portal for public consultations, whereas other state bodies, local and regional self-government units and legal persons with public authority do it through the web-site or the central state </w:t>
      </w:r>
      <w:r w:rsidR="002C3A23">
        <w:rPr>
          <w:rFonts w:ascii="Times New Roman" w:hAnsi="Times New Roman" w:cs="Times New Roman"/>
          <w:sz w:val="24"/>
          <w:szCs w:val="24"/>
        </w:rPr>
        <w:t xml:space="preserve">online </w:t>
      </w:r>
      <w:r w:rsidR="002C3A23" w:rsidRPr="002C3A23">
        <w:rPr>
          <w:rFonts w:ascii="Times New Roman" w:hAnsi="Times New Roman" w:cs="Times New Roman"/>
          <w:sz w:val="24"/>
          <w:szCs w:val="24"/>
        </w:rPr>
        <w:t>portal for public consultations, by publishing drafts of legislation, general legislation or other documents, explaining the rationale and objectives that are being aimed at through the adoption of the legislation, by-laws or other documents and by inviting the public to submit their proposals and opinions</w:t>
      </w:r>
      <w:r w:rsidR="002C3A23">
        <w:rPr>
          <w:rFonts w:ascii="Times New Roman" w:hAnsi="Times New Roman" w:cs="Times New Roman"/>
          <w:sz w:val="24"/>
          <w:szCs w:val="24"/>
        </w:rPr>
        <w:t xml:space="preserve">. </w:t>
      </w:r>
      <w:r w:rsidR="002C3A23" w:rsidRPr="002C3A23">
        <w:rPr>
          <w:rFonts w:ascii="Times New Roman" w:hAnsi="Times New Roman" w:cs="Times New Roman"/>
          <w:sz w:val="24"/>
          <w:szCs w:val="24"/>
        </w:rPr>
        <w:t>the Mini</w:t>
      </w:r>
      <w:r w:rsidR="002C3A23">
        <w:rPr>
          <w:rFonts w:ascii="Times New Roman" w:hAnsi="Times New Roman" w:cs="Times New Roman"/>
          <w:sz w:val="24"/>
          <w:szCs w:val="24"/>
        </w:rPr>
        <w:t>stry of Finance publishes all i</w:t>
      </w:r>
      <w:r w:rsidR="002C3A23" w:rsidRPr="002C3A23">
        <w:rPr>
          <w:rFonts w:ascii="Times New Roman" w:hAnsi="Times New Roman" w:cs="Times New Roman"/>
          <w:sz w:val="24"/>
          <w:szCs w:val="24"/>
        </w:rPr>
        <w:t>nformation and documentation relevant to the public</w:t>
      </w:r>
      <w:r w:rsidR="00540D27">
        <w:rPr>
          <w:rFonts w:ascii="Times New Roman" w:hAnsi="Times New Roman" w:cs="Times New Roman"/>
          <w:sz w:val="24"/>
          <w:szCs w:val="24"/>
        </w:rPr>
        <w:t xml:space="preserve">. Citizens’ budgets are also published and there is a manual for citizens with budgets of the local and regional local self-governance units. At local level, public participation has developed considerably, although citizens are still not sufficiently familiar with their rights and access they have. In some cases, budget hearings that are open to public are rarely attended. </w:t>
      </w:r>
      <w:r w:rsidR="00540D27" w:rsidRPr="00540D27">
        <w:rPr>
          <w:rFonts w:ascii="Times New Roman" w:hAnsi="Times New Roman" w:cs="Times New Roman"/>
          <w:sz w:val="24"/>
          <w:szCs w:val="24"/>
        </w:rPr>
        <w:t>The Association o</w:t>
      </w:r>
      <w:r w:rsidR="00540D27">
        <w:rPr>
          <w:rFonts w:ascii="Times New Roman" w:hAnsi="Times New Roman" w:cs="Times New Roman"/>
          <w:sz w:val="24"/>
          <w:szCs w:val="24"/>
        </w:rPr>
        <w:t>f Cities in Croatia has recogniz</w:t>
      </w:r>
      <w:r w:rsidR="00540D27" w:rsidRPr="00540D27">
        <w:rPr>
          <w:rFonts w:ascii="Times New Roman" w:hAnsi="Times New Roman" w:cs="Times New Roman"/>
          <w:sz w:val="24"/>
          <w:szCs w:val="24"/>
        </w:rPr>
        <w:t>ed the importance of public participation in local decision-making processes.</w:t>
      </w:r>
      <w:r w:rsidR="00540D27">
        <w:rPr>
          <w:rFonts w:ascii="Times New Roman" w:hAnsi="Times New Roman" w:cs="Times New Roman"/>
          <w:sz w:val="24"/>
          <w:szCs w:val="24"/>
        </w:rPr>
        <w:t xml:space="preserve"> </w:t>
      </w:r>
      <w:r w:rsidR="00540D27" w:rsidRPr="00540D27">
        <w:rPr>
          <w:rFonts w:ascii="Times New Roman" w:hAnsi="Times New Roman" w:cs="Times New Roman"/>
          <w:sz w:val="24"/>
          <w:szCs w:val="24"/>
        </w:rPr>
        <w:t xml:space="preserve">The </w:t>
      </w:r>
      <w:r w:rsidR="00540D27" w:rsidRPr="00540D27">
        <w:rPr>
          <w:rFonts w:ascii="Times New Roman" w:hAnsi="Times New Roman" w:cs="Times New Roman"/>
          <w:i/>
          <w:sz w:val="24"/>
          <w:szCs w:val="24"/>
        </w:rPr>
        <w:t>Manual on Local Budget and Its Budget Through Public Participation</w:t>
      </w:r>
      <w:r w:rsidR="00540D27">
        <w:rPr>
          <w:rFonts w:ascii="Times New Roman" w:hAnsi="Times New Roman" w:cs="Times New Roman"/>
          <w:sz w:val="24"/>
          <w:szCs w:val="24"/>
        </w:rPr>
        <w:t xml:space="preserve"> </w:t>
      </w:r>
      <w:r w:rsidR="00540D27" w:rsidRPr="00540D27">
        <w:rPr>
          <w:rFonts w:ascii="Times New Roman" w:hAnsi="Times New Roman" w:cs="Times New Roman"/>
          <w:sz w:val="24"/>
          <w:szCs w:val="24"/>
        </w:rPr>
        <w:t>is aimed at contributing to the creation of an environment which will stimulate local governments to include citizens in the process of local budget adoption.</w:t>
      </w:r>
      <w:r w:rsidR="000D61FB">
        <w:rPr>
          <w:rFonts w:ascii="Times New Roman" w:hAnsi="Times New Roman" w:cs="Times New Roman"/>
          <w:sz w:val="24"/>
          <w:szCs w:val="24"/>
        </w:rPr>
        <w:t xml:space="preserve"> M</w:t>
      </w:r>
      <w:r w:rsidR="00056BE0">
        <w:rPr>
          <w:rFonts w:ascii="Times New Roman" w:hAnsi="Times New Roman" w:cs="Times New Roman"/>
          <w:sz w:val="24"/>
          <w:szCs w:val="24"/>
        </w:rPr>
        <w:t>s.</w:t>
      </w:r>
      <w:r w:rsidR="000D61FB">
        <w:rPr>
          <w:rFonts w:ascii="Times New Roman" w:hAnsi="Times New Roman" w:cs="Times New Roman"/>
          <w:sz w:val="24"/>
          <w:szCs w:val="24"/>
        </w:rPr>
        <w:t xml:space="preserve"> Karacic presented the good examples of public participation from five local government units in Croatia – Pazin (with citizens suggestion communal actions and vote on them on public hearings) </w:t>
      </w:r>
      <w:r w:rsidR="000D61FB">
        <w:rPr>
          <w:rFonts w:ascii="Times New Roman" w:hAnsi="Times New Roman" w:cs="Times New Roman"/>
          <w:sz w:val="24"/>
          <w:szCs w:val="24"/>
        </w:rPr>
        <w:lastRenderedPageBreak/>
        <w:t xml:space="preserve">Rijeka (with small communal actions, local partnership program, and educational online budget game), Crikvenica (with e-consultations), Knin (with e-referendum though which the </w:t>
      </w:r>
      <w:r w:rsidR="000D61FB" w:rsidRPr="000D61FB">
        <w:rPr>
          <w:rFonts w:ascii="Times New Roman" w:hAnsi="Times New Roman" w:cs="Times New Roman"/>
          <w:sz w:val="24"/>
          <w:szCs w:val="24"/>
        </w:rPr>
        <w:t>city administration will pose general questions, mostly connected to identifying the main developmental guidelines, which will be followed by questions on the structure and organization of certain city systems, specific events etc</w:t>
      </w:r>
      <w:r w:rsidR="000D61FB">
        <w:rPr>
          <w:rFonts w:ascii="Times New Roman" w:hAnsi="Times New Roman" w:cs="Times New Roman"/>
          <w:sz w:val="24"/>
          <w:szCs w:val="24"/>
        </w:rPr>
        <w:t>.), and Zminj (with e-referendum and program to focus on older citizens and social excluded groups).</w:t>
      </w:r>
    </w:p>
    <w:p w14:paraId="05F78C2D" w14:textId="29E63477" w:rsidR="000D61FB" w:rsidRDefault="00B1781F" w:rsidP="00F528EF">
      <w:pPr>
        <w:shd w:val="clear" w:color="auto" w:fill="FFFFFF"/>
        <w:spacing w:after="120" w:line="240" w:lineRule="auto"/>
        <w:jc w:val="both"/>
        <w:rPr>
          <w:rFonts w:ascii="Times New Roman" w:hAnsi="Times New Roman" w:cs="Times New Roman"/>
          <w:b/>
          <w:sz w:val="24"/>
          <w:szCs w:val="24"/>
        </w:rPr>
      </w:pPr>
      <w:r w:rsidRPr="00C020C4">
        <w:rPr>
          <w:rFonts w:ascii="Times New Roman" w:hAnsi="Times New Roman" w:cs="Times New Roman"/>
          <w:b/>
          <w:sz w:val="24"/>
          <w:szCs w:val="24"/>
        </w:rPr>
        <w:t>In the afternoon on Day 3, discussion groups were organized for the participants to discuss experiences, challenges, and potential measures related to motivation of citizens to participate in the budget process and motivation of government authorities to involve citizens</w:t>
      </w:r>
      <w:r w:rsidR="00056BE0">
        <w:rPr>
          <w:rFonts w:ascii="Times New Roman" w:hAnsi="Times New Roman" w:cs="Times New Roman"/>
          <w:b/>
          <w:sz w:val="24"/>
          <w:szCs w:val="24"/>
        </w:rPr>
        <w:t xml:space="preserve">. In addition, the groups discussed </w:t>
      </w:r>
      <w:r w:rsidRPr="00C020C4">
        <w:rPr>
          <w:rFonts w:ascii="Times New Roman" w:hAnsi="Times New Roman" w:cs="Times New Roman"/>
          <w:b/>
          <w:sz w:val="24"/>
          <w:szCs w:val="24"/>
        </w:rPr>
        <w:t xml:space="preserve">the IT applications that facilitate and support public participation in the budget process. </w:t>
      </w:r>
      <w:r w:rsidRPr="00C020C4">
        <w:rPr>
          <w:rFonts w:ascii="Times New Roman" w:hAnsi="Times New Roman" w:cs="Times New Roman"/>
          <w:sz w:val="24"/>
          <w:szCs w:val="24"/>
        </w:rPr>
        <w:t>The participants acknowledged that in PEMPAL countries there is an overall low level of public motivation, with motivation in most countries being stronger at the local level, as the spending at that level is more directly or closely related to citizens. At the</w:t>
      </w:r>
      <w:r w:rsidRPr="00B1781F">
        <w:rPr>
          <w:rFonts w:ascii="Times New Roman" w:hAnsi="Times New Roman" w:cs="Times New Roman"/>
          <w:sz w:val="24"/>
          <w:szCs w:val="24"/>
        </w:rPr>
        <w:t xml:space="preserve"> same time, those who are more familiar with budget issues, such as researchers and students, display a higher level of interest. NGOs are more motivated than private citizens. In order to increase public motivation, budget literacy must be </w:t>
      </w:r>
      <w:r w:rsidR="000D61FB" w:rsidRPr="00B1781F">
        <w:rPr>
          <w:rFonts w:ascii="Times New Roman" w:hAnsi="Times New Roman" w:cs="Times New Roman"/>
          <w:sz w:val="24"/>
          <w:szCs w:val="24"/>
        </w:rPr>
        <w:t>improved,</w:t>
      </w:r>
      <w:r w:rsidRPr="00B1781F">
        <w:rPr>
          <w:rFonts w:ascii="Times New Roman" w:hAnsi="Times New Roman" w:cs="Times New Roman"/>
          <w:sz w:val="24"/>
          <w:szCs w:val="24"/>
        </w:rPr>
        <w:t xml:space="preserve"> and it is important to use interactive tools and make information easy to understand and compelling. On the side of government, motivation is currently in PEMPAL countries increasing and is mostly spearheaded by the Finance Ministries. Political will of too government officials is a key. Some of the measures used to increase public participation are fostering competitions among government authorities to engage citizens, providing financial assistance to subnational government for participation initiatives, participating and improving rankings in international benchmarking measures (such as OBS), and exchanging knowledge among governments by participating in international conferences and events. Specific public engagement tools were discussed, including publishing citizens’ budgets at different stages of the budget process, holding budget hearings, creating portals to vote on projects, holding TV shows and debates, and using budget literacy tools such as budget days, curricula, and trainings. It was stressed that it is important to give participants a voice during budget hearing and provide them feedback on decisions made. In terms of IT portals, many PEMPAL countries have open budget portals (both at central and local level), some of which allow interactive participation of citizens in terms of voting on different projects to be financed for example. Georgian example presented in the workshop was praised by participants and based on their requests, Georgian representatives will share technical specifications of this portal with their PEMPAL colleagues.</w:t>
      </w:r>
      <w:r w:rsidRPr="00B1781F">
        <w:rPr>
          <w:rFonts w:ascii="Times New Roman" w:hAnsi="Times New Roman" w:cs="Times New Roman"/>
          <w:b/>
          <w:sz w:val="24"/>
          <w:szCs w:val="24"/>
        </w:rPr>
        <w:t xml:space="preserve"> </w:t>
      </w:r>
    </w:p>
    <w:p w14:paraId="6D32980E" w14:textId="1A93D98D" w:rsidR="00224788" w:rsidRPr="000D61FB" w:rsidRDefault="00483FE8" w:rsidP="00F528EF">
      <w:pPr>
        <w:shd w:val="clear" w:color="auto" w:fill="FFFFFF"/>
        <w:spacing w:after="120" w:line="240" w:lineRule="auto"/>
        <w:jc w:val="both"/>
        <w:rPr>
          <w:rFonts w:ascii="Times New Roman" w:hAnsi="Times New Roman" w:cs="Times New Roman"/>
          <w:b/>
          <w:i/>
          <w:sz w:val="24"/>
          <w:szCs w:val="24"/>
        </w:rPr>
        <w:sectPr w:rsidR="00224788" w:rsidRPr="000D61FB" w:rsidSect="00AF2FBB">
          <w:headerReference w:type="default" r:id="rId8"/>
          <w:footerReference w:type="even" r:id="rId9"/>
          <w:footerReference w:type="default" r:id="rId10"/>
          <w:pgSz w:w="12240" w:h="15840"/>
          <w:pgMar w:top="1224" w:right="1224" w:bottom="1224" w:left="1224" w:header="288" w:footer="720" w:gutter="0"/>
          <w:cols w:space="720"/>
          <w:docGrid w:linePitch="360"/>
        </w:sectPr>
      </w:pPr>
      <w:r w:rsidRPr="000D61FB">
        <w:rPr>
          <w:rFonts w:ascii="Times New Roman" w:hAnsi="Times New Roman" w:cs="Times New Roman"/>
          <w:b/>
          <w:i/>
          <w:sz w:val="24"/>
          <w:szCs w:val="24"/>
        </w:rPr>
        <w:t>T</w:t>
      </w:r>
      <w:r w:rsidR="008F191F" w:rsidRPr="000D61FB">
        <w:rPr>
          <w:rFonts w:ascii="Times New Roman" w:hAnsi="Times New Roman" w:cs="Times New Roman"/>
          <w:b/>
          <w:i/>
          <w:sz w:val="24"/>
          <w:szCs w:val="24"/>
        </w:rPr>
        <w:t xml:space="preserve">his </w:t>
      </w:r>
      <w:r w:rsidR="00E131F6" w:rsidRPr="000D61FB">
        <w:rPr>
          <w:rFonts w:ascii="Times New Roman" w:hAnsi="Times New Roman" w:cs="Times New Roman"/>
          <w:b/>
          <w:i/>
          <w:sz w:val="24"/>
          <w:szCs w:val="24"/>
        </w:rPr>
        <w:t xml:space="preserve">Event </w:t>
      </w:r>
      <w:r w:rsidR="008F191F" w:rsidRPr="000D61FB">
        <w:rPr>
          <w:rFonts w:ascii="Times New Roman" w:hAnsi="Times New Roman" w:cs="Times New Roman"/>
          <w:b/>
          <w:i/>
          <w:sz w:val="24"/>
          <w:szCs w:val="24"/>
        </w:rPr>
        <w:t xml:space="preserve">Report </w:t>
      </w:r>
      <w:r w:rsidR="004D4D8F" w:rsidRPr="000D61FB">
        <w:rPr>
          <w:rFonts w:ascii="Times New Roman" w:hAnsi="Times New Roman" w:cs="Times New Roman"/>
          <w:b/>
          <w:i/>
          <w:sz w:val="24"/>
          <w:szCs w:val="24"/>
        </w:rPr>
        <w:t xml:space="preserve">can be accessed on the PEMPAL public </w:t>
      </w:r>
      <w:r w:rsidR="00B34424" w:rsidRPr="000D61FB">
        <w:rPr>
          <w:rFonts w:ascii="Times New Roman" w:hAnsi="Times New Roman" w:cs="Times New Roman"/>
          <w:b/>
          <w:i/>
          <w:sz w:val="24"/>
          <w:szCs w:val="24"/>
        </w:rPr>
        <w:t>web</w:t>
      </w:r>
      <w:r w:rsidR="004D4D8F" w:rsidRPr="000D61FB">
        <w:rPr>
          <w:rFonts w:ascii="Times New Roman" w:hAnsi="Times New Roman" w:cs="Times New Roman"/>
          <w:b/>
          <w:i/>
          <w:sz w:val="24"/>
          <w:szCs w:val="24"/>
        </w:rPr>
        <w:t xml:space="preserve">site together with </w:t>
      </w:r>
      <w:r w:rsidR="00775412" w:rsidRPr="000D61FB">
        <w:rPr>
          <w:rFonts w:ascii="Times New Roman" w:hAnsi="Times New Roman" w:cs="Times New Roman"/>
          <w:b/>
          <w:i/>
          <w:sz w:val="24"/>
          <w:szCs w:val="24"/>
        </w:rPr>
        <w:t>all materials</w:t>
      </w:r>
      <w:r w:rsidR="00775412" w:rsidRPr="000D61FB">
        <w:rPr>
          <w:rFonts w:ascii="Times New Roman" w:hAnsi="Times New Roman" w:cs="Times New Roman"/>
          <w:i/>
          <w:sz w:val="24"/>
          <w:szCs w:val="24"/>
        </w:rPr>
        <w:t xml:space="preserve"> from the </w:t>
      </w:r>
      <w:r w:rsidR="00A42133" w:rsidRPr="000D61FB">
        <w:rPr>
          <w:rFonts w:ascii="Times New Roman" w:hAnsi="Times New Roman" w:cs="Times New Roman"/>
          <w:i/>
          <w:sz w:val="24"/>
          <w:szCs w:val="24"/>
        </w:rPr>
        <w:t xml:space="preserve">plenary meeting </w:t>
      </w:r>
      <w:r w:rsidR="004D4D8F" w:rsidRPr="000D61FB">
        <w:rPr>
          <w:rFonts w:ascii="Times New Roman" w:hAnsi="Times New Roman" w:cs="Times New Roman"/>
          <w:i/>
          <w:sz w:val="24"/>
          <w:szCs w:val="24"/>
        </w:rPr>
        <w:t>in</w:t>
      </w:r>
      <w:r w:rsidR="00DE11F5" w:rsidRPr="000D61FB">
        <w:rPr>
          <w:rFonts w:ascii="Times New Roman" w:hAnsi="Times New Roman" w:cs="Times New Roman"/>
          <w:i/>
          <w:sz w:val="24"/>
          <w:szCs w:val="24"/>
        </w:rPr>
        <w:t xml:space="preserve"> the network languages of English, Russian and Bosnian-Croatian-Serbian</w:t>
      </w:r>
      <w:r w:rsidR="00261C86" w:rsidRPr="000D61FB">
        <w:rPr>
          <w:rFonts w:ascii="Times New Roman" w:hAnsi="Times New Roman" w:cs="Times New Roman"/>
          <w:i/>
          <w:sz w:val="24"/>
          <w:szCs w:val="24"/>
        </w:rPr>
        <w:t>:</w:t>
      </w:r>
      <w:r w:rsidR="008F191F" w:rsidRPr="000D61FB">
        <w:rPr>
          <w:rFonts w:ascii="Times New Roman" w:hAnsi="Times New Roman" w:cs="Times New Roman"/>
          <w:i/>
          <w:sz w:val="24"/>
          <w:szCs w:val="24"/>
        </w:rPr>
        <w:t xml:space="preserve"> </w:t>
      </w:r>
      <w:hyperlink r:id="rId11" w:history="1">
        <w:r w:rsidR="0033579C" w:rsidRPr="000D61FB">
          <w:rPr>
            <w:rStyle w:val="Hyperlink"/>
            <w:rFonts w:ascii="Times New Roman" w:hAnsi="Times New Roman" w:cs="Times New Roman"/>
            <w:i/>
            <w:sz w:val="24"/>
            <w:szCs w:val="24"/>
          </w:rPr>
          <w:t>https://www.pempal.org/events/bcop-plenary-meeting</w:t>
        </w:r>
      </w:hyperlink>
    </w:p>
    <w:p w14:paraId="1FB05467" w14:textId="77B9A4B7" w:rsidR="00E35D0B" w:rsidRDefault="009B445F" w:rsidP="001978F0">
      <w:pPr>
        <w:pStyle w:val="Heading1"/>
        <w:rPr>
          <w:rFonts w:ascii="Times New Roman" w:hAnsi="Times New Roman" w:cs="Times New Roman"/>
          <w:b/>
          <w:color w:val="000000" w:themeColor="text1"/>
          <w:sz w:val="24"/>
          <w:szCs w:val="24"/>
        </w:rPr>
      </w:pPr>
      <w:bookmarkStart w:id="11" w:name="_Toc511655355"/>
      <w:r>
        <w:rPr>
          <w:rFonts w:ascii="Times New Roman" w:hAnsi="Times New Roman" w:cs="Times New Roman"/>
          <w:b/>
          <w:color w:val="000000" w:themeColor="text1"/>
          <w:sz w:val="24"/>
          <w:szCs w:val="24"/>
        </w:rPr>
        <w:lastRenderedPageBreak/>
        <w:t>Annex</w:t>
      </w:r>
      <w:r w:rsidR="001978F0" w:rsidRPr="001978F0">
        <w:rPr>
          <w:rFonts w:ascii="Times New Roman" w:hAnsi="Times New Roman" w:cs="Times New Roman"/>
          <w:b/>
          <w:color w:val="000000" w:themeColor="text1"/>
          <w:sz w:val="24"/>
          <w:szCs w:val="24"/>
        </w:rPr>
        <w:t xml:space="preserve">: </w:t>
      </w:r>
      <w:r w:rsidR="00E35D0B">
        <w:rPr>
          <w:rFonts w:ascii="Times New Roman" w:hAnsi="Times New Roman" w:cs="Times New Roman"/>
          <w:b/>
          <w:color w:val="000000" w:themeColor="text1"/>
          <w:sz w:val="24"/>
          <w:szCs w:val="24"/>
        </w:rPr>
        <w:t>Event Agenda</w:t>
      </w:r>
      <w:bookmarkEnd w:id="11"/>
    </w:p>
    <w:p w14:paraId="03F3EE7B" w14:textId="77777777" w:rsidR="00055DD8" w:rsidRPr="00055DD8" w:rsidRDefault="00055DD8" w:rsidP="00055DD8">
      <w:pPr>
        <w:jc w:val="center"/>
        <w:outlineLvl w:val="0"/>
        <w:rPr>
          <w:rFonts w:ascii="Cambria" w:hAnsi="Cambria"/>
          <w:b/>
          <w:bCs/>
        </w:rPr>
      </w:pPr>
      <w:bookmarkStart w:id="12" w:name="_Toc511655356"/>
      <w:r w:rsidRPr="00055DD8">
        <w:rPr>
          <w:rFonts w:ascii="Cambria" w:hAnsi="Cambria"/>
          <w:b/>
          <w:bCs/>
        </w:rPr>
        <w:t>AGENDA</w:t>
      </w:r>
      <w:bookmarkEnd w:id="12"/>
    </w:p>
    <w:p w14:paraId="56627D4F" w14:textId="77777777" w:rsidR="00055DD8" w:rsidRPr="00055DD8" w:rsidRDefault="00055DD8" w:rsidP="00055DD8">
      <w:pPr>
        <w:jc w:val="center"/>
        <w:outlineLvl w:val="0"/>
        <w:rPr>
          <w:rFonts w:ascii="Cambria" w:hAnsi="Cambria"/>
          <w:b/>
          <w:bCs/>
        </w:rPr>
      </w:pPr>
      <w:bookmarkStart w:id="13" w:name="_Toc511655357"/>
      <w:r w:rsidRPr="00055DD8">
        <w:rPr>
          <w:rFonts w:ascii="Cambria" w:hAnsi="Cambria"/>
          <w:b/>
          <w:bCs/>
        </w:rPr>
        <w:t>PEMPAL PLENARY MEETING OF BCOP</w:t>
      </w:r>
      <w:bookmarkEnd w:id="13"/>
      <w:r w:rsidRPr="00055DD8">
        <w:rPr>
          <w:rFonts w:ascii="Cambria" w:hAnsi="Cambria"/>
          <w:b/>
          <w:bCs/>
        </w:rPr>
        <w:t xml:space="preserve"> </w:t>
      </w:r>
    </w:p>
    <w:p w14:paraId="6B2F8549" w14:textId="77777777" w:rsidR="00055DD8" w:rsidRPr="00055DD8" w:rsidRDefault="00055DD8" w:rsidP="00055DD8">
      <w:pPr>
        <w:jc w:val="center"/>
        <w:rPr>
          <w:rFonts w:ascii="Cambria" w:hAnsi="Cambria"/>
          <w:b/>
          <w:bCs/>
        </w:rPr>
      </w:pPr>
      <w:r w:rsidRPr="00055DD8">
        <w:rPr>
          <w:rFonts w:ascii="Cambria" w:hAnsi="Cambria"/>
          <w:b/>
          <w:bCs/>
        </w:rPr>
        <w:t xml:space="preserve">Improving Effectiveness and Accountability of Public Expenditures:  </w:t>
      </w:r>
    </w:p>
    <w:p w14:paraId="19191F1C" w14:textId="77777777" w:rsidR="00055DD8" w:rsidRPr="00055DD8" w:rsidRDefault="00055DD8" w:rsidP="00055DD8">
      <w:pPr>
        <w:jc w:val="center"/>
        <w:rPr>
          <w:rFonts w:ascii="Cambria" w:hAnsi="Cambria"/>
          <w:b/>
          <w:bCs/>
        </w:rPr>
      </w:pPr>
      <w:r w:rsidRPr="00055DD8">
        <w:rPr>
          <w:rFonts w:ascii="Cambria" w:hAnsi="Cambria"/>
          <w:b/>
          <w:bCs/>
        </w:rPr>
        <w:t>Trends in Intergovernmental Fiscal Relations, Performance Budgeting and Budget Participation</w:t>
      </w:r>
    </w:p>
    <w:p w14:paraId="53258283" w14:textId="77777777" w:rsidR="00055DD8" w:rsidRPr="00055DD8" w:rsidRDefault="00055DD8" w:rsidP="00055DD8">
      <w:pPr>
        <w:pStyle w:val="xmsonormal"/>
        <w:spacing w:before="0" w:beforeAutospacing="0" w:after="0" w:afterAutospacing="0"/>
        <w:jc w:val="center"/>
        <w:rPr>
          <w:rFonts w:ascii="Cambria" w:eastAsia="Times New Roman" w:hAnsi="Cambria"/>
          <w:b/>
          <w:bCs/>
        </w:rPr>
      </w:pPr>
      <w:r w:rsidRPr="00055DD8">
        <w:rPr>
          <w:rFonts w:ascii="Cambria" w:eastAsia="Times New Roman" w:hAnsi="Cambria"/>
          <w:b/>
          <w:bCs/>
        </w:rPr>
        <w:t>MARCH 14-16, 2018</w:t>
      </w:r>
    </w:p>
    <w:p w14:paraId="610CB86D" w14:textId="77777777" w:rsidR="00055DD8" w:rsidRPr="00055DD8" w:rsidRDefault="00055DD8" w:rsidP="00055DD8">
      <w:pPr>
        <w:pStyle w:val="xmsonormal"/>
        <w:spacing w:before="0" w:beforeAutospacing="0" w:after="0" w:afterAutospacing="0"/>
        <w:jc w:val="center"/>
        <w:rPr>
          <w:rFonts w:ascii="Cambria" w:eastAsia="Times New Roman" w:hAnsi="Cambria"/>
          <w:b/>
        </w:rPr>
      </w:pPr>
      <w:r w:rsidRPr="00055DD8">
        <w:rPr>
          <w:rFonts w:ascii="Cambria" w:eastAsia="Times New Roman" w:hAnsi="Cambria"/>
          <w:b/>
        </w:rPr>
        <w:t xml:space="preserve"> </w:t>
      </w:r>
    </w:p>
    <w:p w14:paraId="400C0976" w14:textId="77777777" w:rsidR="00055DD8" w:rsidRPr="00055DD8" w:rsidRDefault="00055DD8" w:rsidP="00055DD8">
      <w:pPr>
        <w:pStyle w:val="xaddress"/>
        <w:shd w:val="clear" w:color="auto" w:fill="FFFFFF" w:themeFill="background1"/>
        <w:spacing w:before="0" w:beforeAutospacing="0" w:after="0" w:afterAutospacing="0" w:line="225" w:lineRule="atLeast"/>
        <w:jc w:val="center"/>
        <w:rPr>
          <w:rFonts w:ascii="Cambria" w:eastAsia="Times New Roman" w:hAnsi="Cambria"/>
          <w:b/>
          <w:bCs/>
        </w:rPr>
      </w:pPr>
      <w:r w:rsidRPr="00055DD8">
        <w:rPr>
          <w:rFonts w:ascii="Cambria" w:eastAsia="Times New Roman" w:hAnsi="Cambria"/>
          <w:b/>
          <w:bCs/>
        </w:rPr>
        <w:t>VIENNA, AUSTRIA</w:t>
      </w:r>
    </w:p>
    <w:p w14:paraId="28D3C1DF" w14:textId="77777777" w:rsidR="00055DD8" w:rsidRPr="00055DD8" w:rsidRDefault="00055DD8" w:rsidP="00055DD8">
      <w:pPr>
        <w:outlineLvl w:val="0"/>
        <w:rPr>
          <w:rFonts w:ascii="Cambria" w:hAnsi="Cambria"/>
        </w:rPr>
      </w:pPr>
    </w:p>
    <w:p w14:paraId="36955643" w14:textId="77777777" w:rsidR="00055DD8" w:rsidRPr="00055DD8" w:rsidRDefault="00055DD8" w:rsidP="00055DD8">
      <w:pPr>
        <w:jc w:val="both"/>
        <w:outlineLvl w:val="0"/>
        <w:rPr>
          <w:rFonts w:ascii="Cambria" w:hAnsi="Cambria"/>
          <w:b/>
          <w:bCs/>
          <w:u w:val="single"/>
        </w:rPr>
      </w:pPr>
      <w:bookmarkStart w:id="14" w:name="_Toc511655358"/>
      <w:r w:rsidRPr="00055DD8">
        <w:rPr>
          <w:rFonts w:ascii="Cambria" w:hAnsi="Cambria"/>
          <w:b/>
          <w:bCs/>
          <w:u w:val="single"/>
        </w:rPr>
        <w:t>Objectives</w:t>
      </w:r>
      <w:bookmarkEnd w:id="14"/>
    </w:p>
    <w:p w14:paraId="1EDE262B" w14:textId="77777777" w:rsidR="00055DD8" w:rsidRPr="00055DD8" w:rsidRDefault="00055DD8" w:rsidP="00055DD8">
      <w:pPr>
        <w:jc w:val="both"/>
        <w:rPr>
          <w:rFonts w:ascii="Cambria" w:hAnsi="Cambria"/>
        </w:rPr>
      </w:pPr>
      <w:r w:rsidRPr="00055DD8">
        <w:rPr>
          <w:rFonts w:ascii="Cambria" w:hAnsi="Cambria"/>
          <w:b/>
          <w:bCs/>
        </w:rPr>
        <w:t>The key objectives of the meeting</w:t>
      </w:r>
      <w:r w:rsidRPr="00055DD8">
        <w:rPr>
          <w:rFonts w:ascii="Cambria" w:hAnsi="Cambria"/>
        </w:rPr>
        <w:t xml:space="preserve"> are to:</w:t>
      </w:r>
    </w:p>
    <w:p w14:paraId="63DF9684" w14:textId="77777777" w:rsidR="00055DD8" w:rsidRPr="00055DD8" w:rsidRDefault="00055DD8" w:rsidP="00055DD8">
      <w:pPr>
        <w:numPr>
          <w:ilvl w:val="0"/>
          <w:numId w:val="38"/>
        </w:numPr>
        <w:spacing w:after="0" w:line="240" w:lineRule="auto"/>
        <w:jc w:val="both"/>
        <w:rPr>
          <w:rFonts w:ascii="Cambria" w:hAnsi="Cambria"/>
        </w:rPr>
      </w:pPr>
      <w:r w:rsidRPr="00055DD8">
        <w:rPr>
          <w:rFonts w:ascii="Cambria" w:hAnsi="Cambria"/>
        </w:rPr>
        <w:t>Provide the opportunity for BCOP member countries</w:t>
      </w:r>
      <w:r w:rsidRPr="00055DD8">
        <w:rPr>
          <w:rFonts w:ascii="Cambria" w:hAnsi="Cambria"/>
          <w:b/>
          <w:bCs/>
        </w:rPr>
        <w:t xml:space="preserve"> </w:t>
      </w:r>
      <w:r w:rsidRPr="00055DD8">
        <w:rPr>
          <w:rFonts w:ascii="Cambria" w:hAnsi="Cambria"/>
          <w:b/>
          <w:bCs/>
          <w:i/>
          <w:iCs/>
        </w:rPr>
        <w:t>to review approaches and trends in intergovernmental fiscal relations</w:t>
      </w:r>
      <w:r w:rsidRPr="00055DD8">
        <w:rPr>
          <w:rFonts w:ascii="Cambria" w:hAnsi="Cambria"/>
          <w:b/>
          <w:bCs/>
        </w:rPr>
        <w:t xml:space="preserve">, </w:t>
      </w:r>
      <w:r w:rsidRPr="00055DD8">
        <w:rPr>
          <w:rFonts w:ascii="Cambria" w:hAnsi="Cambria"/>
        </w:rPr>
        <w:t>familiarize with developments in OECD countries</w:t>
      </w:r>
      <w:r w:rsidRPr="00055DD8">
        <w:rPr>
          <w:rFonts w:ascii="Cambria" w:hAnsi="Cambria"/>
          <w:b/>
          <w:bCs/>
        </w:rPr>
        <w:t xml:space="preserve"> </w:t>
      </w:r>
      <w:r w:rsidRPr="00055DD8">
        <w:rPr>
          <w:rFonts w:ascii="Cambria" w:hAnsi="Cambria"/>
        </w:rPr>
        <w:t>and discuss possible approaches and options for PEMPAL countries</w:t>
      </w:r>
    </w:p>
    <w:p w14:paraId="139E2E68" w14:textId="77777777" w:rsidR="00055DD8" w:rsidRPr="00055DD8" w:rsidRDefault="00055DD8" w:rsidP="00055DD8">
      <w:pPr>
        <w:numPr>
          <w:ilvl w:val="0"/>
          <w:numId w:val="38"/>
        </w:numPr>
        <w:spacing w:after="0" w:line="240" w:lineRule="auto"/>
        <w:jc w:val="both"/>
        <w:rPr>
          <w:rFonts w:ascii="Cambria" w:hAnsi="Cambria"/>
        </w:rPr>
      </w:pPr>
      <w:r w:rsidRPr="00055DD8">
        <w:rPr>
          <w:rFonts w:ascii="Cambria" w:hAnsi="Cambria"/>
        </w:rPr>
        <w:t>Provide the opportunity for broad BCOP membership to review practices and approaches on the issues of BCOP Working Groups’ focus in the past year -</w:t>
      </w:r>
      <w:r w:rsidRPr="00055DD8">
        <w:rPr>
          <w:rFonts w:ascii="Cambria" w:hAnsi="Cambria"/>
          <w:b/>
          <w:bCs/>
        </w:rPr>
        <w:t xml:space="preserve"> </w:t>
      </w:r>
      <w:r w:rsidRPr="00055DD8">
        <w:rPr>
          <w:rFonts w:ascii="Cambria" w:hAnsi="Cambria"/>
          <w:b/>
          <w:bCs/>
          <w:i/>
          <w:iCs/>
        </w:rPr>
        <w:t>use of performance indicators in performance budgeting</w:t>
      </w:r>
      <w:r w:rsidRPr="00055DD8">
        <w:rPr>
          <w:rFonts w:ascii="Cambria" w:hAnsi="Cambria"/>
          <w:b/>
          <w:bCs/>
        </w:rPr>
        <w:t xml:space="preserve"> </w:t>
      </w:r>
      <w:r w:rsidRPr="00055DD8">
        <w:rPr>
          <w:rFonts w:ascii="Cambria" w:hAnsi="Cambria"/>
        </w:rPr>
        <w:t>and</w:t>
      </w:r>
      <w:r w:rsidRPr="00055DD8">
        <w:rPr>
          <w:rFonts w:ascii="Cambria" w:hAnsi="Cambria"/>
          <w:b/>
          <w:bCs/>
        </w:rPr>
        <w:t xml:space="preserve"> </w:t>
      </w:r>
      <w:r w:rsidRPr="00055DD8">
        <w:rPr>
          <w:rFonts w:ascii="Cambria" w:hAnsi="Cambria"/>
          <w:b/>
          <w:bCs/>
          <w:i/>
          <w:iCs/>
        </w:rPr>
        <w:t>public participation</w:t>
      </w:r>
      <w:r w:rsidRPr="00055DD8">
        <w:rPr>
          <w:rFonts w:ascii="Cambria" w:hAnsi="Cambria"/>
          <w:b/>
          <w:bCs/>
        </w:rPr>
        <w:t xml:space="preserve">. </w:t>
      </w:r>
      <w:r w:rsidRPr="00055DD8">
        <w:rPr>
          <w:rFonts w:ascii="Cambria" w:hAnsi="Cambria"/>
        </w:rPr>
        <w:t>Get feedback from BCOP members on the BCOP Working Groups’ most recent work on knowledge products:</w:t>
      </w:r>
    </w:p>
    <w:p w14:paraId="36670733" w14:textId="77777777" w:rsidR="00055DD8" w:rsidRPr="00055DD8" w:rsidRDefault="00055DD8" w:rsidP="00055DD8">
      <w:pPr>
        <w:pStyle w:val="ListParagraph"/>
        <w:numPr>
          <w:ilvl w:val="1"/>
          <w:numId w:val="40"/>
        </w:numPr>
        <w:spacing w:after="0" w:line="240" w:lineRule="auto"/>
        <w:jc w:val="both"/>
        <w:rPr>
          <w:rFonts w:ascii="Cambria" w:hAnsi="Cambria"/>
        </w:rPr>
      </w:pPr>
      <w:r w:rsidRPr="00055DD8">
        <w:rPr>
          <w:rFonts w:ascii="Cambria" w:hAnsi="Cambria"/>
        </w:rPr>
        <w:t xml:space="preserve">Performance Indicators in PEMPAL Countries: Trends and Challenges (by BCOP Program and Performance Budgeting Working Group)  </w:t>
      </w:r>
    </w:p>
    <w:p w14:paraId="298C0AF1" w14:textId="77777777" w:rsidR="00055DD8" w:rsidRPr="00055DD8" w:rsidRDefault="00055DD8" w:rsidP="00055DD8">
      <w:pPr>
        <w:pStyle w:val="ListParagraph"/>
        <w:numPr>
          <w:ilvl w:val="1"/>
          <w:numId w:val="40"/>
        </w:numPr>
        <w:spacing w:after="0" w:line="240" w:lineRule="auto"/>
        <w:jc w:val="both"/>
        <w:rPr>
          <w:rFonts w:ascii="Cambria" w:hAnsi="Cambria"/>
        </w:rPr>
      </w:pPr>
      <w:r w:rsidRPr="00055DD8">
        <w:rPr>
          <w:rFonts w:ascii="Cambria" w:hAnsi="Cambria"/>
        </w:rPr>
        <w:t>Public Participation in Fiscal Policy and the Budget Process – How to establish and/or strengthen mechanisms in PEMPAL countries (by BCOP Budget Transparency and Literacy Working Group).</w:t>
      </w:r>
    </w:p>
    <w:p w14:paraId="7C8C8A1A" w14:textId="77777777" w:rsidR="00055DD8" w:rsidRPr="00055DD8" w:rsidRDefault="00055DD8" w:rsidP="00055DD8">
      <w:pPr>
        <w:numPr>
          <w:ilvl w:val="0"/>
          <w:numId w:val="39"/>
        </w:numPr>
        <w:spacing w:after="0" w:line="240" w:lineRule="auto"/>
        <w:jc w:val="both"/>
        <w:rPr>
          <w:rFonts w:ascii="Cambria" w:hAnsi="Cambria"/>
        </w:rPr>
      </w:pPr>
      <w:r w:rsidRPr="00055DD8">
        <w:rPr>
          <w:rFonts w:ascii="Cambria" w:hAnsi="Cambria"/>
        </w:rPr>
        <w:t>Update members on BCOP progress since the last plenary meeting and to report back on countries’ priorities gathered in the pre-meeting survey to inform the development of the BCOP Action Plan 2018-19.</w:t>
      </w:r>
    </w:p>
    <w:p w14:paraId="72F76ED7" w14:textId="77777777" w:rsidR="00055DD8" w:rsidRPr="00055DD8" w:rsidRDefault="00055DD8" w:rsidP="00055DD8">
      <w:pPr>
        <w:jc w:val="both"/>
        <w:rPr>
          <w:rFonts w:ascii="Cambria" w:hAnsi="Cambria"/>
          <w:b/>
          <w:u w:val="single"/>
        </w:rPr>
      </w:pPr>
    </w:p>
    <w:p w14:paraId="196430EF" w14:textId="77777777" w:rsidR="00055DD8" w:rsidRPr="00055DD8" w:rsidRDefault="00055DD8" w:rsidP="00055DD8">
      <w:pPr>
        <w:jc w:val="both"/>
        <w:outlineLvl w:val="0"/>
        <w:rPr>
          <w:rFonts w:ascii="Cambria" w:hAnsi="Cambria"/>
          <w:b/>
          <w:bCs/>
          <w:u w:val="single"/>
        </w:rPr>
      </w:pPr>
      <w:bookmarkStart w:id="15" w:name="_Toc511655359"/>
      <w:r w:rsidRPr="00055DD8">
        <w:rPr>
          <w:rFonts w:ascii="Cambria" w:hAnsi="Cambria"/>
          <w:b/>
          <w:bCs/>
          <w:u w:val="single"/>
        </w:rPr>
        <w:t>Day Zero, Tuesday, March 13 – Executive Committee</w:t>
      </w:r>
      <w:bookmarkEnd w:id="15"/>
    </w:p>
    <w:p w14:paraId="674475D0" w14:textId="77777777" w:rsidR="00055DD8" w:rsidRPr="00055DD8" w:rsidRDefault="00055DD8" w:rsidP="00055DD8">
      <w:pPr>
        <w:jc w:val="both"/>
        <w:outlineLvl w:val="0"/>
        <w:rPr>
          <w:rFonts w:ascii="Cambria" w:eastAsia="PMingLiU" w:hAnsi="Cambria"/>
        </w:rPr>
      </w:pPr>
      <w:bookmarkStart w:id="16" w:name="_Toc511655360"/>
      <w:r w:rsidRPr="00055DD8">
        <w:rPr>
          <w:rFonts w:ascii="Cambria" w:eastAsia="PMingLiU" w:hAnsi="Cambria"/>
        </w:rPr>
        <w:t>Arrivals BCOP Executive Committee and Resource Team</w:t>
      </w:r>
      <w:bookmarkEnd w:id="16"/>
    </w:p>
    <w:p w14:paraId="4868A605" w14:textId="77777777" w:rsidR="00055DD8" w:rsidRPr="00055DD8" w:rsidRDefault="00055DD8" w:rsidP="00055DD8">
      <w:pPr>
        <w:ind w:left="1410" w:hanging="1410"/>
        <w:jc w:val="both"/>
        <w:rPr>
          <w:rFonts w:ascii="Cambria" w:eastAsia="PMingLiU" w:hAnsi="Cambria"/>
        </w:rPr>
      </w:pPr>
    </w:p>
    <w:p w14:paraId="71B5F883" w14:textId="77777777" w:rsidR="00055DD8" w:rsidRPr="00055DD8" w:rsidRDefault="00055DD8" w:rsidP="00055DD8">
      <w:pPr>
        <w:ind w:left="1410" w:hanging="1410"/>
        <w:jc w:val="both"/>
        <w:rPr>
          <w:rFonts w:ascii="Cambria" w:eastAsia="PMingLiU" w:hAnsi="Cambria"/>
        </w:rPr>
      </w:pPr>
      <w:r w:rsidRPr="00055DD8">
        <w:rPr>
          <w:rFonts w:ascii="Cambria" w:eastAsia="PMingLiU" w:hAnsi="Cambria"/>
        </w:rPr>
        <w:t>12.30-14.00</w:t>
      </w:r>
      <w:r w:rsidRPr="00055DD8">
        <w:rPr>
          <w:rFonts w:ascii="Cambria" w:eastAsia="PMingLiU" w:hAnsi="Cambria"/>
        </w:rPr>
        <w:tab/>
      </w:r>
      <w:r w:rsidRPr="00055DD8">
        <w:rPr>
          <w:rFonts w:ascii="Cambria" w:eastAsia="PMingLiU" w:hAnsi="Cambria"/>
          <w:b/>
          <w:bCs/>
        </w:rPr>
        <w:t xml:space="preserve">Lunch in Hotel </w:t>
      </w:r>
    </w:p>
    <w:p w14:paraId="6D0BAC9A" w14:textId="77777777" w:rsidR="00055DD8" w:rsidRPr="00055DD8" w:rsidRDefault="00055DD8" w:rsidP="00055DD8">
      <w:pPr>
        <w:pStyle w:val="ListParagraph"/>
        <w:ind w:left="0"/>
        <w:jc w:val="both"/>
        <w:rPr>
          <w:rFonts w:ascii="Cambria" w:hAnsi="Cambria"/>
        </w:rPr>
      </w:pPr>
    </w:p>
    <w:p w14:paraId="73E98940" w14:textId="77777777" w:rsidR="00055DD8" w:rsidRPr="00055DD8" w:rsidRDefault="00055DD8" w:rsidP="00055DD8">
      <w:pPr>
        <w:pStyle w:val="ListParagraph"/>
        <w:ind w:left="0"/>
        <w:jc w:val="both"/>
        <w:rPr>
          <w:rFonts w:ascii="Cambria" w:hAnsi="Cambria"/>
        </w:rPr>
      </w:pPr>
      <w:r w:rsidRPr="00055DD8">
        <w:rPr>
          <w:rFonts w:ascii="Cambria" w:hAnsi="Cambria"/>
        </w:rPr>
        <w:t xml:space="preserve">18.00      </w:t>
      </w:r>
      <w:r w:rsidRPr="00055DD8">
        <w:rPr>
          <w:rFonts w:ascii="Cambria" w:hAnsi="Cambria"/>
        </w:rPr>
        <w:tab/>
      </w:r>
      <w:r w:rsidRPr="00055DD8">
        <w:rPr>
          <w:rFonts w:ascii="Cambria" w:hAnsi="Cambria"/>
          <w:b/>
          <w:bCs/>
        </w:rPr>
        <w:t>Meeting of technical</w:t>
      </w:r>
      <w:r w:rsidRPr="00055DD8">
        <w:rPr>
          <w:rFonts w:ascii="Cambria" w:hAnsi="Cambria"/>
        </w:rPr>
        <w:t xml:space="preserve"> </w:t>
      </w:r>
      <w:r w:rsidRPr="00055DD8">
        <w:rPr>
          <w:rFonts w:ascii="Cambria" w:hAnsi="Cambria"/>
          <w:b/>
          <w:bCs/>
        </w:rPr>
        <w:t>Resource Team</w:t>
      </w:r>
      <w:r w:rsidRPr="00055DD8">
        <w:rPr>
          <w:rFonts w:ascii="Cambria" w:hAnsi="Cambria"/>
        </w:rPr>
        <w:t xml:space="preserve"> </w:t>
      </w:r>
    </w:p>
    <w:p w14:paraId="61435F73" w14:textId="77777777" w:rsidR="00055DD8" w:rsidRPr="00055DD8" w:rsidRDefault="00055DD8" w:rsidP="00055DD8">
      <w:pPr>
        <w:pStyle w:val="ListParagraph"/>
        <w:ind w:left="0"/>
        <w:jc w:val="both"/>
        <w:rPr>
          <w:rFonts w:ascii="Cambria" w:hAnsi="Cambria"/>
        </w:rPr>
      </w:pPr>
    </w:p>
    <w:p w14:paraId="70B19AB6" w14:textId="77777777" w:rsidR="00055DD8" w:rsidRPr="00055DD8" w:rsidRDefault="00055DD8" w:rsidP="00055DD8">
      <w:pPr>
        <w:pStyle w:val="ListParagraph"/>
        <w:ind w:left="1416" w:hanging="1416"/>
        <w:jc w:val="both"/>
        <w:rPr>
          <w:rFonts w:ascii="Cambria" w:hAnsi="Cambria"/>
          <w:b/>
          <w:bCs/>
        </w:rPr>
      </w:pPr>
      <w:r w:rsidRPr="00055DD8">
        <w:rPr>
          <w:rFonts w:ascii="Cambria" w:hAnsi="Cambria"/>
        </w:rPr>
        <w:t>19.00</w:t>
      </w:r>
      <w:r w:rsidRPr="00055DD8">
        <w:rPr>
          <w:rFonts w:ascii="Cambria" w:hAnsi="Cambria"/>
        </w:rPr>
        <w:tab/>
      </w:r>
      <w:r w:rsidRPr="00055DD8">
        <w:rPr>
          <w:rFonts w:ascii="Cambria" w:hAnsi="Cambria"/>
          <w:b/>
          <w:bCs/>
        </w:rPr>
        <w:t>Dinner for BCOP Executive Committee with guests from the Ministry of Finance of Austria</w:t>
      </w:r>
    </w:p>
    <w:p w14:paraId="68893372" w14:textId="77777777" w:rsidR="00055DD8" w:rsidRPr="00055DD8" w:rsidRDefault="00055DD8" w:rsidP="00055DD8">
      <w:pPr>
        <w:pStyle w:val="ListParagraph"/>
        <w:ind w:left="360"/>
        <w:jc w:val="both"/>
        <w:rPr>
          <w:rFonts w:ascii="Cambria" w:hAnsi="Cambria"/>
        </w:rPr>
      </w:pPr>
    </w:p>
    <w:p w14:paraId="72879C04" w14:textId="77777777" w:rsidR="00055DD8" w:rsidRPr="00055DD8" w:rsidRDefault="00055DD8" w:rsidP="00055DD8">
      <w:pPr>
        <w:rPr>
          <w:rFonts w:ascii="Cambria" w:hAnsi="Cambria"/>
          <w:b/>
          <w:bCs/>
          <w:u w:val="single"/>
        </w:rPr>
      </w:pPr>
      <w:r w:rsidRPr="00055DD8">
        <w:rPr>
          <w:rFonts w:ascii="Cambria" w:hAnsi="Cambria"/>
          <w:b/>
          <w:bCs/>
          <w:u w:val="single"/>
        </w:rPr>
        <w:br w:type="page"/>
      </w:r>
      <w:r w:rsidRPr="00055DD8">
        <w:rPr>
          <w:rFonts w:ascii="Cambria" w:hAnsi="Cambria"/>
          <w:b/>
          <w:bCs/>
          <w:u w:val="single"/>
        </w:rPr>
        <w:lastRenderedPageBreak/>
        <w:t xml:space="preserve"> March 14, Wednesday</w:t>
      </w:r>
    </w:p>
    <w:p w14:paraId="5E9DDBF4" w14:textId="0EEC9DE8" w:rsidR="00055DD8" w:rsidRPr="00055DD8" w:rsidRDefault="00055DD8" w:rsidP="00055DD8">
      <w:pPr>
        <w:pStyle w:val="ListParagraph"/>
        <w:ind w:left="0"/>
        <w:jc w:val="both"/>
        <w:rPr>
          <w:rFonts w:ascii="Cambria" w:hAnsi="Cambria"/>
          <w:b/>
          <w:bCs/>
        </w:rPr>
      </w:pPr>
      <w:r w:rsidRPr="00055DD8">
        <w:rPr>
          <w:rFonts w:ascii="Cambria" w:hAnsi="Cambria"/>
        </w:rPr>
        <w:t xml:space="preserve">10.30      </w:t>
      </w:r>
      <w:r w:rsidRPr="00055DD8">
        <w:rPr>
          <w:rFonts w:ascii="Cambria" w:hAnsi="Cambria"/>
        </w:rPr>
        <w:tab/>
      </w:r>
      <w:r w:rsidRPr="00055DD8">
        <w:rPr>
          <w:rFonts w:ascii="Cambria" w:hAnsi="Cambria"/>
          <w:b/>
          <w:bCs/>
        </w:rPr>
        <w:t>Meeting of</w:t>
      </w:r>
      <w:r w:rsidRPr="00055DD8">
        <w:rPr>
          <w:rFonts w:ascii="Cambria" w:hAnsi="Cambria"/>
        </w:rPr>
        <w:t xml:space="preserve"> </w:t>
      </w:r>
      <w:r w:rsidRPr="00055DD8">
        <w:rPr>
          <w:rFonts w:ascii="Cambria" w:hAnsi="Cambria"/>
          <w:b/>
          <w:bCs/>
        </w:rPr>
        <w:t>BCOP Executive Committee</w:t>
      </w:r>
    </w:p>
    <w:p w14:paraId="4B3A1741" w14:textId="77777777" w:rsidR="00AA75CD" w:rsidRDefault="00AA75CD" w:rsidP="00055DD8">
      <w:pPr>
        <w:jc w:val="both"/>
        <w:rPr>
          <w:rFonts w:ascii="Cambria" w:hAnsi="Cambria"/>
          <w:b/>
          <w:bCs/>
          <w:u w:val="single"/>
        </w:rPr>
      </w:pPr>
    </w:p>
    <w:p w14:paraId="690BF8CE" w14:textId="10EF6673" w:rsidR="00055DD8" w:rsidRPr="00055DD8" w:rsidRDefault="00055DD8" w:rsidP="00055DD8">
      <w:pPr>
        <w:jc w:val="both"/>
        <w:rPr>
          <w:rFonts w:ascii="Cambria" w:hAnsi="Cambria"/>
          <w:b/>
          <w:bCs/>
          <w:u w:val="single"/>
        </w:rPr>
      </w:pPr>
      <w:r w:rsidRPr="00055DD8">
        <w:rPr>
          <w:rFonts w:ascii="Cambria" w:hAnsi="Cambria"/>
          <w:b/>
          <w:bCs/>
          <w:u w:val="single"/>
        </w:rPr>
        <w:t>Day One - Intergovernmental Fiscal Relations</w:t>
      </w:r>
    </w:p>
    <w:p w14:paraId="50B6846E" w14:textId="77777777" w:rsidR="00055DD8" w:rsidRPr="00055DD8" w:rsidRDefault="00055DD8" w:rsidP="00055DD8">
      <w:pPr>
        <w:jc w:val="both"/>
        <w:rPr>
          <w:rFonts w:ascii="Cambria" w:hAnsi="Cambria"/>
        </w:rPr>
      </w:pPr>
      <w:r w:rsidRPr="00055DD8">
        <w:rPr>
          <w:rFonts w:ascii="Cambria" w:hAnsi="Cambria"/>
        </w:rPr>
        <w:t xml:space="preserve">Moderators:  Alija Aljovic (BCOP Executive Committee, </w:t>
      </w:r>
      <w:r w:rsidRPr="00055DD8">
        <w:rPr>
          <w:rFonts w:ascii="Cambria" w:eastAsia="PMingLiU" w:hAnsi="Cambria"/>
        </w:rPr>
        <w:t xml:space="preserve">Assistant minister for Budget, Federal </w:t>
      </w:r>
      <w:r w:rsidRPr="00055DD8">
        <w:rPr>
          <w:rFonts w:ascii="Cambria" w:hAnsi="Cambria"/>
        </w:rPr>
        <w:t>Ministry of Finance in Bosnia and Herzegovina), Maya Gusarova (Lead Coordinator of BCOP Resource Team, Senior Public Sector Specialist, World Bank)</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055DD8" w:rsidRPr="00055DD8" w14:paraId="75DE93F0" w14:textId="77777777" w:rsidTr="00DE4BE5">
        <w:trPr>
          <w:trHeight w:val="436"/>
        </w:trPr>
        <w:tc>
          <w:tcPr>
            <w:tcW w:w="1507" w:type="dxa"/>
            <w:shd w:val="clear" w:color="auto" w:fill="D0CECE"/>
          </w:tcPr>
          <w:p w14:paraId="6DB3E6CB" w14:textId="77777777" w:rsidR="00055DD8" w:rsidRPr="00055DD8" w:rsidRDefault="00055DD8" w:rsidP="00DE4BE5">
            <w:pPr>
              <w:spacing w:after="200" w:line="276" w:lineRule="auto"/>
              <w:jc w:val="center"/>
              <w:rPr>
                <w:rFonts w:ascii="Cambria" w:hAnsi="Cambria"/>
              </w:rPr>
            </w:pPr>
            <w:r w:rsidRPr="00055DD8">
              <w:rPr>
                <w:rFonts w:ascii="Cambria" w:hAnsi="Cambria"/>
              </w:rPr>
              <w:t>Time</w:t>
            </w:r>
          </w:p>
        </w:tc>
        <w:tc>
          <w:tcPr>
            <w:tcW w:w="8303" w:type="dxa"/>
            <w:shd w:val="clear" w:color="auto" w:fill="D0CECE"/>
          </w:tcPr>
          <w:p w14:paraId="29A9E5B8" w14:textId="77777777" w:rsidR="00055DD8" w:rsidRPr="00055DD8" w:rsidRDefault="00055DD8" w:rsidP="00DE4BE5">
            <w:pPr>
              <w:spacing w:after="200" w:line="276" w:lineRule="auto"/>
              <w:jc w:val="center"/>
              <w:rPr>
                <w:rFonts w:ascii="Cambria" w:hAnsi="Cambria"/>
              </w:rPr>
            </w:pPr>
            <w:r w:rsidRPr="00055DD8">
              <w:rPr>
                <w:rFonts w:ascii="Cambria" w:hAnsi="Cambria"/>
              </w:rPr>
              <w:t>Activity</w:t>
            </w:r>
          </w:p>
        </w:tc>
      </w:tr>
      <w:tr w:rsidR="00055DD8" w:rsidRPr="00055DD8" w14:paraId="0D334DBD" w14:textId="77777777" w:rsidTr="00DE4BE5">
        <w:trPr>
          <w:trHeight w:val="355"/>
        </w:trPr>
        <w:tc>
          <w:tcPr>
            <w:tcW w:w="1507" w:type="dxa"/>
            <w:shd w:val="clear" w:color="auto" w:fill="auto"/>
          </w:tcPr>
          <w:p w14:paraId="76DE650E" w14:textId="77777777" w:rsidR="00055DD8" w:rsidRPr="00055DD8" w:rsidRDefault="00055DD8" w:rsidP="00DE4BE5">
            <w:pPr>
              <w:spacing w:after="200" w:line="276" w:lineRule="auto"/>
              <w:jc w:val="both"/>
              <w:rPr>
                <w:rFonts w:ascii="Cambria" w:hAnsi="Cambria"/>
              </w:rPr>
            </w:pPr>
          </w:p>
        </w:tc>
        <w:tc>
          <w:tcPr>
            <w:tcW w:w="8303" w:type="dxa"/>
            <w:shd w:val="clear" w:color="auto" w:fill="auto"/>
          </w:tcPr>
          <w:p w14:paraId="4CD7C87D" w14:textId="77777777" w:rsidR="00055DD8" w:rsidRPr="00055DD8" w:rsidRDefault="00055DD8" w:rsidP="00DE4BE5">
            <w:pPr>
              <w:spacing w:after="200" w:line="276" w:lineRule="auto"/>
              <w:jc w:val="both"/>
              <w:rPr>
                <w:rFonts w:ascii="Cambria" w:hAnsi="Cambria"/>
                <w:b/>
                <w:bCs/>
              </w:rPr>
            </w:pPr>
            <w:r w:rsidRPr="00055DD8">
              <w:rPr>
                <w:rFonts w:ascii="Cambria" w:hAnsi="Cambria"/>
                <w:b/>
                <w:bCs/>
              </w:rPr>
              <w:t>Arrivals BCOP members</w:t>
            </w:r>
          </w:p>
        </w:tc>
      </w:tr>
      <w:tr w:rsidR="00055DD8" w:rsidRPr="00055DD8" w14:paraId="715C5A75" w14:textId="77777777" w:rsidTr="00DE4BE5">
        <w:trPr>
          <w:trHeight w:val="355"/>
        </w:trPr>
        <w:tc>
          <w:tcPr>
            <w:tcW w:w="1507" w:type="dxa"/>
            <w:shd w:val="clear" w:color="auto" w:fill="auto"/>
          </w:tcPr>
          <w:p w14:paraId="0439F579" w14:textId="77777777" w:rsidR="00055DD8" w:rsidRPr="00055DD8" w:rsidRDefault="00055DD8" w:rsidP="00DE4BE5">
            <w:pPr>
              <w:spacing w:after="200" w:line="276" w:lineRule="auto"/>
              <w:jc w:val="both"/>
              <w:rPr>
                <w:rFonts w:ascii="Cambria" w:hAnsi="Cambria"/>
              </w:rPr>
            </w:pPr>
            <w:r w:rsidRPr="00055DD8">
              <w:rPr>
                <w:rFonts w:ascii="Cambria" w:hAnsi="Cambria"/>
              </w:rPr>
              <w:t>12.00-13.00</w:t>
            </w:r>
          </w:p>
        </w:tc>
        <w:tc>
          <w:tcPr>
            <w:tcW w:w="8303" w:type="dxa"/>
            <w:shd w:val="clear" w:color="auto" w:fill="auto"/>
          </w:tcPr>
          <w:p w14:paraId="3E8AE412" w14:textId="77777777" w:rsidR="00055DD8" w:rsidRPr="00055DD8" w:rsidRDefault="00055DD8" w:rsidP="00DE4BE5">
            <w:pPr>
              <w:spacing w:after="200" w:line="276" w:lineRule="auto"/>
              <w:jc w:val="both"/>
              <w:rPr>
                <w:rFonts w:ascii="Cambria" w:hAnsi="Cambria"/>
                <w:b/>
                <w:bCs/>
              </w:rPr>
            </w:pPr>
            <w:r w:rsidRPr="00055DD8">
              <w:rPr>
                <w:rFonts w:ascii="Cambria" w:hAnsi="Cambria"/>
                <w:b/>
                <w:bCs/>
              </w:rPr>
              <w:t xml:space="preserve">Lunch </w:t>
            </w:r>
          </w:p>
        </w:tc>
      </w:tr>
      <w:tr w:rsidR="00055DD8" w:rsidRPr="00055DD8" w14:paraId="2FB0056C" w14:textId="77777777" w:rsidTr="00DE4BE5">
        <w:trPr>
          <w:trHeight w:val="355"/>
        </w:trPr>
        <w:tc>
          <w:tcPr>
            <w:tcW w:w="1507" w:type="dxa"/>
            <w:shd w:val="clear" w:color="auto" w:fill="auto"/>
          </w:tcPr>
          <w:p w14:paraId="7F072520" w14:textId="77777777" w:rsidR="00055DD8" w:rsidRPr="00055DD8" w:rsidRDefault="00055DD8" w:rsidP="00DE4BE5">
            <w:pPr>
              <w:spacing w:after="200" w:line="276" w:lineRule="auto"/>
              <w:jc w:val="both"/>
              <w:rPr>
                <w:rFonts w:ascii="Cambria" w:hAnsi="Cambria"/>
              </w:rPr>
            </w:pPr>
            <w:r w:rsidRPr="00055DD8">
              <w:rPr>
                <w:rFonts w:ascii="Cambria" w:hAnsi="Cambria"/>
              </w:rPr>
              <w:t>13.00-13.30</w:t>
            </w:r>
          </w:p>
        </w:tc>
        <w:tc>
          <w:tcPr>
            <w:tcW w:w="8303" w:type="dxa"/>
            <w:shd w:val="clear" w:color="auto" w:fill="auto"/>
          </w:tcPr>
          <w:p w14:paraId="502828BF" w14:textId="77777777" w:rsidR="00055DD8" w:rsidRPr="00055DD8" w:rsidRDefault="00055DD8" w:rsidP="00DE4BE5">
            <w:pPr>
              <w:spacing w:after="200" w:line="276" w:lineRule="auto"/>
              <w:jc w:val="both"/>
              <w:rPr>
                <w:rFonts w:ascii="Cambria" w:hAnsi="Cambria"/>
                <w:b/>
                <w:bCs/>
              </w:rPr>
            </w:pPr>
            <w:r w:rsidRPr="00055DD8">
              <w:rPr>
                <w:rFonts w:ascii="Cambria" w:hAnsi="Cambria"/>
                <w:b/>
                <w:bCs/>
              </w:rPr>
              <w:t>Registrations</w:t>
            </w:r>
          </w:p>
        </w:tc>
      </w:tr>
      <w:tr w:rsidR="00055DD8" w:rsidRPr="00055DD8" w14:paraId="662F00DB" w14:textId="77777777" w:rsidTr="00DE4BE5">
        <w:trPr>
          <w:trHeight w:val="395"/>
        </w:trPr>
        <w:tc>
          <w:tcPr>
            <w:tcW w:w="1507" w:type="dxa"/>
            <w:shd w:val="clear" w:color="auto" w:fill="auto"/>
          </w:tcPr>
          <w:p w14:paraId="0ECCD881" w14:textId="77777777" w:rsidR="00055DD8" w:rsidRPr="00055DD8" w:rsidRDefault="00055DD8" w:rsidP="00DE4BE5">
            <w:pPr>
              <w:spacing w:after="200" w:line="276" w:lineRule="auto"/>
              <w:jc w:val="both"/>
              <w:rPr>
                <w:rFonts w:ascii="Cambria" w:hAnsi="Cambria"/>
              </w:rPr>
            </w:pPr>
            <w:r w:rsidRPr="00055DD8">
              <w:rPr>
                <w:rFonts w:ascii="Cambria" w:hAnsi="Cambria"/>
              </w:rPr>
              <w:t>13.30-14.00</w:t>
            </w:r>
          </w:p>
        </w:tc>
        <w:tc>
          <w:tcPr>
            <w:tcW w:w="8303" w:type="dxa"/>
            <w:shd w:val="clear" w:color="auto" w:fill="auto"/>
          </w:tcPr>
          <w:p w14:paraId="639A7F4A" w14:textId="77777777" w:rsidR="00055DD8" w:rsidRPr="00055DD8" w:rsidRDefault="00055DD8" w:rsidP="00DE4BE5">
            <w:pPr>
              <w:jc w:val="both"/>
              <w:rPr>
                <w:rFonts w:ascii="Cambria" w:hAnsi="Cambria"/>
              </w:rPr>
            </w:pPr>
            <w:r w:rsidRPr="00055DD8">
              <w:rPr>
                <w:rFonts w:ascii="Cambria" w:hAnsi="Cambria"/>
                <w:b/>
                <w:bCs/>
              </w:rPr>
              <w:t xml:space="preserve">Welcome </w:t>
            </w:r>
            <w:r w:rsidRPr="00055DD8">
              <w:rPr>
                <w:rFonts w:ascii="Cambria" w:hAnsi="Cambria"/>
              </w:rPr>
              <w:t>and opening:</w:t>
            </w:r>
          </w:p>
          <w:p w14:paraId="39121D17" w14:textId="77777777" w:rsidR="00055DD8" w:rsidRPr="00055DD8" w:rsidRDefault="009105EE" w:rsidP="00055DD8">
            <w:pPr>
              <w:numPr>
                <w:ilvl w:val="0"/>
                <w:numId w:val="2"/>
              </w:numPr>
              <w:spacing w:after="0" w:line="240" w:lineRule="auto"/>
              <w:jc w:val="both"/>
              <w:rPr>
                <w:rFonts w:ascii="Cambria" w:hAnsi="Cambria"/>
              </w:rPr>
            </w:pPr>
            <w:hyperlink r:id="rId12">
              <w:r w:rsidR="00055DD8" w:rsidRPr="00055DD8">
                <w:rPr>
                  <w:rFonts w:ascii="Cambria" w:hAnsi="Cambria"/>
                </w:rPr>
                <w:t>Linda Van Gelder</w:t>
              </w:r>
            </w:hyperlink>
            <w:r w:rsidR="00055DD8" w:rsidRPr="00055DD8">
              <w:rPr>
                <w:rFonts w:ascii="Cambria" w:hAnsi="Cambria"/>
              </w:rPr>
              <w:t>, Country Director, Europe Western Balkans, Work Bank</w:t>
            </w:r>
          </w:p>
          <w:p w14:paraId="06F2C1B8" w14:textId="77777777" w:rsidR="00055DD8" w:rsidRPr="00055DD8" w:rsidRDefault="00055DD8" w:rsidP="00055DD8">
            <w:pPr>
              <w:numPr>
                <w:ilvl w:val="0"/>
                <w:numId w:val="2"/>
              </w:numPr>
              <w:spacing w:after="0" w:line="240" w:lineRule="auto"/>
              <w:jc w:val="both"/>
              <w:rPr>
                <w:rFonts w:ascii="Cambria" w:hAnsi="Cambria"/>
              </w:rPr>
            </w:pPr>
            <w:r w:rsidRPr="00055DD8">
              <w:rPr>
                <w:rFonts w:ascii="Cambria" w:hAnsi="Cambria"/>
              </w:rPr>
              <w:t xml:space="preserve">Dan Boyce, Chair of PEMPAL Steering Committee and Practice Manager, Governance – ECA East, World Bank </w:t>
            </w:r>
          </w:p>
          <w:p w14:paraId="29FE5276" w14:textId="77777777" w:rsidR="00055DD8" w:rsidRPr="00055DD8" w:rsidRDefault="00055DD8" w:rsidP="00055DD8">
            <w:pPr>
              <w:numPr>
                <w:ilvl w:val="0"/>
                <w:numId w:val="2"/>
              </w:numPr>
              <w:spacing w:after="0" w:line="240" w:lineRule="auto"/>
              <w:jc w:val="both"/>
              <w:rPr>
                <w:rFonts w:ascii="Cambria" w:hAnsi="Cambria"/>
              </w:rPr>
            </w:pPr>
            <w:r w:rsidRPr="00055DD8">
              <w:rPr>
                <w:rFonts w:ascii="Cambria" w:hAnsi="Cambria"/>
              </w:rPr>
              <w:t>Anna Belenchuk, BCOP Chair, Ministry of Finance, Russian Federation</w:t>
            </w:r>
          </w:p>
          <w:p w14:paraId="1CAE4F90" w14:textId="77777777" w:rsidR="00055DD8" w:rsidRPr="00055DD8" w:rsidRDefault="00055DD8" w:rsidP="00055DD8">
            <w:pPr>
              <w:numPr>
                <w:ilvl w:val="0"/>
                <w:numId w:val="2"/>
              </w:numPr>
              <w:spacing w:after="0" w:line="240" w:lineRule="auto"/>
              <w:jc w:val="both"/>
              <w:rPr>
                <w:rFonts w:ascii="Cambria" w:hAnsi="Cambria"/>
              </w:rPr>
            </w:pPr>
            <w:r w:rsidRPr="00055DD8">
              <w:rPr>
                <w:rFonts w:ascii="Cambria" w:hAnsi="Cambria"/>
              </w:rPr>
              <w:t>Table introductions (10-15 minutes) including introductions of any newcomers</w:t>
            </w:r>
          </w:p>
        </w:tc>
      </w:tr>
      <w:tr w:rsidR="00055DD8" w:rsidRPr="00055DD8" w14:paraId="40A951F8" w14:textId="77777777" w:rsidTr="00DE4BE5">
        <w:trPr>
          <w:trHeight w:val="395"/>
        </w:trPr>
        <w:tc>
          <w:tcPr>
            <w:tcW w:w="1507" w:type="dxa"/>
            <w:shd w:val="clear" w:color="auto" w:fill="auto"/>
          </w:tcPr>
          <w:p w14:paraId="3440BE95" w14:textId="77777777" w:rsidR="00055DD8" w:rsidRPr="00055DD8" w:rsidRDefault="00055DD8" w:rsidP="00DE4BE5">
            <w:pPr>
              <w:spacing w:after="200" w:line="276" w:lineRule="auto"/>
              <w:jc w:val="both"/>
              <w:rPr>
                <w:rFonts w:ascii="Cambria" w:hAnsi="Cambria"/>
              </w:rPr>
            </w:pPr>
            <w:r w:rsidRPr="00055DD8">
              <w:rPr>
                <w:rFonts w:ascii="Cambria" w:hAnsi="Cambria"/>
              </w:rPr>
              <w:t>14.00-14.15</w:t>
            </w:r>
          </w:p>
        </w:tc>
        <w:tc>
          <w:tcPr>
            <w:tcW w:w="8303" w:type="dxa"/>
            <w:shd w:val="clear" w:color="auto" w:fill="auto"/>
          </w:tcPr>
          <w:p w14:paraId="32DC189F" w14:textId="77777777" w:rsidR="00055DD8" w:rsidRPr="00055DD8" w:rsidRDefault="00055DD8" w:rsidP="00DE4BE5">
            <w:pPr>
              <w:snapToGrid w:val="0"/>
              <w:jc w:val="both"/>
              <w:rPr>
                <w:rFonts w:ascii="Cambria" w:hAnsi="Cambria"/>
                <w:b/>
                <w:bCs/>
              </w:rPr>
            </w:pPr>
            <w:r w:rsidRPr="00055DD8">
              <w:rPr>
                <w:rFonts w:ascii="Cambria" w:hAnsi="Cambria"/>
                <w:b/>
                <w:bCs/>
              </w:rPr>
              <w:t xml:space="preserve">Presentation 1: BCOP Executive Committee - </w:t>
            </w:r>
            <w:r w:rsidRPr="00055DD8">
              <w:rPr>
                <w:rFonts w:ascii="Cambria" w:hAnsi="Cambria"/>
                <w:b/>
                <w:bCs/>
                <w:u w:val="single"/>
              </w:rPr>
              <w:t>Update on BCOP activities</w:t>
            </w:r>
            <w:r w:rsidRPr="00055DD8">
              <w:rPr>
                <w:rFonts w:ascii="Cambria" w:hAnsi="Cambria"/>
                <w:b/>
                <w:bCs/>
              </w:rPr>
              <w:t xml:space="preserve"> including development of BCOP Action Plan 2018-19 </w:t>
            </w:r>
            <w:r w:rsidRPr="00055DD8">
              <w:rPr>
                <w:rFonts w:ascii="Cambria" w:eastAsia="PMingLiU" w:hAnsi="Cambria"/>
              </w:rPr>
              <w:t>Kanat Asangulov, BCOP Executive Committee, Head of Budget Policy Department, Kyrgyz Republic, Ministry of Finance</w:t>
            </w:r>
          </w:p>
        </w:tc>
      </w:tr>
      <w:tr w:rsidR="00055DD8" w:rsidRPr="00055DD8" w14:paraId="3A24CCC0" w14:textId="77777777" w:rsidTr="00DE4BE5">
        <w:trPr>
          <w:trHeight w:val="557"/>
        </w:trPr>
        <w:tc>
          <w:tcPr>
            <w:tcW w:w="1507" w:type="dxa"/>
            <w:shd w:val="clear" w:color="auto" w:fill="auto"/>
          </w:tcPr>
          <w:p w14:paraId="3ABA7880" w14:textId="77777777" w:rsidR="00055DD8" w:rsidRPr="00055DD8" w:rsidRDefault="00055DD8" w:rsidP="00DE4BE5">
            <w:pPr>
              <w:jc w:val="both"/>
              <w:rPr>
                <w:rFonts w:ascii="Cambria" w:hAnsi="Cambria"/>
              </w:rPr>
            </w:pPr>
            <w:r w:rsidRPr="00055DD8">
              <w:rPr>
                <w:rFonts w:ascii="Cambria" w:hAnsi="Cambria"/>
              </w:rPr>
              <w:t>14.15-14.45</w:t>
            </w:r>
          </w:p>
        </w:tc>
        <w:tc>
          <w:tcPr>
            <w:tcW w:w="8303" w:type="dxa"/>
            <w:shd w:val="clear" w:color="auto" w:fill="auto"/>
          </w:tcPr>
          <w:p w14:paraId="06B0727D" w14:textId="14408771" w:rsidR="00055DD8" w:rsidRPr="00055DD8" w:rsidRDefault="00055DD8" w:rsidP="00055DD8">
            <w:pPr>
              <w:jc w:val="both"/>
              <w:rPr>
                <w:rFonts w:ascii="Cambria" w:eastAsia="PMingLiU" w:hAnsi="Cambria" w:cstheme="majorBidi"/>
                <w:i/>
                <w:iCs/>
                <w:color w:val="404040" w:themeColor="text1" w:themeTint="BF"/>
              </w:rPr>
            </w:pPr>
            <w:r w:rsidRPr="00055DD8">
              <w:rPr>
                <w:rFonts w:ascii="Cambria" w:hAnsi="Cambria"/>
                <w:b/>
                <w:bCs/>
              </w:rPr>
              <w:t xml:space="preserve">Presentation 2: World Bank - </w:t>
            </w:r>
            <w:r w:rsidRPr="00055DD8">
              <w:rPr>
                <w:rFonts w:ascii="Cambria" w:hAnsi="Cambria"/>
                <w:b/>
                <w:bCs/>
                <w:u w:val="single"/>
              </w:rPr>
              <w:t xml:space="preserve">Overview of Intergovernmental Fiscal Relations and Results of the Pre-event Survey of PEMPAL Countries. </w:t>
            </w:r>
            <w:r w:rsidRPr="00055DD8">
              <w:rPr>
                <w:rFonts w:ascii="Cambria" w:hAnsi="Cambria"/>
              </w:rPr>
              <w:t>Iryna Shcherbyna, Public Sector Specialist, World Bank</w:t>
            </w:r>
          </w:p>
        </w:tc>
      </w:tr>
      <w:tr w:rsidR="00055DD8" w:rsidRPr="00055DD8" w14:paraId="13250F30" w14:textId="77777777" w:rsidTr="00DE4BE5">
        <w:trPr>
          <w:trHeight w:val="557"/>
        </w:trPr>
        <w:tc>
          <w:tcPr>
            <w:tcW w:w="1507" w:type="dxa"/>
            <w:shd w:val="clear" w:color="auto" w:fill="auto"/>
          </w:tcPr>
          <w:p w14:paraId="30CFA317" w14:textId="77777777" w:rsidR="00055DD8" w:rsidRPr="00055DD8" w:rsidRDefault="00055DD8" w:rsidP="00DE4BE5">
            <w:pPr>
              <w:jc w:val="both"/>
              <w:rPr>
                <w:rFonts w:ascii="Cambria" w:hAnsi="Cambria"/>
              </w:rPr>
            </w:pPr>
            <w:r w:rsidRPr="00055DD8">
              <w:rPr>
                <w:rFonts w:ascii="Cambria" w:hAnsi="Cambria"/>
              </w:rPr>
              <w:t>14.45-15.15</w:t>
            </w:r>
          </w:p>
        </w:tc>
        <w:tc>
          <w:tcPr>
            <w:tcW w:w="8303" w:type="dxa"/>
            <w:shd w:val="clear" w:color="auto" w:fill="auto"/>
          </w:tcPr>
          <w:p w14:paraId="28B06BD2" w14:textId="77777777" w:rsidR="00055DD8" w:rsidRPr="00055DD8" w:rsidRDefault="00055DD8" w:rsidP="00DE4BE5">
            <w:pPr>
              <w:widowControl w:val="0"/>
              <w:autoSpaceDE w:val="0"/>
              <w:autoSpaceDN w:val="0"/>
              <w:adjustRightInd w:val="0"/>
              <w:jc w:val="both"/>
              <w:rPr>
                <w:rFonts w:ascii="Cambria" w:hAnsi="Cambria"/>
                <w:b/>
                <w:bCs/>
              </w:rPr>
            </w:pPr>
            <w:r w:rsidRPr="00055DD8">
              <w:rPr>
                <w:rFonts w:ascii="Cambria" w:hAnsi="Cambria"/>
                <w:b/>
                <w:bCs/>
              </w:rPr>
              <w:t>Presentation 3: PEFA Secretariat –</w:t>
            </w:r>
            <w:r w:rsidRPr="00055DD8">
              <w:rPr>
                <w:rFonts w:ascii="Cambria" w:hAnsi="Cambria"/>
                <w:b/>
                <w:bCs/>
                <w:u w:val="single"/>
              </w:rPr>
              <w:t>Intergovernmental Fiscal Relations in Public Expenditure and Financial Accountability (PEFA) Framework,</w:t>
            </w:r>
            <w:r w:rsidRPr="00055DD8">
              <w:rPr>
                <w:rFonts w:ascii="Cambria" w:hAnsi="Cambria"/>
              </w:rPr>
              <w:t xml:space="preserve"> Jens Kromann Kristensen, Acting Head of PEFA Secretariat</w:t>
            </w:r>
          </w:p>
        </w:tc>
      </w:tr>
      <w:tr w:rsidR="00055DD8" w:rsidRPr="00055DD8" w14:paraId="78720D63" w14:textId="77777777" w:rsidTr="00DE4BE5">
        <w:trPr>
          <w:trHeight w:val="305"/>
        </w:trPr>
        <w:tc>
          <w:tcPr>
            <w:tcW w:w="1507" w:type="dxa"/>
            <w:tcBorders>
              <w:bottom w:val="single" w:sz="4" w:space="0" w:color="auto"/>
            </w:tcBorders>
            <w:shd w:val="clear" w:color="auto" w:fill="E7E6E6"/>
          </w:tcPr>
          <w:p w14:paraId="0FC46B3F" w14:textId="77777777" w:rsidR="00055DD8" w:rsidRPr="00055DD8" w:rsidRDefault="00055DD8" w:rsidP="00DE4BE5">
            <w:pPr>
              <w:spacing w:after="200" w:line="276" w:lineRule="auto"/>
              <w:jc w:val="both"/>
              <w:rPr>
                <w:rFonts w:ascii="Cambria" w:hAnsi="Cambria"/>
              </w:rPr>
            </w:pPr>
            <w:r w:rsidRPr="00055DD8">
              <w:rPr>
                <w:rFonts w:ascii="Cambria" w:hAnsi="Cambria"/>
              </w:rPr>
              <w:t>15.15-15.45</w:t>
            </w:r>
          </w:p>
        </w:tc>
        <w:tc>
          <w:tcPr>
            <w:tcW w:w="8303" w:type="dxa"/>
            <w:tcBorders>
              <w:bottom w:val="single" w:sz="4" w:space="0" w:color="auto"/>
            </w:tcBorders>
            <w:shd w:val="clear" w:color="auto" w:fill="E7E6E6"/>
          </w:tcPr>
          <w:p w14:paraId="7D531C4F" w14:textId="77777777" w:rsidR="00055DD8" w:rsidRPr="00055DD8" w:rsidRDefault="00055DD8" w:rsidP="00DE4BE5">
            <w:pPr>
              <w:spacing w:after="200" w:line="276" w:lineRule="auto"/>
              <w:jc w:val="both"/>
              <w:rPr>
                <w:rFonts w:ascii="Cambria" w:hAnsi="Cambria"/>
              </w:rPr>
            </w:pPr>
            <w:r w:rsidRPr="00055DD8">
              <w:rPr>
                <w:rFonts w:ascii="Cambria" w:hAnsi="Cambria"/>
              </w:rPr>
              <w:t>Group Photo and Coffee Break</w:t>
            </w:r>
          </w:p>
        </w:tc>
      </w:tr>
      <w:tr w:rsidR="00055DD8" w:rsidRPr="00055DD8" w14:paraId="3715E843" w14:textId="77777777" w:rsidTr="00DE4BE5">
        <w:trPr>
          <w:trHeight w:val="782"/>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978F" w14:textId="77777777" w:rsidR="00055DD8" w:rsidRPr="00055DD8" w:rsidRDefault="00055DD8" w:rsidP="00DE4BE5">
            <w:pPr>
              <w:spacing w:after="200" w:line="276" w:lineRule="auto"/>
              <w:jc w:val="both"/>
              <w:rPr>
                <w:rFonts w:ascii="Cambria" w:hAnsi="Cambria"/>
              </w:rPr>
            </w:pPr>
            <w:r w:rsidRPr="00055DD8">
              <w:rPr>
                <w:rFonts w:ascii="Cambria" w:hAnsi="Cambria"/>
              </w:rPr>
              <w:t>15.45-16.15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5B27E3" w14:textId="77777777" w:rsidR="00055DD8" w:rsidRPr="00055DD8" w:rsidRDefault="00055DD8" w:rsidP="00DE4BE5">
            <w:pPr>
              <w:spacing w:after="200"/>
              <w:jc w:val="both"/>
              <w:rPr>
                <w:rFonts w:ascii="Cambria" w:hAnsi="Cambria"/>
              </w:rPr>
            </w:pPr>
            <w:r w:rsidRPr="00055DD8">
              <w:rPr>
                <w:rFonts w:ascii="Cambria" w:hAnsi="Cambria"/>
                <w:b/>
                <w:bCs/>
              </w:rPr>
              <w:t xml:space="preserve">Presentation 4: OECD – </w:t>
            </w:r>
            <w:r w:rsidRPr="00055DD8">
              <w:rPr>
                <w:rFonts w:ascii="Cambria" w:hAnsi="Cambria"/>
                <w:b/>
                <w:bCs/>
                <w:u w:val="single"/>
              </w:rPr>
              <w:t>Fiscal Decentralization in OECD Countries,</w:t>
            </w:r>
            <w:r w:rsidRPr="00055DD8">
              <w:rPr>
                <w:rFonts w:ascii="Cambria" w:hAnsi="Cambria"/>
                <w:b/>
                <w:bCs/>
              </w:rPr>
              <w:t xml:space="preserve"> </w:t>
            </w:r>
            <w:r w:rsidRPr="00055DD8">
              <w:rPr>
                <w:rFonts w:ascii="Cambria" w:hAnsi="Cambria" w:cs="Calibri"/>
              </w:rPr>
              <w:t>Sean Dougherty, Fiscal Decentralization Network, Public Expenditure Division, Public Governance Directorate, OECD</w:t>
            </w:r>
            <w:r w:rsidRPr="00055DD8">
              <w:rPr>
                <w:rFonts w:ascii="Cambria" w:hAnsi="Cambria"/>
                <w:b/>
                <w:bCs/>
              </w:rPr>
              <w:t xml:space="preserve"> </w:t>
            </w:r>
          </w:p>
        </w:tc>
      </w:tr>
      <w:tr w:rsidR="00055DD8" w:rsidRPr="00055DD8" w14:paraId="45B430B4" w14:textId="77777777" w:rsidTr="00DE4BE5">
        <w:trPr>
          <w:trHeight w:val="549"/>
        </w:trPr>
        <w:tc>
          <w:tcPr>
            <w:tcW w:w="1507" w:type="dxa"/>
            <w:tcBorders>
              <w:bottom w:val="single" w:sz="4" w:space="0" w:color="auto"/>
            </w:tcBorders>
            <w:shd w:val="clear" w:color="auto" w:fill="auto"/>
          </w:tcPr>
          <w:p w14:paraId="5E7C200A" w14:textId="77777777" w:rsidR="00055DD8" w:rsidRPr="00055DD8" w:rsidRDefault="00055DD8" w:rsidP="00DE4BE5">
            <w:pPr>
              <w:spacing w:after="200" w:line="276" w:lineRule="auto"/>
              <w:jc w:val="both"/>
              <w:rPr>
                <w:rFonts w:ascii="Cambria" w:hAnsi="Cambria"/>
              </w:rPr>
            </w:pPr>
            <w:r w:rsidRPr="00055DD8">
              <w:rPr>
                <w:rFonts w:ascii="Cambria" w:hAnsi="Cambria"/>
              </w:rPr>
              <w:t>16.15-16.45</w:t>
            </w:r>
          </w:p>
        </w:tc>
        <w:tc>
          <w:tcPr>
            <w:tcW w:w="8303" w:type="dxa"/>
            <w:tcBorders>
              <w:bottom w:val="single" w:sz="4" w:space="0" w:color="auto"/>
            </w:tcBorders>
            <w:shd w:val="clear" w:color="auto" w:fill="auto"/>
          </w:tcPr>
          <w:p w14:paraId="5AE60755" w14:textId="77777777" w:rsidR="00055DD8" w:rsidRPr="00055DD8" w:rsidRDefault="00055DD8" w:rsidP="00DE4BE5">
            <w:pPr>
              <w:rPr>
                <w:rFonts w:ascii="Cambria" w:hAnsi="Cambria"/>
                <w:b/>
                <w:bCs/>
              </w:rPr>
            </w:pPr>
            <w:r w:rsidRPr="00055DD8">
              <w:rPr>
                <w:rFonts w:ascii="Cambria" w:hAnsi="Cambria"/>
                <w:b/>
                <w:bCs/>
              </w:rPr>
              <w:t xml:space="preserve">Presentation 5: International Country Case study – </w:t>
            </w:r>
            <w:r w:rsidRPr="00055DD8">
              <w:rPr>
                <w:rFonts w:ascii="Cambria" w:hAnsi="Cambria"/>
                <w:b/>
                <w:bCs/>
                <w:u w:val="single"/>
              </w:rPr>
              <w:t>Intergovernmental Fiscal Relations in Austria -</w:t>
            </w:r>
            <w:r w:rsidRPr="00055DD8">
              <w:rPr>
                <w:rFonts w:ascii="Cambria" w:hAnsi="Cambria"/>
                <w:b/>
                <w:bCs/>
              </w:rPr>
              <w:t xml:space="preserve"> </w:t>
            </w:r>
            <w:r w:rsidRPr="00055DD8">
              <w:rPr>
                <w:rFonts w:ascii="Cambria" w:hAnsi="Cambria"/>
                <w:lang w:val="en-GB"/>
              </w:rPr>
              <w:t>Gerlinde Zimmer, 2</w:t>
            </w:r>
            <w:r w:rsidRPr="00055DD8">
              <w:rPr>
                <w:rFonts w:ascii="Cambria" w:hAnsi="Cambria"/>
                <w:vertAlign w:val="superscript"/>
                <w:lang w:val="en-GB"/>
              </w:rPr>
              <w:t>nd</w:t>
            </w:r>
            <w:r w:rsidRPr="00055DD8">
              <w:rPr>
                <w:rFonts w:ascii="Cambria" w:hAnsi="Cambria"/>
                <w:lang w:val="en-GB"/>
              </w:rPr>
              <w:t xml:space="preserve"> Deputy Head, Intergovernmental Fiscal Relations Department, Philipp Päcklar, Advisor, Intergovernmental Fiscal Relations</w:t>
            </w:r>
            <w:r w:rsidRPr="00055DD8">
              <w:rPr>
                <w:rFonts w:ascii="Cambria" w:hAnsi="Cambria"/>
              </w:rPr>
              <w:t xml:space="preserve"> Department, Ministry of Finance of Austria</w:t>
            </w:r>
          </w:p>
        </w:tc>
      </w:tr>
      <w:tr w:rsidR="00055DD8" w:rsidRPr="00055DD8" w14:paraId="6B504CBF" w14:textId="77777777" w:rsidTr="00DE4BE5">
        <w:trPr>
          <w:trHeight w:val="562"/>
        </w:trPr>
        <w:tc>
          <w:tcPr>
            <w:tcW w:w="1507" w:type="dxa"/>
            <w:tcBorders>
              <w:bottom w:val="single" w:sz="4" w:space="0" w:color="auto"/>
            </w:tcBorders>
            <w:shd w:val="clear" w:color="auto" w:fill="auto"/>
          </w:tcPr>
          <w:p w14:paraId="2CBD47A7" w14:textId="77777777" w:rsidR="00055DD8" w:rsidRPr="00055DD8" w:rsidRDefault="00055DD8" w:rsidP="00DE4BE5">
            <w:pPr>
              <w:spacing w:after="200" w:line="276" w:lineRule="auto"/>
              <w:jc w:val="both"/>
              <w:rPr>
                <w:rFonts w:ascii="Cambria" w:hAnsi="Cambria"/>
              </w:rPr>
            </w:pPr>
            <w:r w:rsidRPr="00055DD8">
              <w:rPr>
                <w:rFonts w:ascii="Cambria" w:hAnsi="Cambria"/>
              </w:rPr>
              <w:lastRenderedPageBreak/>
              <w:t>16.45-17.45</w:t>
            </w:r>
          </w:p>
        </w:tc>
        <w:tc>
          <w:tcPr>
            <w:tcW w:w="8303" w:type="dxa"/>
            <w:tcBorders>
              <w:bottom w:val="single" w:sz="4" w:space="0" w:color="auto"/>
            </w:tcBorders>
            <w:shd w:val="clear" w:color="auto" w:fill="auto"/>
          </w:tcPr>
          <w:p w14:paraId="74729879" w14:textId="77777777" w:rsidR="00055DD8" w:rsidRPr="00055DD8" w:rsidRDefault="00055DD8" w:rsidP="00DE4BE5">
            <w:pPr>
              <w:rPr>
                <w:rFonts w:ascii="Cambria" w:hAnsi="Cambria"/>
              </w:rPr>
            </w:pPr>
            <w:r w:rsidRPr="00055DD8">
              <w:rPr>
                <w:rFonts w:ascii="Cambria" w:hAnsi="Cambria"/>
                <w:b/>
                <w:bCs/>
              </w:rPr>
              <w:t>Questions to the Panel of speakers</w:t>
            </w:r>
            <w:r w:rsidRPr="00055DD8">
              <w:rPr>
                <w:rFonts w:ascii="Cambria" w:hAnsi="Cambria"/>
              </w:rPr>
              <w:t xml:space="preserve"> </w:t>
            </w:r>
          </w:p>
        </w:tc>
      </w:tr>
      <w:tr w:rsidR="00055DD8" w:rsidRPr="00055DD8" w14:paraId="22A0D1FB" w14:textId="77777777" w:rsidTr="00DE4BE5">
        <w:trPr>
          <w:trHeight w:val="332"/>
        </w:trPr>
        <w:tc>
          <w:tcPr>
            <w:tcW w:w="1507" w:type="dxa"/>
            <w:shd w:val="clear" w:color="auto" w:fill="D0CECE"/>
          </w:tcPr>
          <w:p w14:paraId="029D1FB8" w14:textId="77777777" w:rsidR="00055DD8" w:rsidRPr="00055DD8" w:rsidRDefault="00055DD8" w:rsidP="00DE4BE5">
            <w:pPr>
              <w:rPr>
                <w:rFonts w:ascii="Cambria" w:hAnsi="Cambria"/>
              </w:rPr>
            </w:pPr>
            <w:r w:rsidRPr="00055DD8">
              <w:rPr>
                <w:rFonts w:ascii="Cambria" w:hAnsi="Cambria"/>
              </w:rPr>
              <w:t>19.30-</w:t>
            </w:r>
          </w:p>
        </w:tc>
        <w:tc>
          <w:tcPr>
            <w:tcW w:w="8303" w:type="dxa"/>
            <w:shd w:val="clear" w:color="auto" w:fill="D0CECE"/>
          </w:tcPr>
          <w:p w14:paraId="60D691B6" w14:textId="77777777" w:rsidR="00055DD8" w:rsidRPr="00055DD8" w:rsidRDefault="00055DD8" w:rsidP="00DE4BE5">
            <w:pPr>
              <w:jc w:val="both"/>
              <w:rPr>
                <w:rFonts w:ascii="Cambria" w:hAnsi="Cambria"/>
              </w:rPr>
            </w:pPr>
            <w:r w:rsidRPr="00055DD8">
              <w:rPr>
                <w:rFonts w:ascii="Cambria" w:hAnsi="Cambria"/>
              </w:rPr>
              <w:t xml:space="preserve">Welcome Dinner in hotel </w:t>
            </w:r>
          </w:p>
        </w:tc>
      </w:tr>
    </w:tbl>
    <w:p w14:paraId="0EA45304" w14:textId="77777777" w:rsidR="00055DD8" w:rsidRPr="00055DD8" w:rsidRDefault="00055DD8" w:rsidP="00055DD8">
      <w:pPr>
        <w:rPr>
          <w:rFonts w:ascii="Cambria" w:hAnsi="Cambria"/>
          <w:b/>
          <w:u w:val="single"/>
        </w:rPr>
      </w:pPr>
    </w:p>
    <w:p w14:paraId="28C99E68" w14:textId="6662101E" w:rsidR="00055DD8" w:rsidRPr="00055DD8" w:rsidRDefault="00055DD8" w:rsidP="00055DD8">
      <w:pPr>
        <w:rPr>
          <w:rFonts w:ascii="Cambria" w:hAnsi="Cambria"/>
          <w:b/>
          <w:bCs/>
        </w:rPr>
      </w:pPr>
      <w:r w:rsidRPr="00055DD8">
        <w:rPr>
          <w:rFonts w:ascii="Cambria" w:hAnsi="Cambria"/>
          <w:b/>
          <w:bCs/>
          <w:u w:val="single"/>
        </w:rPr>
        <w:t xml:space="preserve">Day Two – Thursday, March 15 – Use of Performance Indicators in Budgeting </w:t>
      </w:r>
      <w:r w:rsidRPr="00055DD8">
        <w:rPr>
          <w:rFonts w:ascii="Cambria" w:hAnsi="Cambria"/>
          <w:b/>
          <w:bCs/>
        </w:rPr>
        <w:t>- Hosted by the BCOP Program and Performance Budgeting Working Group</w:t>
      </w:r>
    </w:p>
    <w:p w14:paraId="6BE968D5" w14:textId="77777777" w:rsidR="00055DD8" w:rsidRPr="00055DD8" w:rsidRDefault="00055DD8" w:rsidP="00055DD8">
      <w:pPr>
        <w:jc w:val="both"/>
        <w:rPr>
          <w:rFonts w:ascii="Cambria" w:hAnsi="Cambria"/>
        </w:rPr>
      </w:pPr>
      <w:r w:rsidRPr="00055DD8">
        <w:rPr>
          <w:rFonts w:ascii="Cambria" w:hAnsi="Cambria"/>
        </w:rPr>
        <w:t>Moderators:  Nicolay Begchin (BCOP Executive Committee, Ministry of Finance, Russian Federation), Naida Čaršimamović Vukotić (Public Finance Management Consultant, BCOP Resource Team, World Bank).</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055DD8" w:rsidRPr="00055DD8" w14:paraId="2BD241DA" w14:textId="77777777" w:rsidTr="00DE4BE5">
        <w:tc>
          <w:tcPr>
            <w:tcW w:w="1530" w:type="dxa"/>
            <w:shd w:val="clear" w:color="auto" w:fill="D0CECE"/>
          </w:tcPr>
          <w:p w14:paraId="46DD49D8" w14:textId="77777777" w:rsidR="00055DD8" w:rsidRPr="00055DD8" w:rsidRDefault="00055DD8" w:rsidP="00DE4BE5">
            <w:pPr>
              <w:spacing w:after="200" w:line="276" w:lineRule="auto"/>
              <w:jc w:val="center"/>
              <w:rPr>
                <w:rFonts w:ascii="Cambria" w:hAnsi="Cambria"/>
              </w:rPr>
            </w:pPr>
            <w:r w:rsidRPr="00055DD8">
              <w:rPr>
                <w:rFonts w:ascii="Cambria" w:hAnsi="Cambria"/>
              </w:rPr>
              <w:t>Time</w:t>
            </w:r>
          </w:p>
        </w:tc>
        <w:tc>
          <w:tcPr>
            <w:tcW w:w="8280" w:type="dxa"/>
            <w:shd w:val="clear" w:color="auto" w:fill="D0CECE"/>
          </w:tcPr>
          <w:p w14:paraId="3266C64D" w14:textId="77777777" w:rsidR="00055DD8" w:rsidRPr="00055DD8" w:rsidRDefault="00055DD8" w:rsidP="00DE4BE5">
            <w:pPr>
              <w:spacing w:after="200" w:line="276" w:lineRule="auto"/>
              <w:jc w:val="center"/>
              <w:rPr>
                <w:rFonts w:ascii="Cambria" w:hAnsi="Cambria"/>
              </w:rPr>
            </w:pPr>
            <w:r w:rsidRPr="00055DD8">
              <w:rPr>
                <w:rFonts w:ascii="Cambria" w:hAnsi="Cambria"/>
              </w:rPr>
              <w:t>Activity</w:t>
            </w:r>
          </w:p>
        </w:tc>
      </w:tr>
      <w:tr w:rsidR="00055DD8" w:rsidRPr="00055DD8" w14:paraId="1170C7A6" w14:textId="77777777" w:rsidTr="00DE4BE5">
        <w:trPr>
          <w:trHeight w:val="467"/>
        </w:trPr>
        <w:tc>
          <w:tcPr>
            <w:tcW w:w="1530" w:type="dxa"/>
            <w:tcBorders>
              <w:bottom w:val="single" w:sz="4" w:space="0" w:color="auto"/>
            </w:tcBorders>
            <w:shd w:val="clear" w:color="auto" w:fill="auto"/>
          </w:tcPr>
          <w:p w14:paraId="3C3525C8" w14:textId="77777777" w:rsidR="00055DD8" w:rsidRPr="00055DD8" w:rsidRDefault="00055DD8" w:rsidP="00DE4BE5">
            <w:pPr>
              <w:jc w:val="both"/>
              <w:rPr>
                <w:rFonts w:ascii="Cambria" w:hAnsi="Cambria"/>
              </w:rPr>
            </w:pPr>
            <w:r w:rsidRPr="00055DD8">
              <w:rPr>
                <w:rFonts w:ascii="Cambria" w:hAnsi="Cambria"/>
              </w:rPr>
              <w:t>8.30-9.00</w:t>
            </w:r>
          </w:p>
          <w:p w14:paraId="5DF73E79" w14:textId="77777777" w:rsidR="00055DD8" w:rsidRPr="00055DD8" w:rsidRDefault="00055DD8" w:rsidP="00DE4BE5">
            <w:pPr>
              <w:jc w:val="both"/>
              <w:rPr>
                <w:rFonts w:ascii="Cambria" w:hAnsi="Cambria"/>
              </w:rPr>
            </w:pPr>
          </w:p>
        </w:tc>
        <w:tc>
          <w:tcPr>
            <w:tcW w:w="8280" w:type="dxa"/>
            <w:tcBorders>
              <w:bottom w:val="single" w:sz="4" w:space="0" w:color="auto"/>
            </w:tcBorders>
            <w:shd w:val="clear" w:color="auto" w:fill="auto"/>
          </w:tcPr>
          <w:p w14:paraId="71249979" w14:textId="77777777" w:rsidR="00055DD8" w:rsidRPr="00055DD8" w:rsidRDefault="00055DD8" w:rsidP="00DE4BE5">
            <w:pPr>
              <w:jc w:val="both"/>
              <w:rPr>
                <w:rFonts w:ascii="Cambria" w:hAnsi="Cambria"/>
                <w:b/>
                <w:bCs/>
              </w:rPr>
            </w:pPr>
            <w:r w:rsidRPr="00055DD8">
              <w:rPr>
                <w:rFonts w:ascii="Cambria" w:hAnsi="Cambria"/>
                <w:b/>
                <w:bCs/>
              </w:rPr>
              <w:t xml:space="preserve">Introduction to Day’s Agenda </w:t>
            </w:r>
          </w:p>
          <w:p w14:paraId="242097EB" w14:textId="77777777" w:rsidR="00055DD8" w:rsidRPr="00055DD8" w:rsidRDefault="00055DD8" w:rsidP="00DE4BE5">
            <w:pPr>
              <w:jc w:val="both"/>
              <w:rPr>
                <w:rFonts w:ascii="Cambria" w:hAnsi="Cambria"/>
                <w:sz w:val="28"/>
                <w:szCs w:val="28"/>
              </w:rPr>
            </w:pPr>
            <w:r w:rsidRPr="00055DD8">
              <w:rPr>
                <w:rFonts w:ascii="Cambria" w:hAnsi="Cambria"/>
                <w:b/>
                <w:bCs/>
              </w:rPr>
              <w:t xml:space="preserve">Presentation 6: PPBWG - </w:t>
            </w:r>
            <w:r w:rsidRPr="00055DD8">
              <w:rPr>
                <w:rFonts w:ascii="Cambria" w:hAnsi="Cambria"/>
                <w:b/>
                <w:bCs/>
                <w:u w:val="single"/>
              </w:rPr>
              <w:t xml:space="preserve">Update on Progress of the Program and Performance Budgeting Working Group and Future Plans, </w:t>
            </w:r>
            <w:r w:rsidRPr="00055DD8">
              <w:rPr>
                <w:rFonts w:ascii="Cambria" w:hAnsi="Cambria"/>
              </w:rPr>
              <w:t>Nicolay Begchin, BCOP Executive Committee, Deputy Director, Department of Budget Methodology and Financial Reporting. Ministry of Finance, Russian Federation</w:t>
            </w:r>
          </w:p>
        </w:tc>
      </w:tr>
      <w:tr w:rsidR="00055DD8" w:rsidRPr="00055DD8" w14:paraId="54F525B4" w14:textId="77777777" w:rsidTr="00DE4BE5">
        <w:trPr>
          <w:trHeight w:val="476"/>
        </w:trPr>
        <w:tc>
          <w:tcPr>
            <w:tcW w:w="1530" w:type="dxa"/>
            <w:tcBorders>
              <w:bottom w:val="single" w:sz="4" w:space="0" w:color="auto"/>
            </w:tcBorders>
            <w:shd w:val="clear" w:color="auto" w:fill="auto"/>
          </w:tcPr>
          <w:p w14:paraId="2EA7E467" w14:textId="77777777" w:rsidR="00055DD8" w:rsidRPr="00055DD8" w:rsidRDefault="00055DD8" w:rsidP="00DE4BE5">
            <w:pPr>
              <w:spacing w:after="200" w:line="276" w:lineRule="auto"/>
              <w:jc w:val="both"/>
              <w:rPr>
                <w:rFonts w:ascii="Cambria" w:hAnsi="Cambria"/>
              </w:rPr>
            </w:pPr>
            <w:r w:rsidRPr="00055DD8">
              <w:rPr>
                <w:rFonts w:ascii="Cambria" w:hAnsi="Cambria"/>
              </w:rPr>
              <w:t>9.00-9.30</w:t>
            </w:r>
          </w:p>
        </w:tc>
        <w:tc>
          <w:tcPr>
            <w:tcW w:w="8280" w:type="dxa"/>
            <w:tcBorders>
              <w:bottom w:val="single" w:sz="4" w:space="0" w:color="auto"/>
            </w:tcBorders>
            <w:shd w:val="clear" w:color="auto" w:fill="auto"/>
          </w:tcPr>
          <w:p w14:paraId="79F206A0" w14:textId="77777777" w:rsidR="00055DD8" w:rsidRPr="00055DD8" w:rsidRDefault="00055DD8" w:rsidP="00DE4BE5">
            <w:pPr>
              <w:pStyle w:val="ListParagraph"/>
              <w:spacing w:after="0" w:line="240" w:lineRule="auto"/>
              <w:ind w:left="0"/>
              <w:jc w:val="both"/>
              <w:rPr>
                <w:rFonts w:ascii="Cambria" w:eastAsia="Times New Roman" w:hAnsi="Cambria"/>
                <w:b/>
                <w:bCs/>
                <w:lang w:eastAsia="sl-SI"/>
              </w:rPr>
            </w:pPr>
            <w:r w:rsidRPr="00055DD8">
              <w:rPr>
                <w:rFonts w:ascii="Cambria" w:eastAsia="Times New Roman" w:hAnsi="Cambria"/>
                <w:b/>
                <w:bCs/>
                <w:lang w:eastAsia="sl-SI"/>
              </w:rPr>
              <w:t xml:space="preserve">Presentation 7: </w:t>
            </w:r>
            <w:r w:rsidRPr="00055DD8">
              <w:rPr>
                <w:rFonts w:ascii="Cambria" w:hAnsi="Cambria"/>
                <w:b/>
                <w:bCs/>
              </w:rPr>
              <w:t xml:space="preserve">PPBWG - </w:t>
            </w:r>
            <w:r w:rsidRPr="00055DD8">
              <w:rPr>
                <w:rFonts w:ascii="Cambria" w:eastAsia="Times New Roman" w:hAnsi="Cambria"/>
                <w:b/>
                <w:bCs/>
                <w:u w:val="single"/>
                <w:lang w:eastAsia="sl-SI"/>
              </w:rPr>
              <w:t xml:space="preserve">Presentation on </w:t>
            </w:r>
            <w:r w:rsidRPr="00055DD8">
              <w:rPr>
                <w:rFonts w:ascii="Cambria" w:hAnsi="Cambria"/>
                <w:b/>
                <w:bCs/>
                <w:u w:val="single"/>
              </w:rPr>
              <w:t>Program and Performance Budgeting Working Group’s Draft Knowledge Product on Performance Indicators in PEMPAL Countries: Trends and Challenges</w:t>
            </w:r>
            <w:r w:rsidRPr="00055DD8">
              <w:rPr>
                <w:rFonts w:ascii="Cambria" w:hAnsi="Cambria"/>
              </w:rPr>
              <w:t xml:space="preserve"> –</w:t>
            </w:r>
            <w:r w:rsidRPr="00055DD8">
              <w:rPr>
                <w:rFonts w:ascii="Cambria" w:eastAsia="Times New Roman" w:hAnsi="Cambria"/>
                <w:b/>
                <w:bCs/>
                <w:lang w:eastAsia="sl-SI"/>
              </w:rPr>
              <w:t xml:space="preserve"> </w:t>
            </w:r>
            <w:r w:rsidRPr="00055DD8">
              <w:rPr>
                <w:rFonts w:ascii="Cambria" w:hAnsi="Cambria"/>
              </w:rPr>
              <w:t>Naida Čaršimamović Vukotić, Public Finance Management Consultant, BCOP Resource Team, World Bank</w:t>
            </w:r>
          </w:p>
        </w:tc>
      </w:tr>
      <w:tr w:rsidR="00055DD8" w:rsidRPr="00055DD8" w14:paraId="4045AE25" w14:textId="77777777" w:rsidTr="00DE4BE5">
        <w:trPr>
          <w:trHeight w:val="476"/>
        </w:trPr>
        <w:tc>
          <w:tcPr>
            <w:tcW w:w="1530" w:type="dxa"/>
            <w:tcBorders>
              <w:bottom w:val="single" w:sz="4" w:space="0" w:color="auto"/>
            </w:tcBorders>
            <w:shd w:val="clear" w:color="auto" w:fill="auto"/>
          </w:tcPr>
          <w:p w14:paraId="5BB454B6" w14:textId="77777777" w:rsidR="00055DD8" w:rsidRPr="00055DD8" w:rsidRDefault="00055DD8" w:rsidP="00DE4BE5">
            <w:pPr>
              <w:spacing w:after="200" w:line="276" w:lineRule="auto"/>
              <w:jc w:val="both"/>
              <w:rPr>
                <w:rFonts w:ascii="Cambria" w:hAnsi="Cambria"/>
              </w:rPr>
            </w:pPr>
            <w:r w:rsidRPr="00055DD8">
              <w:rPr>
                <w:rFonts w:ascii="Cambria" w:hAnsi="Cambria"/>
              </w:rPr>
              <w:t>9.30-10.00</w:t>
            </w:r>
          </w:p>
        </w:tc>
        <w:tc>
          <w:tcPr>
            <w:tcW w:w="8280" w:type="dxa"/>
            <w:tcBorders>
              <w:bottom w:val="single" w:sz="4" w:space="0" w:color="auto"/>
            </w:tcBorders>
            <w:shd w:val="clear" w:color="auto" w:fill="auto"/>
          </w:tcPr>
          <w:p w14:paraId="3022C0A8" w14:textId="77777777" w:rsidR="00055DD8" w:rsidRPr="00055DD8" w:rsidRDefault="00055DD8" w:rsidP="00DE4BE5">
            <w:pPr>
              <w:pStyle w:val="ListParagraph"/>
              <w:spacing w:after="0" w:line="240" w:lineRule="auto"/>
              <w:ind w:left="0"/>
              <w:jc w:val="both"/>
              <w:rPr>
                <w:rFonts w:ascii="Cambria" w:eastAsia="Times New Roman" w:hAnsi="Cambria"/>
                <w:b/>
                <w:bCs/>
                <w:lang w:eastAsia="sl-SI"/>
              </w:rPr>
            </w:pPr>
            <w:r w:rsidRPr="00055DD8">
              <w:rPr>
                <w:rFonts w:ascii="Cambria" w:eastAsia="Times New Roman" w:hAnsi="Cambria"/>
                <w:b/>
                <w:bCs/>
                <w:lang w:eastAsia="sl-SI"/>
              </w:rPr>
              <w:t xml:space="preserve">Presentation 8: </w:t>
            </w:r>
            <w:r w:rsidRPr="00055DD8">
              <w:rPr>
                <w:rFonts w:ascii="Cambria" w:hAnsi="Cambria"/>
                <w:b/>
                <w:bCs/>
              </w:rPr>
              <w:t xml:space="preserve">OECD - </w:t>
            </w:r>
            <w:r w:rsidRPr="00055DD8">
              <w:rPr>
                <w:rFonts w:ascii="Cambria" w:eastAsia="Times New Roman" w:hAnsi="Cambria"/>
                <w:b/>
                <w:bCs/>
                <w:u w:val="single"/>
                <w:lang w:eastAsia="sl-SI"/>
              </w:rPr>
              <w:t xml:space="preserve">OECD Best Practices for Performance Budgeting, </w:t>
            </w:r>
            <w:r w:rsidRPr="00055DD8">
              <w:rPr>
                <w:rFonts w:ascii="Cambria" w:eastAsia="Times New Roman" w:hAnsi="Cambria"/>
                <w:u w:val="single"/>
                <w:lang w:eastAsia="sl-SI"/>
              </w:rPr>
              <w:t xml:space="preserve">Ivor Beazley, </w:t>
            </w:r>
            <w:r w:rsidRPr="00055DD8">
              <w:rPr>
                <w:rFonts w:ascii="Cambria" w:eastAsia="Times New Roman" w:hAnsi="Cambria"/>
                <w:lang w:eastAsia="sl-SI"/>
              </w:rPr>
              <w:t>Senior Policy Analyst, Public Governance and Territorial Development Directorate, Budgeting and Public Expenditures Division, OECD</w:t>
            </w:r>
          </w:p>
        </w:tc>
      </w:tr>
      <w:tr w:rsidR="00055DD8" w:rsidRPr="00055DD8" w14:paraId="3855F30B" w14:textId="77777777" w:rsidTr="00DE4BE5">
        <w:trPr>
          <w:trHeight w:val="476"/>
        </w:trPr>
        <w:tc>
          <w:tcPr>
            <w:tcW w:w="1530" w:type="dxa"/>
            <w:tcBorders>
              <w:bottom w:val="single" w:sz="4" w:space="0" w:color="auto"/>
            </w:tcBorders>
            <w:shd w:val="clear" w:color="auto" w:fill="auto"/>
          </w:tcPr>
          <w:p w14:paraId="4C36955C" w14:textId="77777777" w:rsidR="00055DD8" w:rsidRPr="00055DD8" w:rsidRDefault="00055DD8" w:rsidP="00DE4BE5">
            <w:pPr>
              <w:spacing w:after="200" w:line="276" w:lineRule="auto"/>
              <w:jc w:val="both"/>
              <w:rPr>
                <w:rFonts w:ascii="Cambria" w:hAnsi="Cambria"/>
              </w:rPr>
            </w:pPr>
            <w:r w:rsidRPr="00055DD8">
              <w:rPr>
                <w:rFonts w:ascii="Cambria" w:hAnsi="Cambria"/>
              </w:rPr>
              <w:t>10.00-10.30</w:t>
            </w:r>
          </w:p>
        </w:tc>
        <w:tc>
          <w:tcPr>
            <w:tcW w:w="8280" w:type="dxa"/>
            <w:tcBorders>
              <w:bottom w:val="single" w:sz="4" w:space="0" w:color="auto"/>
            </w:tcBorders>
            <w:shd w:val="clear" w:color="auto" w:fill="auto"/>
          </w:tcPr>
          <w:p w14:paraId="650CD50B" w14:textId="77777777" w:rsidR="00055DD8" w:rsidRPr="00055DD8" w:rsidRDefault="00055DD8" w:rsidP="00DE4BE5">
            <w:pPr>
              <w:pStyle w:val="ListParagraph"/>
              <w:spacing w:after="0" w:line="240" w:lineRule="auto"/>
              <w:ind w:left="0"/>
              <w:jc w:val="both"/>
              <w:rPr>
                <w:rFonts w:ascii="Cambria" w:eastAsia="Times New Roman" w:hAnsi="Cambria"/>
                <w:b/>
                <w:bCs/>
                <w:lang w:eastAsia="sl-SI"/>
              </w:rPr>
            </w:pPr>
            <w:r w:rsidRPr="00055DD8">
              <w:rPr>
                <w:rFonts w:ascii="Cambria" w:eastAsia="Times New Roman" w:hAnsi="Cambria"/>
                <w:b/>
                <w:bCs/>
                <w:lang w:eastAsia="sl-SI"/>
              </w:rPr>
              <w:t>Questions to the panel of speakers</w:t>
            </w:r>
          </w:p>
        </w:tc>
      </w:tr>
      <w:tr w:rsidR="00055DD8" w:rsidRPr="00055DD8" w14:paraId="0153F10E" w14:textId="77777777" w:rsidTr="00DE4BE5">
        <w:trPr>
          <w:trHeight w:val="503"/>
        </w:trPr>
        <w:tc>
          <w:tcPr>
            <w:tcW w:w="1530" w:type="dxa"/>
            <w:tcBorders>
              <w:bottom w:val="single" w:sz="4" w:space="0" w:color="auto"/>
            </w:tcBorders>
            <w:shd w:val="clear" w:color="auto" w:fill="auto"/>
          </w:tcPr>
          <w:p w14:paraId="5459C3FD"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10.30-11.00</w:t>
            </w:r>
          </w:p>
        </w:tc>
        <w:tc>
          <w:tcPr>
            <w:tcW w:w="8280" w:type="dxa"/>
            <w:tcBorders>
              <w:bottom w:val="single" w:sz="4" w:space="0" w:color="auto"/>
            </w:tcBorders>
            <w:shd w:val="clear" w:color="auto" w:fill="auto"/>
          </w:tcPr>
          <w:p w14:paraId="12C09655"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 xml:space="preserve"> Coffee Break</w:t>
            </w:r>
          </w:p>
        </w:tc>
      </w:tr>
      <w:tr w:rsidR="00055DD8" w:rsidRPr="00055DD8" w14:paraId="66322C15" w14:textId="77777777" w:rsidTr="00DE4BE5">
        <w:trPr>
          <w:trHeight w:val="512"/>
        </w:trPr>
        <w:tc>
          <w:tcPr>
            <w:tcW w:w="1530" w:type="dxa"/>
            <w:tcBorders>
              <w:bottom w:val="single" w:sz="4" w:space="0" w:color="auto"/>
            </w:tcBorders>
            <w:shd w:val="clear" w:color="auto" w:fill="auto"/>
          </w:tcPr>
          <w:p w14:paraId="0C536614"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11.00-12.30</w:t>
            </w:r>
          </w:p>
        </w:tc>
        <w:tc>
          <w:tcPr>
            <w:tcW w:w="8280" w:type="dxa"/>
            <w:tcBorders>
              <w:bottom w:val="single" w:sz="4" w:space="0" w:color="auto"/>
            </w:tcBorders>
            <w:shd w:val="clear" w:color="auto" w:fill="auto"/>
          </w:tcPr>
          <w:p w14:paraId="767FC563" w14:textId="77777777" w:rsidR="00055DD8" w:rsidRPr="00055DD8" w:rsidRDefault="00055DD8" w:rsidP="00DE4BE5">
            <w:pPr>
              <w:pStyle w:val="ListParagraph"/>
              <w:spacing w:after="0" w:line="240" w:lineRule="auto"/>
              <w:ind w:left="0"/>
              <w:jc w:val="both"/>
              <w:rPr>
                <w:rFonts w:ascii="Cambria" w:hAnsi="Cambria"/>
                <w:b/>
                <w:bCs/>
                <w:u w:val="single"/>
              </w:rPr>
            </w:pPr>
            <w:r w:rsidRPr="00055DD8">
              <w:rPr>
                <w:rFonts w:ascii="Cambria" w:hAnsi="Cambria"/>
                <w:b/>
                <w:bCs/>
              </w:rPr>
              <w:t xml:space="preserve">Presentations 9 and 10: PEMPAL Country Case Studies: </w:t>
            </w:r>
          </w:p>
          <w:p w14:paraId="1EC44E2E" w14:textId="77777777" w:rsidR="00055DD8" w:rsidRPr="00055DD8" w:rsidRDefault="00055DD8" w:rsidP="00DE4BE5">
            <w:pPr>
              <w:pStyle w:val="ListParagraph"/>
              <w:spacing w:after="0" w:line="240" w:lineRule="auto"/>
              <w:ind w:left="0"/>
              <w:jc w:val="both"/>
              <w:rPr>
                <w:rFonts w:ascii="Cambria" w:hAnsi="Cambria"/>
                <w:b/>
              </w:rPr>
            </w:pPr>
          </w:p>
          <w:p w14:paraId="6BF80975"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b/>
                <w:bCs/>
                <w:u w:val="single"/>
              </w:rPr>
              <w:t xml:space="preserve">Performance indicators in Russia </w:t>
            </w:r>
            <w:r w:rsidRPr="00055DD8">
              <w:rPr>
                <w:rFonts w:ascii="Cambria" w:hAnsi="Cambria"/>
                <w:b/>
                <w:bCs/>
              </w:rPr>
              <w:t xml:space="preserve">- </w:t>
            </w:r>
            <w:r w:rsidRPr="00055DD8">
              <w:rPr>
                <w:rFonts w:ascii="Cambria" w:hAnsi="Cambria"/>
              </w:rPr>
              <w:t>Nicolay Begchin, Deputy Director, Department of Budget Methodology and Financial Reporting. Ministry of Finance, Russian Federation</w:t>
            </w:r>
          </w:p>
          <w:p w14:paraId="258FCA09" w14:textId="77777777" w:rsidR="00055DD8" w:rsidRPr="00055DD8" w:rsidRDefault="00055DD8" w:rsidP="00DE4BE5">
            <w:pPr>
              <w:pStyle w:val="ListParagraph"/>
              <w:spacing w:after="0" w:line="240" w:lineRule="auto"/>
              <w:ind w:left="0"/>
              <w:jc w:val="both"/>
              <w:rPr>
                <w:rFonts w:ascii="Cambria" w:hAnsi="Cambria"/>
              </w:rPr>
            </w:pPr>
          </w:p>
          <w:p w14:paraId="184690EA"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b/>
                <w:bCs/>
                <w:u w:val="single"/>
              </w:rPr>
              <w:t xml:space="preserve">Performance indicators in Serbia </w:t>
            </w:r>
            <w:r w:rsidRPr="00055DD8">
              <w:rPr>
                <w:rFonts w:ascii="Cambria" w:hAnsi="Cambria"/>
                <w:b/>
                <w:bCs/>
              </w:rPr>
              <w:t xml:space="preserve">– </w:t>
            </w:r>
            <w:r w:rsidRPr="00055DD8">
              <w:rPr>
                <w:rFonts w:ascii="Cambria" w:hAnsi="Cambria"/>
              </w:rPr>
              <w:t>Mirjana Cojbasic, State Secretary, Budget Department, Ministry of Finance of Serbia</w:t>
            </w:r>
          </w:p>
        </w:tc>
      </w:tr>
      <w:tr w:rsidR="00055DD8" w:rsidRPr="00055DD8" w14:paraId="364331E5" w14:textId="77777777" w:rsidTr="00DE4BE5">
        <w:trPr>
          <w:trHeight w:val="341"/>
        </w:trPr>
        <w:tc>
          <w:tcPr>
            <w:tcW w:w="1530" w:type="dxa"/>
            <w:shd w:val="clear" w:color="auto" w:fill="auto"/>
          </w:tcPr>
          <w:p w14:paraId="2DD221FC" w14:textId="77777777" w:rsidR="00055DD8" w:rsidRPr="00055DD8" w:rsidRDefault="00055DD8" w:rsidP="00DE4BE5">
            <w:pPr>
              <w:jc w:val="both"/>
              <w:rPr>
                <w:rFonts w:ascii="Cambria" w:hAnsi="Cambria"/>
              </w:rPr>
            </w:pPr>
            <w:r w:rsidRPr="00055DD8">
              <w:rPr>
                <w:rFonts w:ascii="Cambria" w:hAnsi="Cambria"/>
              </w:rPr>
              <w:t>12.30-13.00</w:t>
            </w:r>
          </w:p>
        </w:tc>
        <w:tc>
          <w:tcPr>
            <w:tcW w:w="8280" w:type="dxa"/>
            <w:shd w:val="clear" w:color="auto" w:fill="auto"/>
          </w:tcPr>
          <w:p w14:paraId="716E79CA" w14:textId="77777777" w:rsidR="00055DD8" w:rsidRPr="00055DD8" w:rsidRDefault="00055DD8" w:rsidP="00DE4BE5">
            <w:pPr>
              <w:jc w:val="both"/>
              <w:rPr>
                <w:rFonts w:ascii="Cambria" w:hAnsi="Cambria"/>
              </w:rPr>
            </w:pPr>
            <w:r w:rsidRPr="00055DD8">
              <w:rPr>
                <w:rFonts w:ascii="Cambria" w:hAnsi="Cambria"/>
                <w:b/>
                <w:bCs/>
              </w:rPr>
              <w:t>Questions to the panel of speakers</w:t>
            </w:r>
          </w:p>
        </w:tc>
      </w:tr>
      <w:tr w:rsidR="00055DD8" w:rsidRPr="00055DD8" w14:paraId="2C96A2E7" w14:textId="77777777" w:rsidTr="00DE4BE5">
        <w:tc>
          <w:tcPr>
            <w:tcW w:w="1530" w:type="dxa"/>
            <w:tcBorders>
              <w:bottom w:val="single" w:sz="4" w:space="0" w:color="auto"/>
            </w:tcBorders>
            <w:shd w:val="clear" w:color="auto" w:fill="D0CECE"/>
          </w:tcPr>
          <w:p w14:paraId="4ADDED3E" w14:textId="77777777" w:rsidR="00055DD8" w:rsidRPr="00055DD8" w:rsidRDefault="00055DD8" w:rsidP="00DE4BE5">
            <w:pPr>
              <w:spacing w:after="200" w:line="276" w:lineRule="auto"/>
              <w:jc w:val="both"/>
              <w:rPr>
                <w:rFonts w:ascii="Cambria" w:hAnsi="Cambria"/>
              </w:rPr>
            </w:pPr>
            <w:r w:rsidRPr="00055DD8">
              <w:rPr>
                <w:rFonts w:ascii="Cambria" w:hAnsi="Cambria"/>
              </w:rPr>
              <w:t>13.00-14.30</w:t>
            </w:r>
          </w:p>
        </w:tc>
        <w:tc>
          <w:tcPr>
            <w:tcW w:w="8280" w:type="dxa"/>
            <w:tcBorders>
              <w:bottom w:val="single" w:sz="4" w:space="0" w:color="auto"/>
            </w:tcBorders>
            <w:shd w:val="clear" w:color="auto" w:fill="D0CECE"/>
          </w:tcPr>
          <w:p w14:paraId="3EE32F34" w14:textId="77777777" w:rsidR="00055DD8" w:rsidRPr="00055DD8" w:rsidRDefault="00055DD8" w:rsidP="00DE4BE5">
            <w:pPr>
              <w:spacing w:after="200" w:line="276" w:lineRule="auto"/>
              <w:jc w:val="both"/>
              <w:rPr>
                <w:rFonts w:ascii="Cambria" w:hAnsi="Cambria"/>
              </w:rPr>
            </w:pPr>
            <w:r w:rsidRPr="00055DD8">
              <w:rPr>
                <w:rFonts w:ascii="Cambria" w:hAnsi="Cambria"/>
              </w:rPr>
              <w:t>Lunch at Hotel</w:t>
            </w:r>
          </w:p>
        </w:tc>
      </w:tr>
      <w:tr w:rsidR="00055DD8" w:rsidRPr="00055DD8" w14:paraId="10DEB923" w14:textId="77777777" w:rsidTr="00DE4BE5">
        <w:trPr>
          <w:trHeight w:val="2058"/>
        </w:trPr>
        <w:tc>
          <w:tcPr>
            <w:tcW w:w="1530" w:type="dxa"/>
            <w:shd w:val="clear" w:color="auto" w:fill="auto"/>
          </w:tcPr>
          <w:p w14:paraId="29F4368F" w14:textId="77777777" w:rsidR="00055DD8" w:rsidRPr="00055DD8" w:rsidRDefault="00055DD8" w:rsidP="00DE4BE5">
            <w:pPr>
              <w:jc w:val="both"/>
              <w:rPr>
                <w:rFonts w:ascii="Cambria" w:hAnsi="Cambria"/>
              </w:rPr>
            </w:pPr>
            <w:r w:rsidRPr="00055DD8">
              <w:rPr>
                <w:rFonts w:ascii="Cambria" w:hAnsi="Cambria"/>
              </w:rPr>
              <w:lastRenderedPageBreak/>
              <w:t>14.30-16.30</w:t>
            </w:r>
          </w:p>
        </w:tc>
        <w:tc>
          <w:tcPr>
            <w:tcW w:w="8280" w:type="dxa"/>
            <w:shd w:val="clear" w:color="auto" w:fill="auto"/>
          </w:tcPr>
          <w:p w14:paraId="18DDE019" w14:textId="77777777" w:rsidR="00055DD8" w:rsidRPr="00055DD8" w:rsidRDefault="00055DD8" w:rsidP="00DE4BE5">
            <w:pPr>
              <w:jc w:val="both"/>
              <w:rPr>
                <w:rFonts w:ascii="Cambria" w:hAnsi="Cambria"/>
              </w:rPr>
            </w:pPr>
            <w:r w:rsidRPr="00055DD8">
              <w:rPr>
                <w:rFonts w:ascii="Cambria" w:hAnsi="Cambria"/>
                <w:b/>
                <w:bCs/>
              </w:rPr>
              <w:t xml:space="preserve">Reform Issues and Challenges discussion </w:t>
            </w:r>
            <w:r w:rsidRPr="00055DD8">
              <w:rPr>
                <w:rFonts w:ascii="Cambria" w:hAnsi="Cambria"/>
              </w:rPr>
              <w:t xml:space="preserve">(parallel discussions on topics as proposed by the participants, in language-based groups where possible) </w:t>
            </w:r>
          </w:p>
          <w:p w14:paraId="12EAD1E3" w14:textId="77777777" w:rsidR="00055DD8" w:rsidRPr="00055DD8" w:rsidRDefault="00055DD8" w:rsidP="00055DD8">
            <w:pPr>
              <w:pStyle w:val="ListParagraph"/>
              <w:numPr>
                <w:ilvl w:val="0"/>
                <w:numId w:val="3"/>
              </w:numPr>
              <w:spacing w:after="0" w:line="240" w:lineRule="auto"/>
              <w:jc w:val="both"/>
              <w:rPr>
                <w:rFonts w:ascii="Cambria" w:hAnsi="Cambria"/>
              </w:rPr>
            </w:pPr>
            <w:r w:rsidRPr="00055DD8">
              <w:rPr>
                <w:rFonts w:ascii="Cambria" w:hAnsi="Cambria"/>
                <w:b/>
                <w:bCs/>
              </w:rPr>
              <w:t>Two questions to be addressed</w:t>
            </w:r>
            <w:r w:rsidRPr="00055DD8">
              <w:rPr>
                <w:rFonts w:ascii="Cambria" w:hAnsi="Cambria"/>
              </w:rPr>
              <w:t xml:space="preserve">: Participants will break into language-based groups to discuss 2 questions (to be circulated by email a few days before the meeting based on member feedback from pre-meeting survey).  A scribe and presenter should be appointed at the beginning of the discussions.  </w:t>
            </w:r>
          </w:p>
          <w:p w14:paraId="5582AAC9" w14:textId="77777777" w:rsidR="00055DD8" w:rsidRPr="00055DD8" w:rsidRDefault="00055DD8" w:rsidP="00DE4BE5">
            <w:pPr>
              <w:jc w:val="both"/>
              <w:rPr>
                <w:rFonts w:ascii="Cambria" w:hAnsi="Cambria"/>
                <w:b/>
                <w:bCs/>
              </w:rPr>
            </w:pPr>
            <w:r w:rsidRPr="00055DD8">
              <w:rPr>
                <w:rFonts w:ascii="Cambria" w:eastAsia="PMingLiU" w:hAnsi="Cambria"/>
                <w:b/>
                <w:bCs/>
              </w:rPr>
              <w:t>Coffee served from 15.30 (in or near discussion rooms)</w:t>
            </w:r>
          </w:p>
        </w:tc>
      </w:tr>
      <w:tr w:rsidR="00055DD8" w:rsidRPr="00055DD8" w14:paraId="33FB8D3C" w14:textId="77777777" w:rsidTr="00DE4BE5">
        <w:trPr>
          <w:trHeight w:val="353"/>
        </w:trPr>
        <w:tc>
          <w:tcPr>
            <w:tcW w:w="1530" w:type="dxa"/>
            <w:shd w:val="clear" w:color="auto" w:fill="BFBFBF" w:themeFill="background1" w:themeFillShade="BF"/>
          </w:tcPr>
          <w:p w14:paraId="4B713E91" w14:textId="77777777" w:rsidR="00055DD8" w:rsidRPr="00055DD8" w:rsidRDefault="00055DD8" w:rsidP="00DE4BE5">
            <w:pPr>
              <w:rPr>
                <w:rFonts w:ascii="Cambria" w:hAnsi="Cambria"/>
              </w:rPr>
            </w:pPr>
            <w:r w:rsidRPr="00055DD8">
              <w:rPr>
                <w:rFonts w:ascii="Cambria" w:hAnsi="Cambria"/>
              </w:rPr>
              <w:t>16.30-17.00</w:t>
            </w:r>
          </w:p>
        </w:tc>
        <w:tc>
          <w:tcPr>
            <w:tcW w:w="8280" w:type="dxa"/>
            <w:shd w:val="clear" w:color="auto" w:fill="BFBFBF" w:themeFill="background1" w:themeFillShade="BF"/>
          </w:tcPr>
          <w:p w14:paraId="527A2C1F" w14:textId="77777777" w:rsidR="00055DD8" w:rsidRPr="00055DD8" w:rsidRDefault="00055DD8" w:rsidP="00DE4BE5">
            <w:pPr>
              <w:jc w:val="both"/>
              <w:rPr>
                <w:rFonts w:ascii="Cambria" w:hAnsi="Cambria"/>
              </w:rPr>
            </w:pPr>
            <w:r w:rsidRPr="00055DD8">
              <w:rPr>
                <w:rFonts w:ascii="Cambria" w:hAnsi="Cambria"/>
                <w:b/>
                <w:bCs/>
              </w:rPr>
              <w:t>PEMPAL member group presentations</w:t>
            </w:r>
            <w:r w:rsidRPr="00055DD8">
              <w:rPr>
                <w:rFonts w:ascii="Cambria" w:hAnsi="Cambria"/>
              </w:rPr>
              <w:t xml:space="preserve"> from Groups 1, 2, and 3 (5-8 minutes each)</w:t>
            </w:r>
          </w:p>
        </w:tc>
      </w:tr>
      <w:tr w:rsidR="00055DD8" w:rsidRPr="00055DD8" w14:paraId="1ED4C42E" w14:textId="77777777" w:rsidTr="00DE4BE5">
        <w:trPr>
          <w:trHeight w:val="353"/>
        </w:trPr>
        <w:tc>
          <w:tcPr>
            <w:tcW w:w="1530" w:type="dxa"/>
            <w:shd w:val="clear" w:color="auto" w:fill="BFBFBF" w:themeFill="background1" w:themeFillShade="BF"/>
          </w:tcPr>
          <w:p w14:paraId="546606D2" w14:textId="77777777" w:rsidR="00055DD8" w:rsidRPr="00055DD8" w:rsidRDefault="00055DD8" w:rsidP="00DE4BE5">
            <w:pPr>
              <w:rPr>
                <w:rFonts w:ascii="Cambria" w:hAnsi="Cambria"/>
              </w:rPr>
            </w:pPr>
            <w:r w:rsidRPr="00055DD8">
              <w:rPr>
                <w:rFonts w:ascii="Cambria" w:hAnsi="Cambria"/>
              </w:rPr>
              <w:t>19.00</w:t>
            </w:r>
          </w:p>
        </w:tc>
        <w:tc>
          <w:tcPr>
            <w:tcW w:w="8280" w:type="dxa"/>
            <w:shd w:val="clear" w:color="auto" w:fill="BFBFBF" w:themeFill="background1" w:themeFillShade="BF"/>
          </w:tcPr>
          <w:p w14:paraId="69207FD4" w14:textId="77777777" w:rsidR="00055DD8" w:rsidRPr="00055DD8" w:rsidRDefault="00055DD8" w:rsidP="00DE4BE5">
            <w:pPr>
              <w:jc w:val="both"/>
              <w:rPr>
                <w:rFonts w:ascii="Cambria" w:hAnsi="Cambria"/>
                <w:b/>
                <w:bCs/>
              </w:rPr>
            </w:pPr>
            <w:r w:rsidRPr="00055DD8">
              <w:rPr>
                <w:rFonts w:ascii="Cambria" w:hAnsi="Cambria"/>
              </w:rPr>
              <w:t xml:space="preserve">Dinner in the hotel </w:t>
            </w:r>
          </w:p>
        </w:tc>
      </w:tr>
    </w:tbl>
    <w:p w14:paraId="6376DC38" w14:textId="77777777" w:rsidR="00055DD8" w:rsidRPr="00055DD8" w:rsidRDefault="00055DD8" w:rsidP="00055DD8">
      <w:pPr>
        <w:jc w:val="both"/>
        <w:rPr>
          <w:rFonts w:ascii="Cambria" w:hAnsi="Cambria"/>
          <w:b/>
          <w:u w:val="single"/>
        </w:rPr>
      </w:pPr>
    </w:p>
    <w:p w14:paraId="209C99FD" w14:textId="77777777" w:rsidR="00055DD8" w:rsidRPr="00055DD8" w:rsidRDefault="00055DD8" w:rsidP="00055DD8">
      <w:pPr>
        <w:jc w:val="both"/>
        <w:rPr>
          <w:rFonts w:ascii="Cambria" w:hAnsi="Cambria"/>
          <w:b/>
          <w:bCs/>
        </w:rPr>
      </w:pPr>
      <w:r w:rsidRPr="00055DD8">
        <w:rPr>
          <w:rFonts w:ascii="Cambria" w:hAnsi="Cambria"/>
          <w:b/>
          <w:bCs/>
          <w:u w:val="single"/>
        </w:rPr>
        <w:t>Day Three – Friday, March 16 – Public Participation</w:t>
      </w:r>
      <w:r w:rsidRPr="00055DD8">
        <w:rPr>
          <w:rFonts w:ascii="Cambria" w:hAnsi="Cambria"/>
          <w:b/>
          <w:bCs/>
        </w:rPr>
        <w:t xml:space="preserve"> - Hosted by the BCOP Budget Literacy and Transparency Working Group</w:t>
      </w:r>
    </w:p>
    <w:p w14:paraId="32CC4AE3" w14:textId="77777777" w:rsidR="00055DD8" w:rsidRPr="00055DD8" w:rsidRDefault="00055DD8" w:rsidP="00055DD8">
      <w:pPr>
        <w:jc w:val="both"/>
        <w:rPr>
          <w:rFonts w:ascii="Cambria" w:hAnsi="Cambria"/>
        </w:rPr>
      </w:pPr>
      <w:r w:rsidRPr="00055DD8">
        <w:rPr>
          <w:rFonts w:ascii="Cambria" w:hAnsi="Cambria"/>
        </w:rPr>
        <w:t>Moderators: Anna Belenchuk (BCOP Chair, Ministry of Finance, Russian Federation), Maya Gusarova (Lead Coordinator of BCOP Resource Team, Senior Public Sector Specialist, World Bank)</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055DD8" w:rsidRPr="00055DD8" w14:paraId="7EA2602E" w14:textId="77777777" w:rsidTr="00DE4BE5">
        <w:tc>
          <w:tcPr>
            <w:tcW w:w="1530" w:type="dxa"/>
            <w:shd w:val="clear" w:color="auto" w:fill="D0CECE"/>
          </w:tcPr>
          <w:p w14:paraId="5C2975DA" w14:textId="77777777" w:rsidR="00055DD8" w:rsidRPr="00055DD8" w:rsidRDefault="00055DD8" w:rsidP="00DE4BE5">
            <w:pPr>
              <w:spacing w:after="200" w:line="276" w:lineRule="auto"/>
              <w:jc w:val="center"/>
              <w:rPr>
                <w:rFonts w:ascii="Cambria" w:hAnsi="Cambria"/>
              </w:rPr>
            </w:pPr>
            <w:r w:rsidRPr="00055DD8">
              <w:rPr>
                <w:rFonts w:ascii="Cambria" w:hAnsi="Cambria"/>
              </w:rPr>
              <w:t>Time</w:t>
            </w:r>
          </w:p>
        </w:tc>
        <w:tc>
          <w:tcPr>
            <w:tcW w:w="8280" w:type="dxa"/>
            <w:shd w:val="clear" w:color="auto" w:fill="D0CECE"/>
          </w:tcPr>
          <w:p w14:paraId="3D9B01D7" w14:textId="77777777" w:rsidR="00055DD8" w:rsidRPr="00055DD8" w:rsidRDefault="00055DD8" w:rsidP="00DE4BE5">
            <w:pPr>
              <w:spacing w:after="200" w:line="276" w:lineRule="auto"/>
              <w:jc w:val="center"/>
              <w:rPr>
                <w:rFonts w:ascii="Cambria" w:hAnsi="Cambria"/>
              </w:rPr>
            </w:pPr>
            <w:r w:rsidRPr="00055DD8">
              <w:rPr>
                <w:rFonts w:ascii="Cambria" w:hAnsi="Cambria"/>
              </w:rPr>
              <w:t>Activity</w:t>
            </w:r>
          </w:p>
        </w:tc>
      </w:tr>
      <w:tr w:rsidR="00055DD8" w:rsidRPr="00055DD8" w14:paraId="75C59E40" w14:textId="77777777" w:rsidTr="00DE4BE5">
        <w:trPr>
          <w:trHeight w:val="467"/>
        </w:trPr>
        <w:tc>
          <w:tcPr>
            <w:tcW w:w="1530" w:type="dxa"/>
            <w:tcBorders>
              <w:bottom w:val="single" w:sz="4" w:space="0" w:color="auto"/>
            </w:tcBorders>
            <w:shd w:val="clear" w:color="auto" w:fill="auto"/>
          </w:tcPr>
          <w:p w14:paraId="3650C510" w14:textId="77777777" w:rsidR="00055DD8" w:rsidRPr="00055DD8" w:rsidRDefault="00055DD8" w:rsidP="00DE4BE5">
            <w:pPr>
              <w:jc w:val="both"/>
              <w:rPr>
                <w:rFonts w:ascii="Cambria" w:hAnsi="Cambria"/>
              </w:rPr>
            </w:pPr>
            <w:r w:rsidRPr="00055DD8">
              <w:rPr>
                <w:rFonts w:ascii="Cambria" w:hAnsi="Cambria"/>
              </w:rPr>
              <w:t>8.30-9.00</w:t>
            </w:r>
          </w:p>
        </w:tc>
        <w:tc>
          <w:tcPr>
            <w:tcW w:w="8280" w:type="dxa"/>
            <w:tcBorders>
              <w:bottom w:val="single" w:sz="4" w:space="0" w:color="auto"/>
            </w:tcBorders>
            <w:shd w:val="clear" w:color="auto" w:fill="auto"/>
          </w:tcPr>
          <w:p w14:paraId="53A4D67F" w14:textId="77777777" w:rsidR="00055DD8" w:rsidRPr="00055DD8" w:rsidRDefault="00055DD8" w:rsidP="00DE4BE5">
            <w:pPr>
              <w:jc w:val="both"/>
              <w:rPr>
                <w:rFonts w:ascii="Cambria" w:hAnsi="Cambria"/>
                <w:b/>
                <w:bCs/>
              </w:rPr>
            </w:pPr>
            <w:r w:rsidRPr="00055DD8">
              <w:rPr>
                <w:rFonts w:ascii="Cambria" w:hAnsi="Cambria"/>
                <w:b/>
                <w:bCs/>
              </w:rPr>
              <w:t xml:space="preserve">Presentation 11: BLTWG - </w:t>
            </w:r>
            <w:r w:rsidRPr="00055DD8">
              <w:rPr>
                <w:rFonts w:ascii="Cambria" w:hAnsi="Cambria"/>
                <w:b/>
                <w:bCs/>
                <w:u w:val="single"/>
              </w:rPr>
              <w:t>Introduction to Day’s Agenda and overview of Working Group on Budget Literacy and Transparency</w:t>
            </w:r>
            <w:r w:rsidRPr="00055DD8">
              <w:rPr>
                <w:rFonts w:ascii="Cambria" w:hAnsi="Cambria"/>
              </w:rPr>
              <w:t xml:space="preserve"> – Anna Belenchuk, BCOP Executive Committee, Head of Unit of Budget Analysis and Development, Department of Budget Methodology and Financial Reporting, Ministry of Finance, Russian Federation</w:t>
            </w:r>
          </w:p>
        </w:tc>
      </w:tr>
      <w:tr w:rsidR="00055DD8" w:rsidRPr="00055DD8" w14:paraId="0C1C9035" w14:textId="77777777" w:rsidTr="00DE4BE5">
        <w:trPr>
          <w:trHeight w:val="580"/>
        </w:trPr>
        <w:tc>
          <w:tcPr>
            <w:tcW w:w="1530" w:type="dxa"/>
            <w:tcBorders>
              <w:bottom w:val="single" w:sz="4" w:space="0" w:color="auto"/>
            </w:tcBorders>
            <w:shd w:val="clear" w:color="auto" w:fill="auto"/>
          </w:tcPr>
          <w:p w14:paraId="3954EE78" w14:textId="77777777" w:rsidR="00055DD8" w:rsidRPr="00055DD8" w:rsidRDefault="00055DD8" w:rsidP="00DE4BE5">
            <w:pPr>
              <w:spacing w:after="200" w:line="276" w:lineRule="auto"/>
              <w:jc w:val="both"/>
              <w:rPr>
                <w:rFonts w:ascii="Cambria" w:hAnsi="Cambria"/>
              </w:rPr>
            </w:pPr>
            <w:r w:rsidRPr="00055DD8">
              <w:rPr>
                <w:rFonts w:ascii="Cambria" w:hAnsi="Cambria"/>
              </w:rPr>
              <w:t>9.00-9.30</w:t>
            </w:r>
          </w:p>
        </w:tc>
        <w:tc>
          <w:tcPr>
            <w:tcW w:w="8280" w:type="dxa"/>
            <w:tcBorders>
              <w:bottom w:val="single" w:sz="4" w:space="0" w:color="auto"/>
            </w:tcBorders>
            <w:shd w:val="clear" w:color="auto" w:fill="auto"/>
          </w:tcPr>
          <w:p w14:paraId="0A4D36C2" w14:textId="77777777" w:rsidR="00055DD8" w:rsidRPr="00055DD8" w:rsidRDefault="00055DD8" w:rsidP="00DE4BE5">
            <w:pPr>
              <w:jc w:val="both"/>
              <w:rPr>
                <w:rFonts w:ascii="Cambria" w:hAnsi="Cambria"/>
              </w:rPr>
            </w:pPr>
            <w:r w:rsidRPr="00055DD8">
              <w:rPr>
                <w:rFonts w:ascii="Cambria" w:hAnsi="Cambria"/>
                <w:b/>
                <w:bCs/>
              </w:rPr>
              <w:t xml:space="preserve">Presentation 12: BLTWG - </w:t>
            </w:r>
            <w:r w:rsidRPr="00055DD8">
              <w:rPr>
                <w:rFonts w:ascii="Cambria" w:hAnsi="Cambria"/>
                <w:b/>
                <w:bCs/>
                <w:u w:val="single"/>
              </w:rPr>
              <w:t>Presentation on Budget Literacy and Transparency Working Group’s progress towards the Knowledge Product on Public Participation in Fiscal Policy and the Budget Process</w:t>
            </w:r>
            <w:r w:rsidRPr="00055DD8">
              <w:rPr>
                <w:rFonts w:ascii="Cambria" w:hAnsi="Cambria"/>
                <w:u w:val="single"/>
              </w:rPr>
              <w:t>:</w:t>
            </w:r>
            <w:r w:rsidRPr="00055DD8">
              <w:rPr>
                <w:rFonts w:ascii="Cambria" w:hAnsi="Cambria"/>
                <w:b/>
                <w:bCs/>
                <w:u w:val="single"/>
              </w:rPr>
              <w:t xml:space="preserve"> How to Establish and/or Strengthen Mechanisms in PEMPAL countries</w:t>
            </w:r>
            <w:r w:rsidRPr="00055DD8">
              <w:rPr>
                <w:rFonts w:ascii="Cambria" w:hAnsi="Cambria"/>
              </w:rPr>
              <w:t xml:space="preserve"> – Harika Masud, Social Development Specialist, World Bank</w:t>
            </w:r>
          </w:p>
          <w:p w14:paraId="4F3A56B0" w14:textId="77777777" w:rsidR="00055DD8" w:rsidRPr="00055DD8" w:rsidRDefault="00055DD8" w:rsidP="00DE4BE5">
            <w:pPr>
              <w:jc w:val="both"/>
              <w:rPr>
                <w:rFonts w:ascii="Cambria" w:hAnsi="Cambria"/>
                <w:b/>
                <w:lang w:eastAsia="sl-SI"/>
              </w:rPr>
            </w:pPr>
          </w:p>
        </w:tc>
      </w:tr>
      <w:tr w:rsidR="00055DD8" w:rsidRPr="00055DD8" w14:paraId="10822C98" w14:textId="77777777" w:rsidTr="00DE4BE5">
        <w:trPr>
          <w:trHeight w:val="366"/>
        </w:trPr>
        <w:tc>
          <w:tcPr>
            <w:tcW w:w="1530" w:type="dxa"/>
            <w:tcBorders>
              <w:bottom w:val="single" w:sz="4" w:space="0" w:color="auto"/>
            </w:tcBorders>
            <w:shd w:val="clear" w:color="auto" w:fill="auto"/>
          </w:tcPr>
          <w:p w14:paraId="3ED4F4CE" w14:textId="77777777" w:rsidR="00055DD8" w:rsidRPr="00055DD8" w:rsidRDefault="00055DD8" w:rsidP="00DE4BE5">
            <w:pPr>
              <w:spacing w:after="200" w:line="276" w:lineRule="auto"/>
              <w:jc w:val="both"/>
              <w:rPr>
                <w:rFonts w:ascii="Cambria" w:hAnsi="Cambria"/>
              </w:rPr>
            </w:pPr>
            <w:r w:rsidRPr="00055DD8">
              <w:rPr>
                <w:rFonts w:ascii="Cambria" w:hAnsi="Cambria"/>
              </w:rPr>
              <w:t>9.30-10.00</w:t>
            </w:r>
          </w:p>
        </w:tc>
        <w:tc>
          <w:tcPr>
            <w:tcW w:w="8280" w:type="dxa"/>
            <w:tcBorders>
              <w:bottom w:val="single" w:sz="4" w:space="0" w:color="auto"/>
            </w:tcBorders>
            <w:shd w:val="clear" w:color="auto" w:fill="auto"/>
          </w:tcPr>
          <w:p w14:paraId="0AC05B7B" w14:textId="77777777" w:rsidR="00055DD8" w:rsidRPr="00055DD8" w:rsidRDefault="00055DD8" w:rsidP="00DE4BE5">
            <w:pPr>
              <w:jc w:val="both"/>
              <w:rPr>
                <w:rFonts w:ascii="Cambria" w:hAnsi="Cambria"/>
                <w:b/>
                <w:bCs/>
              </w:rPr>
            </w:pPr>
            <w:r w:rsidRPr="00055DD8">
              <w:rPr>
                <w:rFonts w:ascii="Cambria" w:hAnsi="Cambria"/>
                <w:b/>
                <w:bCs/>
                <w:lang w:eastAsia="sl-SI"/>
              </w:rPr>
              <w:t xml:space="preserve">Presentation 13: IBP - </w:t>
            </w:r>
            <w:r w:rsidRPr="00055DD8">
              <w:rPr>
                <w:rFonts w:ascii="Cambria" w:hAnsi="Cambria"/>
                <w:b/>
                <w:bCs/>
                <w:u w:val="single"/>
                <w:lang w:eastAsia="sl-SI"/>
              </w:rPr>
              <w:t xml:space="preserve">Public Participation Results of Open Budget Survey, International Budget Partnership </w:t>
            </w:r>
            <w:r w:rsidRPr="00055DD8">
              <w:rPr>
                <w:rFonts w:ascii="Cambria" w:hAnsi="Cambria"/>
                <w:u w:val="single"/>
                <w:lang w:eastAsia="sl-SI"/>
              </w:rPr>
              <w:t>– Sally Torbert, Program Officer, IBP</w:t>
            </w:r>
          </w:p>
        </w:tc>
      </w:tr>
      <w:tr w:rsidR="00055DD8" w:rsidRPr="00055DD8" w14:paraId="06BC1D09" w14:textId="77777777" w:rsidTr="00DE4BE5">
        <w:trPr>
          <w:trHeight w:val="311"/>
        </w:trPr>
        <w:tc>
          <w:tcPr>
            <w:tcW w:w="1530" w:type="dxa"/>
            <w:tcBorders>
              <w:bottom w:val="single" w:sz="4" w:space="0" w:color="auto"/>
            </w:tcBorders>
            <w:shd w:val="clear" w:color="auto" w:fill="auto"/>
          </w:tcPr>
          <w:p w14:paraId="6CF56B74" w14:textId="77777777" w:rsidR="00055DD8" w:rsidRPr="00055DD8" w:rsidRDefault="00055DD8" w:rsidP="00DE4BE5">
            <w:pPr>
              <w:spacing w:after="200" w:line="276" w:lineRule="auto"/>
              <w:jc w:val="both"/>
              <w:rPr>
                <w:rFonts w:ascii="Cambria" w:hAnsi="Cambria"/>
              </w:rPr>
            </w:pPr>
            <w:r w:rsidRPr="00055DD8">
              <w:rPr>
                <w:rFonts w:ascii="Cambria" w:hAnsi="Cambria"/>
              </w:rPr>
              <w:t>10.00-10.30</w:t>
            </w:r>
          </w:p>
        </w:tc>
        <w:tc>
          <w:tcPr>
            <w:tcW w:w="8280" w:type="dxa"/>
            <w:tcBorders>
              <w:bottom w:val="single" w:sz="4" w:space="0" w:color="auto"/>
            </w:tcBorders>
            <w:shd w:val="clear" w:color="auto" w:fill="auto"/>
          </w:tcPr>
          <w:p w14:paraId="1E282FBD" w14:textId="77777777" w:rsidR="00055DD8" w:rsidRPr="00055DD8" w:rsidRDefault="00055DD8" w:rsidP="00DE4BE5">
            <w:pPr>
              <w:jc w:val="both"/>
              <w:rPr>
                <w:rFonts w:ascii="Cambria" w:hAnsi="Cambria"/>
                <w:b/>
                <w:bCs/>
              </w:rPr>
            </w:pPr>
            <w:r w:rsidRPr="00055DD8">
              <w:rPr>
                <w:rFonts w:ascii="Cambria" w:hAnsi="Cambria"/>
                <w:b/>
                <w:bCs/>
                <w:lang w:eastAsia="sl-SI"/>
              </w:rPr>
              <w:t>Questions to the panel of speakers</w:t>
            </w:r>
          </w:p>
        </w:tc>
      </w:tr>
      <w:tr w:rsidR="00055DD8" w:rsidRPr="00055DD8" w14:paraId="72D65BE6" w14:textId="77777777" w:rsidTr="00DE4BE5">
        <w:trPr>
          <w:trHeight w:val="580"/>
        </w:trPr>
        <w:tc>
          <w:tcPr>
            <w:tcW w:w="1530" w:type="dxa"/>
            <w:tcBorders>
              <w:bottom w:val="single" w:sz="4" w:space="0" w:color="auto"/>
            </w:tcBorders>
            <w:shd w:val="clear" w:color="auto" w:fill="auto"/>
          </w:tcPr>
          <w:p w14:paraId="79B29EA9" w14:textId="77777777" w:rsidR="00055DD8" w:rsidRPr="00055DD8" w:rsidRDefault="00055DD8" w:rsidP="00DE4BE5">
            <w:pPr>
              <w:spacing w:after="200" w:line="276" w:lineRule="auto"/>
              <w:jc w:val="both"/>
              <w:rPr>
                <w:rFonts w:ascii="Cambria" w:hAnsi="Cambria"/>
              </w:rPr>
            </w:pPr>
            <w:r w:rsidRPr="00055DD8">
              <w:rPr>
                <w:rFonts w:ascii="Cambria" w:hAnsi="Cambria"/>
              </w:rPr>
              <w:t>10.30-11.00</w:t>
            </w:r>
          </w:p>
        </w:tc>
        <w:tc>
          <w:tcPr>
            <w:tcW w:w="8280" w:type="dxa"/>
            <w:tcBorders>
              <w:bottom w:val="single" w:sz="4" w:space="0" w:color="auto"/>
            </w:tcBorders>
            <w:shd w:val="clear" w:color="auto" w:fill="auto"/>
          </w:tcPr>
          <w:p w14:paraId="547DA2AB" w14:textId="77777777" w:rsidR="00055DD8" w:rsidRPr="00055DD8" w:rsidRDefault="00055DD8" w:rsidP="00DE4BE5">
            <w:pPr>
              <w:jc w:val="both"/>
              <w:rPr>
                <w:rFonts w:ascii="Cambria" w:hAnsi="Cambria"/>
                <w:b/>
                <w:bCs/>
              </w:rPr>
            </w:pPr>
            <w:r w:rsidRPr="00055DD8">
              <w:rPr>
                <w:rFonts w:ascii="Cambria" w:hAnsi="Cambria"/>
              </w:rPr>
              <w:t xml:space="preserve"> Coffee Break</w:t>
            </w:r>
          </w:p>
        </w:tc>
      </w:tr>
      <w:tr w:rsidR="00055DD8" w:rsidRPr="00055DD8" w14:paraId="657001A5" w14:textId="77777777" w:rsidTr="00DE4BE5">
        <w:trPr>
          <w:trHeight w:val="580"/>
        </w:trPr>
        <w:tc>
          <w:tcPr>
            <w:tcW w:w="1530" w:type="dxa"/>
            <w:tcBorders>
              <w:bottom w:val="single" w:sz="4" w:space="0" w:color="auto"/>
            </w:tcBorders>
            <w:shd w:val="clear" w:color="auto" w:fill="auto"/>
          </w:tcPr>
          <w:p w14:paraId="24908855" w14:textId="77777777" w:rsidR="00055DD8" w:rsidRPr="00055DD8" w:rsidRDefault="00055DD8" w:rsidP="00DE4BE5">
            <w:pPr>
              <w:spacing w:after="200" w:line="276" w:lineRule="auto"/>
              <w:jc w:val="both"/>
              <w:rPr>
                <w:rFonts w:ascii="Cambria" w:hAnsi="Cambria"/>
              </w:rPr>
            </w:pPr>
            <w:r w:rsidRPr="00055DD8">
              <w:rPr>
                <w:rFonts w:ascii="Cambria" w:hAnsi="Cambria"/>
              </w:rPr>
              <w:t>11.00-11.20</w:t>
            </w:r>
          </w:p>
        </w:tc>
        <w:tc>
          <w:tcPr>
            <w:tcW w:w="8280" w:type="dxa"/>
            <w:tcBorders>
              <w:bottom w:val="single" w:sz="4" w:space="0" w:color="auto"/>
            </w:tcBorders>
            <w:shd w:val="clear" w:color="auto" w:fill="auto"/>
          </w:tcPr>
          <w:p w14:paraId="1F5044E6" w14:textId="5B11340D" w:rsidR="00055DD8" w:rsidRPr="00055DD8" w:rsidRDefault="00055DD8" w:rsidP="00055DD8">
            <w:pPr>
              <w:ind w:left="-14" w:firstLine="14"/>
              <w:jc w:val="both"/>
              <w:rPr>
                <w:rFonts w:ascii="Cambria" w:hAnsi="Cambria"/>
              </w:rPr>
            </w:pPr>
            <w:r w:rsidRPr="00055DD8">
              <w:rPr>
                <w:rFonts w:ascii="Cambria" w:hAnsi="Cambria"/>
                <w:b/>
                <w:bCs/>
              </w:rPr>
              <w:t xml:space="preserve">Presentation 14: GIFT - </w:t>
            </w:r>
            <w:r w:rsidRPr="00055DD8">
              <w:rPr>
                <w:rFonts w:ascii="Cambria" w:hAnsi="Cambria"/>
                <w:b/>
                <w:bCs/>
                <w:u w:val="single"/>
              </w:rPr>
              <w:t xml:space="preserve">GIFT Takeaways and Insights on the OBS 2017 Results on Public Participation, and New Cases Recently Identified in the Guide on Public Participation </w:t>
            </w:r>
            <w:r w:rsidRPr="00055DD8">
              <w:rPr>
                <w:rFonts w:ascii="Cambria" w:hAnsi="Cambria"/>
              </w:rPr>
              <w:t>- Juan Pablo Guerrero, GIFT Network Director</w:t>
            </w:r>
          </w:p>
        </w:tc>
      </w:tr>
      <w:tr w:rsidR="00055DD8" w:rsidRPr="00055DD8" w14:paraId="17037F0E" w14:textId="77777777" w:rsidTr="00DE4BE5">
        <w:trPr>
          <w:trHeight w:val="593"/>
        </w:trPr>
        <w:tc>
          <w:tcPr>
            <w:tcW w:w="1530" w:type="dxa"/>
            <w:tcBorders>
              <w:bottom w:val="single" w:sz="4" w:space="0" w:color="auto"/>
            </w:tcBorders>
            <w:shd w:val="clear" w:color="auto" w:fill="auto"/>
          </w:tcPr>
          <w:p w14:paraId="14FC0BD5" w14:textId="77777777" w:rsidR="00055DD8" w:rsidRPr="00055DD8" w:rsidRDefault="00055DD8" w:rsidP="00DE4BE5">
            <w:pPr>
              <w:spacing w:after="200" w:line="276" w:lineRule="auto"/>
              <w:jc w:val="both"/>
              <w:rPr>
                <w:rFonts w:ascii="Cambria" w:hAnsi="Cambria"/>
              </w:rPr>
            </w:pPr>
            <w:r w:rsidRPr="00055DD8">
              <w:rPr>
                <w:rFonts w:ascii="Cambria" w:hAnsi="Cambria"/>
              </w:rPr>
              <w:t>11.20-12.30</w:t>
            </w:r>
          </w:p>
        </w:tc>
        <w:tc>
          <w:tcPr>
            <w:tcW w:w="8280" w:type="dxa"/>
            <w:tcBorders>
              <w:bottom w:val="single" w:sz="4" w:space="0" w:color="auto"/>
            </w:tcBorders>
            <w:shd w:val="clear" w:color="auto" w:fill="auto"/>
          </w:tcPr>
          <w:p w14:paraId="245EABA5" w14:textId="77777777" w:rsidR="00055DD8" w:rsidRPr="00055DD8" w:rsidRDefault="00055DD8" w:rsidP="00DE4BE5">
            <w:pPr>
              <w:pStyle w:val="ListParagraph"/>
              <w:spacing w:after="0" w:line="240" w:lineRule="auto"/>
              <w:ind w:left="0"/>
              <w:jc w:val="both"/>
              <w:rPr>
                <w:rFonts w:ascii="Cambria" w:hAnsi="Cambria"/>
                <w:b/>
                <w:bCs/>
              </w:rPr>
            </w:pPr>
            <w:r w:rsidRPr="00055DD8">
              <w:rPr>
                <w:rFonts w:ascii="Cambria" w:hAnsi="Cambria"/>
                <w:b/>
                <w:bCs/>
              </w:rPr>
              <w:t>Presentations 15 and 16: PEMPAL Country Case Studies:</w:t>
            </w:r>
          </w:p>
          <w:p w14:paraId="5EEB946F" w14:textId="77777777" w:rsidR="00055DD8" w:rsidRPr="00055DD8" w:rsidRDefault="00055DD8" w:rsidP="00DE4BE5">
            <w:pPr>
              <w:pStyle w:val="ListParagraph"/>
              <w:spacing w:after="0" w:line="240" w:lineRule="auto"/>
              <w:ind w:left="0"/>
              <w:jc w:val="both"/>
              <w:rPr>
                <w:rFonts w:ascii="Cambria" w:hAnsi="Cambria"/>
                <w:b/>
              </w:rPr>
            </w:pPr>
          </w:p>
          <w:p w14:paraId="0EAA48B5"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b/>
                <w:bCs/>
                <w:u w:val="single"/>
              </w:rPr>
              <w:t>Public participation Mechanisms in Georgia</w:t>
            </w:r>
            <w:r w:rsidRPr="00055DD8">
              <w:rPr>
                <w:rFonts w:ascii="Cambria" w:hAnsi="Cambria"/>
                <w:b/>
                <w:bCs/>
              </w:rPr>
              <w:t xml:space="preserve"> - </w:t>
            </w:r>
            <w:r w:rsidRPr="00055DD8">
              <w:rPr>
                <w:rFonts w:ascii="Cambria" w:hAnsi="Cambria"/>
              </w:rPr>
              <w:t>Inga Gurgenidze, Head of the State and Consolidated Budget Formation Division, Budget Department, Ministry of Finance of Georgia</w:t>
            </w:r>
          </w:p>
          <w:p w14:paraId="35B40E30" w14:textId="77777777" w:rsidR="00055DD8" w:rsidRPr="00055DD8" w:rsidRDefault="00055DD8" w:rsidP="00DE4BE5">
            <w:pPr>
              <w:pStyle w:val="ListParagraph"/>
              <w:spacing w:after="0" w:line="240" w:lineRule="auto"/>
              <w:ind w:left="0"/>
              <w:jc w:val="both"/>
              <w:rPr>
                <w:rFonts w:ascii="Cambria" w:hAnsi="Cambria"/>
                <w:b/>
              </w:rPr>
            </w:pPr>
          </w:p>
          <w:p w14:paraId="57911763"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b/>
                <w:bCs/>
                <w:u w:val="single"/>
              </w:rPr>
              <w:t>Public participation Mechanisms in Croatia</w:t>
            </w:r>
            <w:r w:rsidRPr="00055DD8">
              <w:rPr>
                <w:rFonts w:ascii="Cambria" w:hAnsi="Cambria"/>
                <w:b/>
                <w:bCs/>
              </w:rPr>
              <w:t xml:space="preserve"> </w:t>
            </w:r>
            <w:r w:rsidRPr="00055DD8">
              <w:rPr>
                <w:rFonts w:ascii="Cambria" w:hAnsi="Cambria"/>
              </w:rPr>
              <w:t xml:space="preserve">- </w:t>
            </w:r>
            <w:r w:rsidRPr="00055DD8">
              <w:rPr>
                <w:rFonts w:ascii="Cambria" w:eastAsiaTheme="minorEastAsia" w:hAnsi="Cambria"/>
              </w:rPr>
              <w:t>Mladenka Karacic, Head of Sector, State Treasury Department, Ministry of Finance of Croatia</w:t>
            </w:r>
          </w:p>
          <w:p w14:paraId="743B0388" w14:textId="77777777" w:rsidR="00055DD8" w:rsidRPr="00055DD8" w:rsidRDefault="00055DD8" w:rsidP="00DE4BE5">
            <w:pPr>
              <w:pStyle w:val="p1"/>
              <w:jc w:val="both"/>
              <w:rPr>
                <w:rFonts w:ascii="Cambria" w:hAnsi="Cambria"/>
                <w:b/>
                <w:sz w:val="22"/>
                <w:szCs w:val="22"/>
              </w:rPr>
            </w:pPr>
          </w:p>
        </w:tc>
      </w:tr>
      <w:tr w:rsidR="00055DD8" w:rsidRPr="00055DD8" w14:paraId="41F5D1FA" w14:textId="77777777" w:rsidTr="00DE4BE5">
        <w:trPr>
          <w:trHeight w:val="337"/>
        </w:trPr>
        <w:tc>
          <w:tcPr>
            <w:tcW w:w="1530" w:type="dxa"/>
            <w:shd w:val="clear" w:color="auto" w:fill="auto"/>
          </w:tcPr>
          <w:p w14:paraId="7C2DFF4B" w14:textId="77777777" w:rsidR="00055DD8" w:rsidRPr="00055DD8" w:rsidRDefault="00055DD8" w:rsidP="00DE4BE5">
            <w:pPr>
              <w:spacing w:after="200" w:line="276" w:lineRule="auto"/>
              <w:jc w:val="both"/>
              <w:rPr>
                <w:rFonts w:ascii="Cambria" w:hAnsi="Cambria"/>
              </w:rPr>
            </w:pPr>
            <w:r w:rsidRPr="00055DD8">
              <w:rPr>
                <w:rFonts w:ascii="Cambria" w:hAnsi="Cambria"/>
              </w:rPr>
              <w:lastRenderedPageBreak/>
              <w:t>12.30-13.00</w:t>
            </w:r>
          </w:p>
        </w:tc>
        <w:tc>
          <w:tcPr>
            <w:tcW w:w="8280" w:type="dxa"/>
            <w:shd w:val="clear" w:color="auto" w:fill="auto"/>
          </w:tcPr>
          <w:p w14:paraId="0BA7DDD4" w14:textId="77777777" w:rsidR="00055DD8" w:rsidRPr="00055DD8" w:rsidRDefault="00055DD8" w:rsidP="00DE4BE5">
            <w:pPr>
              <w:pStyle w:val="ListParagraph"/>
              <w:spacing w:after="0" w:line="240" w:lineRule="auto"/>
              <w:ind w:left="0"/>
              <w:jc w:val="both"/>
              <w:rPr>
                <w:rFonts w:ascii="Cambria" w:hAnsi="Cambria"/>
                <w:b/>
                <w:bCs/>
              </w:rPr>
            </w:pPr>
            <w:r w:rsidRPr="00055DD8">
              <w:rPr>
                <w:rFonts w:ascii="Cambria" w:hAnsi="Cambria"/>
                <w:b/>
                <w:bCs/>
              </w:rPr>
              <w:t>Questions to the panel of speakers</w:t>
            </w:r>
          </w:p>
        </w:tc>
      </w:tr>
      <w:tr w:rsidR="00055DD8" w:rsidRPr="00055DD8" w14:paraId="57935FAB" w14:textId="77777777" w:rsidTr="00DE4BE5">
        <w:trPr>
          <w:trHeight w:val="432"/>
        </w:trPr>
        <w:tc>
          <w:tcPr>
            <w:tcW w:w="1530" w:type="dxa"/>
            <w:tcBorders>
              <w:bottom w:val="single" w:sz="4" w:space="0" w:color="auto"/>
            </w:tcBorders>
            <w:shd w:val="clear" w:color="auto" w:fill="D0CECE"/>
          </w:tcPr>
          <w:p w14:paraId="0E8533FF"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13.00-14.30</w:t>
            </w:r>
          </w:p>
        </w:tc>
        <w:tc>
          <w:tcPr>
            <w:tcW w:w="8280" w:type="dxa"/>
            <w:tcBorders>
              <w:bottom w:val="single" w:sz="4" w:space="0" w:color="auto"/>
            </w:tcBorders>
            <w:shd w:val="clear" w:color="auto" w:fill="D0CECE"/>
          </w:tcPr>
          <w:p w14:paraId="27287EC0" w14:textId="77777777" w:rsidR="00055DD8" w:rsidRPr="00055DD8" w:rsidRDefault="00055DD8" w:rsidP="00DE4BE5">
            <w:pPr>
              <w:pStyle w:val="ListParagraph"/>
              <w:spacing w:after="0" w:line="240" w:lineRule="auto"/>
              <w:ind w:left="0"/>
              <w:jc w:val="both"/>
              <w:rPr>
                <w:rFonts w:ascii="Cambria" w:hAnsi="Cambria"/>
              </w:rPr>
            </w:pPr>
            <w:r w:rsidRPr="00055DD8">
              <w:rPr>
                <w:rFonts w:ascii="Cambria" w:hAnsi="Cambria"/>
              </w:rPr>
              <w:t>Lunch at Hotel</w:t>
            </w:r>
          </w:p>
        </w:tc>
      </w:tr>
      <w:tr w:rsidR="00055DD8" w:rsidRPr="00055DD8" w14:paraId="3B7F4030" w14:textId="77777777" w:rsidTr="00DE4BE5">
        <w:trPr>
          <w:trHeight w:val="341"/>
        </w:trPr>
        <w:tc>
          <w:tcPr>
            <w:tcW w:w="1530" w:type="dxa"/>
            <w:tcBorders>
              <w:bottom w:val="single" w:sz="4" w:space="0" w:color="auto"/>
            </w:tcBorders>
            <w:shd w:val="clear" w:color="auto" w:fill="FFFFFF" w:themeFill="background1"/>
          </w:tcPr>
          <w:p w14:paraId="4BCA0DBE" w14:textId="77777777" w:rsidR="00055DD8" w:rsidRPr="00055DD8" w:rsidRDefault="00055DD8" w:rsidP="00DE4BE5">
            <w:pPr>
              <w:jc w:val="both"/>
              <w:rPr>
                <w:rFonts w:ascii="Cambria" w:hAnsi="Cambria"/>
              </w:rPr>
            </w:pPr>
            <w:r w:rsidRPr="00055DD8">
              <w:rPr>
                <w:rFonts w:ascii="Cambria" w:hAnsi="Cambria"/>
              </w:rPr>
              <w:t>14.30-16.30</w:t>
            </w:r>
          </w:p>
        </w:tc>
        <w:tc>
          <w:tcPr>
            <w:tcW w:w="8280" w:type="dxa"/>
            <w:tcBorders>
              <w:bottom w:val="single" w:sz="4" w:space="0" w:color="auto"/>
            </w:tcBorders>
            <w:shd w:val="clear" w:color="auto" w:fill="FFFFFF" w:themeFill="background1"/>
          </w:tcPr>
          <w:p w14:paraId="217E1E12" w14:textId="77777777" w:rsidR="00055DD8" w:rsidRPr="00055DD8" w:rsidRDefault="00055DD8" w:rsidP="00DE4BE5">
            <w:pPr>
              <w:jc w:val="both"/>
              <w:rPr>
                <w:rFonts w:ascii="Cambria" w:hAnsi="Cambria"/>
              </w:rPr>
            </w:pPr>
            <w:r w:rsidRPr="00055DD8">
              <w:rPr>
                <w:rFonts w:ascii="Cambria" w:hAnsi="Cambria"/>
                <w:b/>
                <w:bCs/>
              </w:rPr>
              <w:t xml:space="preserve">Reform Issues and Challenges discussion </w:t>
            </w:r>
            <w:r w:rsidRPr="00055DD8">
              <w:rPr>
                <w:rFonts w:ascii="Cambria" w:hAnsi="Cambria"/>
              </w:rPr>
              <w:t xml:space="preserve">(parallel discussions on topics as proposed by the participants, in language-based groups where possible) </w:t>
            </w:r>
          </w:p>
          <w:p w14:paraId="7E546F87" w14:textId="77777777" w:rsidR="00055DD8" w:rsidRPr="00055DD8" w:rsidRDefault="00055DD8" w:rsidP="00055DD8">
            <w:pPr>
              <w:pStyle w:val="ListParagraph"/>
              <w:numPr>
                <w:ilvl w:val="0"/>
                <w:numId w:val="3"/>
              </w:numPr>
              <w:spacing w:after="0" w:line="240" w:lineRule="auto"/>
              <w:jc w:val="both"/>
              <w:rPr>
                <w:rFonts w:ascii="Cambria" w:hAnsi="Cambria"/>
              </w:rPr>
            </w:pPr>
            <w:r w:rsidRPr="00055DD8">
              <w:rPr>
                <w:rFonts w:ascii="Cambria" w:hAnsi="Cambria"/>
                <w:b/>
                <w:bCs/>
              </w:rPr>
              <w:t>Two questions to be addressed</w:t>
            </w:r>
            <w:r w:rsidRPr="00055DD8">
              <w:rPr>
                <w:rFonts w:ascii="Cambria" w:hAnsi="Cambria"/>
              </w:rPr>
              <w:t xml:space="preserve">: Participants will break into language-based groups to discuss 2 questions (to be circulated by email a few days before the meeting based on member feedback from pre-meeting survey).  A scribe and presenter should be appointed at the beginning of the discussions.  </w:t>
            </w:r>
          </w:p>
          <w:p w14:paraId="084789D4" w14:textId="77777777" w:rsidR="00055DD8" w:rsidRPr="00055DD8" w:rsidRDefault="00055DD8" w:rsidP="00DE4BE5">
            <w:pPr>
              <w:jc w:val="both"/>
              <w:rPr>
                <w:rFonts w:ascii="Cambria" w:hAnsi="Cambria"/>
              </w:rPr>
            </w:pPr>
            <w:r w:rsidRPr="00055DD8">
              <w:rPr>
                <w:rFonts w:ascii="Cambria" w:hAnsi="Cambria"/>
                <w:b/>
                <w:bCs/>
              </w:rPr>
              <w:t>Coffee served from 15</w:t>
            </w:r>
            <w:r w:rsidRPr="00055DD8">
              <w:rPr>
                <w:rFonts w:ascii="Cambria" w:hAnsi="Cambria"/>
              </w:rPr>
              <w:t>.</w:t>
            </w:r>
            <w:r w:rsidRPr="00055DD8">
              <w:rPr>
                <w:rFonts w:ascii="Cambria" w:hAnsi="Cambria"/>
                <w:b/>
                <w:bCs/>
              </w:rPr>
              <w:t>30 (in or near discussion rooms)</w:t>
            </w:r>
          </w:p>
        </w:tc>
      </w:tr>
      <w:tr w:rsidR="00055DD8" w:rsidRPr="00055DD8" w14:paraId="7549265C" w14:textId="77777777" w:rsidTr="00DE4BE5">
        <w:tc>
          <w:tcPr>
            <w:tcW w:w="1530" w:type="dxa"/>
            <w:shd w:val="clear" w:color="auto" w:fill="auto"/>
          </w:tcPr>
          <w:p w14:paraId="1BCE57CB" w14:textId="77777777" w:rsidR="00055DD8" w:rsidRPr="00055DD8" w:rsidRDefault="00055DD8" w:rsidP="00DE4BE5">
            <w:pPr>
              <w:spacing w:after="200" w:line="276" w:lineRule="auto"/>
              <w:jc w:val="both"/>
              <w:rPr>
                <w:rFonts w:ascii="Cambria" w:hAnsi="Cambria"/>
              </w:rPr>
            </w:pPr>
            <w:r w:rsidRPr="00055DD8">
              <w:rPr>
                <w:rFonts w:ascii="Cambria" w:hAnsi="Cambria"/>
              </w:rPr>
              <w:t>16.30-17.00</w:t>
            </w:r>
          </w:p>
        </w:tc>
        <w:tc>
          <w:tcPr>
            <w:tcW w:w="8280" w:type="dxa"/>
            <w:shd w:val="clear" w:color="auto" w:fill="auto"/>
          </w:tcPr>
          <w:p w14:paraId="560ABEDE" w14:textId="77777777" w:rsidR="00055DD8" w:rsidRPr="00055DD8" w:rsidRDefault="00055DD8" w:rsidP="00DE4BE5">
            <w:pPr>
              <w:spacing w:after="200" w:line="276" w:lineRule="auto"/>
              <w:jc w:val="both"/>
              <w:rPr>
                <w:rFonts w:ascii="Cambria" w:hAnsi="Cambria"/>
              </w:rPr>
            </w:pPr>
            <w:r w:rsidRPr="00055DD8">
              <w:rPr>
                <w:rFonts w:ascii="Cambria" w:hAnsi="Cambria"/>
                <w:b/>
                <w:bCs/>
              </w:rPr>
              <w:t>PEMPAL member group presentations</w:t>
            </w:r>
            <w:r w:rsidRPr="00055DD8">
              <w:rPr>
                <w:rFonts w:ascii="Cambria" w:hAnsi="Cambria"/>
              </w:rPr>
              <w:t xml:space="preserve"> from Groups 1, 2, and 3 (5-8 minutes each)</w:t>
            </w:r>
          </w:p>
        </w:tc>
      </w:tr>
      <w:tr w:rsidR="00055DD8" w:rsidRPr="00055DD8" w14:paraId="2A35C3AF" w14:textId="77777777" w:rsidTr="00DE4BE5">
        <w:tc>
          <w:tcPr>
            <w:tcW w:w="1530" w:type="dxa"/>
            <w:shd w:val="clear" w:color="auto" w:fill="auto"/>
          </w:tcPr>
          <w:p w14:paraId="12517DDA" w14:textId="77777777" w:rsidR="00055DD8" w:rsidRPr="00055DD8" w:rsidRDefault="00055DD8" w:rsidP="00DE4BE5">
            <w:pPr>
              <w:jc w:val="both"/>
              <w:rPr>
                <w:rFonts w:ascii="Cambria" w:hAnsi="Cambria"/>
              </w:rPr>
            </w:pPr>
            <w:r w:rsidRPr="00055DD8">
              <w:rPr>
                <w:rFonts w:ascii="Cambria" w:hAnsi="Cambria"/>
              </w:rPr>
              <w:t>17.00-18.00</w:t>
            </w:r>
          </w:p>
        </w:tc>
        <w:tc>
          <w:tcPr>
            <w:tcW w:w="8280" w:type="dxa"/>
            <w:shd w:val="clear" w:color="auto" w:fill="auto"/>
          </w:tcPr>
          <w:p w14:paraId="5B55D35C" w14:textId="77777777" w:rsidR="00055DD8" w:rsidRPr="00055DD8" w:rsidRDefault="00055DD8" w:rsidP="00DE4BE5">
            <w:pPr>
              <w:jc w:val="both"/>
              <w:rPr>
                <w:rFonts w:ascii="Cambria" w:hAnsi="Cambria"/>
              </w:rPr>
            </w:pPr>
            <w:r w:rsidRPr="00055DD8">
              <w:rPr>
                <w:rFonts w:ascii="Cambria" w:hAnsi="Cambria"/>
                <w:b/>
                <w:bCs/>
              </w:rPr>
              <w:t>Community Building</w:t>
            </w:r>
            <w:r w:rsidRPr="00055DD8">
              <w:rPr>
                <w:rFonts w:ascii="Cambria" w:hAnsi="Cambria" w:cs="Calibri"/>
                <w:b/>
                <w:bCs/>
              </w:rPr>
              <w:t>.</w:t>
            </w:r>
            <w:r w:rsidRPr="00055DD8">
              <w:rPr>
                <w:rFonts w:ascii="Cambria" w:hAnsi="Cambria" w:cs="Calibri"/>
              </w:rPr>
              <w:t xml:space="preserve">  </w:t>
            </w:r>
            <w:r w:rsidRPr="00055DD8">
              <w:rPr>
                <w:rFonts w:ascii="Cambria" w:hAnsi="Cambria"/>
              </w:rPr>
              <w:t xml:space="preserve">Moderated and led by the BCOP Executive Committee. </w:t>
            </w:r>
          </w:p>
          <w:p w14:paraId="069A4EFC" w14:textId="77777777" w:rsidR="00055DD8" w:rsidRPr="00055DD8" w:rsidRDefault="00055DD8" w:rsidP="00DE4BE5">
            <w:pPr>
              <w:jc w:val="both"/>
              <w:rPr>
                <w:rFonts w:ascii="Cambria" w:hAnsi="Cambria"/>
              </w:rPr>
            </w:pPr>
            <w:r w:rsidRPr="00055DD8">
              <w:rPr>
                <w:rFonts w:ascii="Cambria" w:hAnsi="Cambria"/>
                <w:b/>
                <w:bCs/>
              </w:rPr>
              <w:t>-  Learnings related to content of meeting</w:t>
            </w:r>
            <w:r w:rsidRPr="00055DD8">
              <w:rPr>
                <w:rFonts w:ascii="Cambria" w:hAnsi="Cambria"/>
              </w:rPr>
              <w:t>: Tables to be given 10 minutes to provide their learnings and to give feedback on how we can improve PEMPAL BCOP meetings</w:t>
            </w:r>
          </w:p>
          <w:p w14:paraId="481D6197" w14:textId="77777777" w:rsidR="00055DD8" w:rsidRPr="00055DD8" w:rsidRDefault="00055DD8" w:rsidP="00DE4BE5">
            <w:pPr>
              <w:jc w:val="both"/>
              <w:rPr>
                <w:rFonts w:ascii="Cambria" w:hAnsi="Cambria"/>
              </w:rPr>
            </w:pPr>
            <w:r w:rsidRPr="00055DD8">
              <w:rPr>
                <w:rFonts w:ascii="Cambria" w:hAnsi="Cambria"/>
                <w:b/>
                <w:bCs/>
              </w:rPr>
              <w:t>- Social report on meeting and certificate/picture distribution</w:t>
            </w:r>
            <w:r w:rsidRPr="00055DD8">
              <w:rPr>
                <w:rFonts w:ascii="Cambria" w:hAnsi="Cambria"/>
              </w:rPr>
              <w:t>, PEMPAL Secretariat</w:t>
            </w:r>
            <w:r w:rsidRPr="00055DD8">
              <w:rPr>
                <w:rFonts w:ascii="Cambria" w:hAnsi="Cambria"/>
                <w:b/>
                <w:bCs/>
              </w:rPr>
              <w:t xml:space="preserve"> </w:t>
            </w:r>
          </w:p>
        </w:tc>
      </w:tr>
      <w:tr w:rsidR="00055DD8" w:rsidRPr="00055DD8" w14:paraId="70250297" w14:textId="77777777" w:rsidTr="00DE4BE5">
        <w:trPr>
          <w:trHeight w:val="359"/>
        </w:trPr>
        <w:tc>
          <w:tcPr>
            <w:tcW w:w="1530" w:type="dxa"/>
            <w:shd w:val="clear" w:color="auto" w:fill="BFBFBF" w:themeFill="background1" w:themeFillShade="BF"/>
          </w:tcPr>
          <w:p w14:paraId="6BA0E4A4" w14:textId="77777777" w:rsidR="00055DD8" w:rsidRPr="00055DD8" w:rsidRDefault="00055DD8" w:rsidP="00DE4BE5">
            <w:pPr>
              <w:jc w:val="both"/>
              <w:rPr>
                <w:rFonts w:ascii="Cambria" w:hAnsi="Cambria"/>
              </w:rPr>
            </w:pPr>
            <w:r w:rsidRPr="00055DD8">
              <w:rPr>
                <w:rFonts w:ascii="Cambria" w:hAnsi="Cambria"/>
              </w:rPr>
              <w:t>19.00</w:t>
            </w:r>
          </w:p>
        </w:tc>
        <w:tc>
          <w:tcPr>
            <w:tcW w:w="8280" w:type="dxa"/>
            <w:shd w:val="clear" w:color="auto" w:fill="BFBFBF" w:themeFill="background1" w:themeFillShade="BF"/>
          </w:tcPr>
          <w:p w14:paraId="16706024" w14:textId="77777777" w:rsidR="00055DD8" w:rsidRPr="00055DD8" w:rsidRDefault="00055DD8" w:rsidP="00DE4BE5">
            <w:pPr>
              <w:jc w:val="both"/>
              <w:rPr>
                <w:rFonts w:ascii="Cambria" w:hAnsi="Cambria"/>
              </w:rPr>
            </w:pPr>
            <w:r w:rsidRPr="00055DD8">
              <w:rPr>
                <w:rFonts w:ascii="Cambria" w:hAnsi="Cambria"/>
              </w:rPr>
              <w:t xml:space="preserve">Dinner in the hotel </w:t>
            </w:r>
          </w:p>
        </w:tc>
      </w:tr>
    </w:tbl>
    <w:p w14:paraId="56E15FED" w14:textId="77777777" w:rsidR="00055DD8" w:rsidRPr="00055DD8" w:rsidRDefault="00055DD8" w:rsidP="00055DD8">
      <w:pPr>
        <w:rPr>
          <w:rFonts w:ascii="Cambria" w:hAnsi="Cambria"/>
          <w:b/>
          <w:u w:val="single"/>
        </w:rPr>
      </w:pPr>
    </w:p>
    <w:p w14:paraId="1F29F7B8" w14:textId="77777777" w:rsidR="00055DD8" w:rsidRPr="00055DD8" w:rsidRDefault="00055DD8" w:rsidP="00055DD8">
      <w:pPr>
        <w:rPr>
          <w:rFonts w:ascii="Cambria" w:hAnsi="Cambria"/>
          <w:b/>
          <w:bCs/>
          <w:u w:val="single"/>
        </w:rPr>
      </w:pPr>
      <w:r w:rsidRPr="00055DD8">
        <w:rPr>
          <w:rFonts w:ascii="Cambria" w:hAnsi="Cambria"/>
          <w:b/>
          <w:bCs/>
          <w:u w:val="single"/>
        </w:rPr>
        <w:t>Saturday March 17 Departures</w:t>
      </w:r>
    </w:p>
    <w:p w14:paraId="2811018C" w14:textId="77777777" w:rsidR="00055DD8" w:rsidRPr="00E402D1" w:rsidRDefault="00055DD8" w:rsidP="00055DD8">
      <w:pPr>
        <w:rPr>
          <w:rFonts w:ascii="Cambria" w:hAnsi="Cambria"/>
          <w:b/>
        </w:rPr>
      </w:pPr>
    </w:p>
    <w:p w14:paraId="3CC8C55E" w14:textId="77777777" w:rsidR="009B445F" w:rsidRDefault="009B445F" w:rsidP="009B445F">
      <w:pPr>
        <w:jc w:val="center"/>
        <w:rPr>
          <w:rFonts w:ascii="Times New Roman" w:hAnsi="Times New Roman" w:cs="Times New Roman"/>
          <w:b/>
          <w:color w:val="000000" w:themeColor="text1"/>
          <w:sz w:val="20"/>
          <w:szCs w:val="20"/>
        </w:rPr>
      </w:pPr>
    </w:p>
    <w:sectPr w:rsidR="009B445F" w:rsidSect="001220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5F17B" w14:textId="77777777" w:rsidR="009105EE" w:rsidRDefault="009105EE" w:rsidP="00642AD0">
      <w:pPr>
        <w:spacing w:after="0" w:line="240" w:lineRule="auto"/>
      </w:pPr>
      <w:r>
        <w:separator/>
      </w:r>
    </w:p>
  </w:endnote>
  <w:endnote w:type="continuationSeparator" w:id="0">
    <w:p w14:paraId="432A03EF" w14:textId="77777777" w:rsidR="009105EE" w:rsidRDefault="009105EE"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68EE" w14:textId="77777777" w:rsidR="00C811EB" w:rsidRDefault="00C811EB" w:rsidP="00DE4B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231B2" w14:textId="77777777" w:rsidR="00C811EB" w:rsidRDefault="00C811EB" w:rsidP="00066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88DF" w14:textId="5660581C" w:rsidR="00C811EB" w:rsidRDefault="00C811EB" w:rsidP="00DE4B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AB9">
      <w:rPr>
        <w:rStyle w:val="PageNumber"/>
        <w:noProof/>
      </w:rPr>
      <w:t>13</w:t>
    </w:r>
    <w:r>
      <w:rPr>
        <w:rStyle w:val="PageNumber"/>
      </w:rPr>
      <w:fldChar w:fldCharType="end"/>
    </w:r>
  </w:p>
  <w:p w14:paraId="212986D6" w14:textId="77777777" w:rsidR="00C811EB" w:rsidRDefault="00C811EB" w:rsidP="00066E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3493" w14:textId="77777777" w:rsidR="009105EE" w:rsidRDefault="009105EE" w:rsidP="00642AD0">
      <w:pPr>
        <w:spacing w:after="0" w:line="240" w:lineRule="auto"/>
      </w:pPr>
      <w:r>
        <w:separator/>
      </w:r>
    </w:p>
  </w:footnote>
  <w:footnote w:type="continuationSeparator" w:id="0">
    <w:p w14:paraId="240AF8C8" w14:textId="77777777" w:rsidR="009105EE" w:rsidRDefault="009105EE"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E6F8" w14:textId="65466B77" w:rsidR="00C811EB" w:rsidRPr="00224788" w:rsidRDefault="00C811EB" w:rsidP="00224788">
    <w:pPr>
      <w:pStyle w:val="Header"/>
    </w:pPr>
    <w:r w:rsidRPr="00DE4854">
      <w:rPr>
        <w:noProof/>
      </w:rPr>
      <w:drawing>
        <wp:inline distT="0" distB="0" distL="0" distR="0" wp14:anchorId="5995A466" wp14:editId="50506185">
          <wp:extent cx="6401435" cy="594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773" cy="604321"/>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3B9B" w14:textId="77777777" w:rsidR="00C811EB" w:rsidRPr="00224788" w:rsidRDefault="00C811E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B78E5"/>
    <w:multiLevelType w:val="hybridMultilevel"/>
    <w:tmpl w:val="5DCA9BBA"/>
    <w:lvl w:ilvl="0" w:tplc="4E883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150F3"/>
    <w:multiLevelType w:val="hybridMultilevel"/>
    <w:tmpl w:val="5EC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2029"/>
    <w:multiLevelType w:val="hybridMultilevel"/>
    <w:tmpl w:val="D5F2535A"/>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099C"/>
    <w:multiLevelType w:val="hybridMultilevel"/>
    <w:tmpl w:val="889E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4995"/>
    <w:multiLevelType w:val="hybridMultilevel"/>
    <w:tmpl w:val="8D2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A2070"/>
    <w:multiLevelType w:val="hybridMultilevel"/>
    <w:tmpl w:val="01A8C7F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6B40D3A2">
      <w:start w:val="1"/>
      <w:numFmt w:val="decimal"/>
      <w:lvlText w:val="%3."/>
      <w:lvlJc w:val="left"/>
      <w:pPr>
        <w:ind w:left="1800" w:hanging="360"/>
      </w:pPr>
      <w:rPr>
        <w:rFonts w:hint="default"/>
      </w:rPr>
    </w:lvl>
    <w:lvl w:ilvl="3" w:tplc="5A667E6A">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6" w15:restartNumberingAfterBreak="0">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B25512"/>
    <w:multiLevelType w:val="hybridMultilevel"/>
    <w:tmpl w:val="8E026330"/>
    <w:lvl w:ilvl="0" w:tplc="22183584">
      <w:start w:val="1"/>
      <w:numFmt w:val="decimal"/>
      <w:lvlText w:val="%1."/>
      <w:lvlJc w:val="left"/>
      <w:pPr>
        <w:ind w:left="780" w:hanging="4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3382C"/>
    <w:multiLevelType w:val="hybridMultilevel"/>
    <w:tmpl w:val="CE2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42"/>
  </w:num>
  <w:num w:numId="4">
    <w:abstractNumId w:val="36"/>
  </w:num>
  <w:num w:numId="5">
    <w:abstractNumId w:val="12"/>
  </w:num>
  <w:num w:numId="6">
    <w:abstractNumId w:val="43"/>
  </w:num>
  <w:num w:numId="7">
    <w:abstractNumId w:val="45"/>
  </w:num>
  <w:num w:numId="8">
    <w:abstractNumId w:val="35"/>
  </w:num>
  <w:num w:numId="9">
    <w:abstractNumId w:val="6"/>
  </w:num>
  <w:num w:numId="10">
    <w:abstractNumId w:val="34"/>
  </w:num>
  <w:num w:numId="11">
    <w:abstractNumId w:val="19"/>
  </w:num>
  <w:num w:numId="12">
    <w:abstractNumId w:val="30"/>
  </w:num>
  <w:num w:numId="13">
    <w:abstractNumId w:val="21"/>
  </w:num>
  <w:num w:numId="14">
    <w:abstractNumId w:val="7"/>
  </w:num>
  <w:num w:numId="15">
    <w:abstractNumId w:val="31"/>
  </w:num>
  <w:num w:numId="16">
    <w:abstractNumId w:val="32"/>
  </w:num>
  <w:num w:numId="17">
    <w:abstractNumId w:val="24"/>
  </w:num>
  <w:num w:numId="18">
    <w:abstractNumId w:val="23"/>
  </w:num>
  <w:num w:numId="19">
    <w:abstractNumId w:val="13"/>
  </w:num>
  <w:num w:numId="20">
    <w:abstractNumId w:val="26"/>
  </w:num>
  <w:num w:numId="21">
    <w:abstractNumId w:val="41"/>
  </w:num>
  <w:num w:numId="22">
    <w:abstractNumId w:val="29"/>
  </w:num>
  <w:num w:numId="23">
    <w:abstractNumId w:val="28"/>
  </w:num>
  <w:num w:numId="24">
    <w:abstractNumId w:val="2"/>
  </w:num>
  <w:num w:numId="25">
    <w:abstractNumId w:val="27"/>
  </w:num>
  <w:num w:numId="26">
    <w:abstractNumId w:val="5"/>
  </w:num>
  <w:num w:numId="27">
    <w:abstractNumId w:val="11"/>
  </w:num>
  <w:num w:numId="28">
    <w:abstractNumId w:val="20"/>
  </w:num>
  <w:num w:numId="29">
    <w:abstractNumId w:val="15"/>
  </w:num>
  <w:num w:numId="30">
    <w:abstractNumId w:val="25"/>
  </w:num>
  <w:num w:numId="31">
    <w:abstractNumId w:val="22"/>
  </w:num>
  <w:num w:numId="32">
    <w:abstractNumId w:val="16"/>
  </w:num>
  <w:num w:numId="33">
    <w:abstractNumId w:val="37"/>
  </w:num>
  <w:num w:numId="34">
    <w:abstractNumId w:val="0"/>
  </w:num>
  <w:num w:numId="35">
    <w:abstractNumId w:val="17"/>
  </w:num>
  <w:num w:numId="36">
    <w:abstractNumId w:val="44"/>
  </w:num>
  <w:num w:numId="37">
    <w:abstractNumId w:val="40"/>
  </w:num>
  <w:num w:numId="38">
    <w:abstractNumId w:val="10"/>
  </w:num>
  <w:num w:numId="39">
    <w:abstractNumId w:val="14"/>
  </w:num>
  <w:num w:numId="40">
    <w:abstractNumId w:val="33"/>
  </w:num>
  <w:num w:numId="41">
    <w:abstractNumId w:val="1"/>
  </w:num>
  <w:num w:numId="42">
    <w:abstractNumId w:val="3"/>
  </w:num>
  <w:num w:numId="43">
    <w:abstractNumId w:val="39"/>
  </w:num>
  <w:num w:numId="44">
    <w:abstractNumId w:val="38"/>
  </w:num>
  <w:num w:numId="45">
    <w:abstractNumId w:val="8"/>
  </w:num>
  <w:num w:numId="4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1EC6"/>
    <w:rsid w:val="000B5DD5"/>
    <w:rsid w:val="000B5F00"/>
    <w:rsid w:val="000C2C74"/>
    <w:rsid w:val="000C6C9F"/>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7FF3"/>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203C3F"/>
    <w:rsid w:val="00205313"/>
    <w:rsid w:val="002106AB"/>
    <w:rsid w:val="002132D6"/>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A98"/>
    <w:rsid w:val="00263C7A"/>
    <w:rsid w:val="00264A4A"/>
    <w:rsid w:val="00264C51"/>
    <w:rsid w:val="002671B6"/>
    <w:rsid w:val="00271418"/>
    <w:rsid w:val="00272414"/>
    <w:rsid w:val="002727A6"/>
    <w:rsid w:val="00274D52"/>
    <w:rsid w:val="00283A66"/>
    <w:rsid w:val="00292286"/>
    <w:rsid w:val="00297554"/>
    <w:rsid w:val="002B02F1"/>
    <w:rsid w:val="002B139F"/>
    <w:rsid w:val="002B583E"/>
    <w:rsid w:val="002C3A23"/>
    <w:rsid w:val="002C5AE8"/>
    <w:rsid w:val="002C64AF"/>
    <w:rsid w:val="002D1A35"/>
    <w:rsid w:val="002D4A90"/>
    <w:rsid w:val="002D4B7F"/>
    <w:rsid w:val="002E3D7D"/>
    <w:rsid w:val="002F7AA0"/>
    <w:rsid w:val="00301F96"/>
    <w:rsid w:val="00304158"/>
    <w:rsid w:val="0030419B"/>
    <w:rsid w:val="00304E13"/>
    <w:rsid w:val="00306A70"/>
    <w:rsid w:val="0031239A"/>
    <w:rsid w:val="00313A8E"/>
    <w:rsid w:val="00314013"/>
    <w:rsid w:val="00317311"/>
    <w:rsid w:val="0033328B"/>
    <w:rsid w:val="00335202"/>
    <w:rsid w:val="0033579C"/>
    <w:rsid w:val="00336B9D"/>
    <w:rsid w:val="00337A0C"/>
    <w:rsid w:val="0035175D"/>
    <w:rsid w:val="003609AC"/>
    <w:rsid w:val="00370C23"/>
    <w:rsid w:val="00370D5B"/>
    <w:rsid w:val="0037189A"/>
    <w:rsid w:val="0037228F"/>
    <w:rsid w:val="0037309B"/>
    <w:rsid w:val="003732C2"/>
    <w:rsid w:val="00384434"/>
    <w:rsid w:val="00387935"/>
    <w:rsid w:val="00390454"/>
    <w:rsid w:val="00391987"/>
    <w:rsid w:val="0039606E"/>
    <w:rsid w:val="0039769D"/>
    <w:rsid w:val="00397A5D"/>
    <w:rsid w:val="003A0FD5"/>
    <w:rsid w:val="003B23D6"/>
    <w:rsid w:val="003B4FB8"/>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36F38"/>
    <w:rsid w:val="0044374A"/>
    <w:rsid w:val="00445615"/>
    <w:rsid w:val="00450643"/>
    <w:rsid w:val="00456201"/>
    <w:rsid w:val="00460E36"/>
    <w:rsid w:val="00463329"/>
    <w:rsid w:val="004644C6"/>
    <w:rsid w:val="004707FE"/>
    <w:rsid w:val="00471CE5"/>
    <w:rsid w:val="00474326"/>
    <w:rsid w:val="0047651B"/>
    <w:rsid w:val="004810FB"/>
    <w:rsid w:val="004815AA"/>
    <w:rsid w:val="004835C2"/>
    <w:rsid w:val="00483FE8"/>
    <w:rsid w:val="00490BB7"/>
    <w:rsid w:val="00491ACE"/>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6BF0"/>
    <w:rsid w:val="005270C8"/>
    <w:rsid w:val="00534E3D"/>
    <w:rsid w:val="00536DCC"/>
    <w:rsid w:val="00540D27"/>
    <w:rsid w:val="005416B6"/>
    <w:rsid w:val="0054313C"/>
    <w:rsid w:val="00544F85"/>
    <w:rsid w:val="005454F0"/>
    <w:rsid w:val="00550618"/>
    <w:rsid w:val="00551A2D"/>
    <w:rsid w:val="00556A43"/>
    <w:rsid w:val="005607DF"/>
    <w:rsid w:val="00564B7B"/>
    <w:rsid w:val="00565F1E"/>
    <w:rsid w:val="00566381"/>
    <w:rsid w:val="00570521"/>
    <w:rsid w:val="00570BC0"/>
    <w:rsid w:val="0057175E"/>
    <w:rsid w:val="00573A7E"/>
    <w:rsid w:val="00575201"/>
    <w:rsid w:val="0057684B"/>
    <w:rsid w:val="00577F0C"/>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3DDE"/>
    <w:rsid w:val="006941D4"/>
    <w:rsid w:val="006A183A"/>
    <w:rsid w:val="006A456D"/>
    <w:rsid w:val="006A556A"/>
    <w:rsid w:val="006A7997"/>
    <w:rsid w:val="006B1983"/>
    <w:rsid w:val="006B2219"/>
    <w:rsid w:val="006B2594"/>
    <w:rsid w:val="006B45C9"/>
    <w:rsid w:val="006B6752"/>
    <w:rsid w:val="006C16DB"/>
    <w:rsid w:val="006C3DE1"/>
    <w:rsid w:val="006D6955"/>
    <w:rsid w:val="006D69CC"/>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18B7"/>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391B"/>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6ACD"/>
    <w:rsid w:val="008C03C7"/>
    <w:rsid w:val="008D0207"/>
    <w:rsid w:val="008D13DC"/>
    <w:rsid w:val="008D5A56"/>
    <w:rsid w:val="008E4C88"/>
    <w:rsid w:val="008F0C40"/>
    <w:rsid w:val="008F191F"/>
    <w:rsid w:val="008F3DD8"/>
    <w:rsid w:val="008F4DAA"/>
    <w:rsid w:val="008F6B3D"/>
    <w:rsid w:val="009034EA"/>
    <w:rsid w:val="00903B65"/>
    <w:rsid w:val="009105EE"/>
    <w:rsid w:val="00916A9D"/>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71A17"/>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F14A3"/>
    <w:rsid w:val="009F67BA"/>
    <w:rsid w:val="009F71BB"/>
    <w:rsid w:val="009F7E36"/>
    <w:rsid w:val="00A031F5"/>
    <w:rsid w:val="00A07747"/>
    <w:rsid w:val="00A14983"/>
    <w:rsid w:val="00A1696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5CD"/>
    <w:rsid w:val="00AA7738"/>
    <w:rsid w:val="00AA797F"/>
    <w:rsid w:val="00AB2C3F"/>
    <w:rsid w:val="00AB3A46"/>
    <w:rsid w:val="00AB4033"/>
    <w:rsid w:val="00AB43C1"/>
    <w:rsid w:val="00AB5AF1"/>
    <w:rsid w:val="00AB5BD2"/>
    <w:rsid w:val="00AC1729"/>
    <w:rsid w:val="00AC2858"/>
    <w:rsid w:val="00AC3BD9"/>
    <w:rsid w:val="00AC5D9F"/>
    <w:rsid w:val="00AC5E6A"/>
    <w:rsid w:val="00AC5EF1"/>
    <w:rsid w:val="00AC795B"/>
    <w:rsid w:val="00AD36DD"/>
    <w:rsid w:val="00AD77D6"/>
    <w:rsid w:val="00AE083A"/>
    <w:rsid w:val="00AE2825"/>
    <w:rsid w:val="00AE5AB4"/>
    <w:rsid w:val="00AE667E"/>
    <w:rsid w:val="00AF2FBB"/>
    <w:rsid w:val="00AF3907"/>
    <w:rsid w:val="00AF68A1"/>
    <w:rsid w:val="00B01071"/>
    <w:rsid w:val="00B013D8"/>
    <w:rsid w:val="00B10C35"/>
    <w:rsid w:val="00B11834"/>
    <w:rsid w:val="00B12DE2"/>
    <w:rsid w:val="00B13A49"/>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55A8"/>
    <w:rsid w:val="00BD688B"/>
    <w:rsid w:val="00BD7CE5"/>
    <w:rsid w:val="00BE07E2"/>
    <w:rsid w:val="00BE0D60"/>
    <w:rsid w:val="00BE23BE"/>
    <w:rsid w:val="00BE2C22"/>
    <w:rsid w:val="00BE3622"/>
    <w:rsid w:val="00BE698D"/>
    <w:rsid w:val="00BF3395"/>
    <w:rsid w:val="00BF5D2D"/>
    <w:rsid w:val="00BF6D26"/>
    <w:rsid w:val="00C00873"/>
    <w:rsid w:val="00C013A0"/>
    <w:rsid w:val="00C020C4"/>
    <w:rsid w:val="00C066AF"/>
    <w:rsid w:val="00C10B36"/>
    <w:rsid w:val="00C111DC"/>
    <w:rsid w:val="00C13264"/>
    <w:rsid w:val="00C167D8"/>
    <w:rsid w:val="00C24861"/>
    <w:rsid w:val="00C33364"/>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9121F"/>
    <w:rsid w:val="00C95F26"/>
    <w:rsid w:val="00CA508E"/>
    <w:rsid w:val="00CB01B0"/>
    <w:rsid w:val="00CB02C7"/>
    <w:rsid w:val="00CB1181"/>
    <w:rsid w:val="00CB2CF0"/>
    <w:rsid w:val="00CB4445"/>
    <w:rsid w:val="00CB5777"/>
    <w:rsid w:val="00CC6F5F"/>
    <w:rsid w:val="00CC72E6"/>
    <w:rsid w:val="00CC79AE"/>
    <w:rsid w:val="00CC7BE0"/>
    <w:rsid w:val="00CD38C8"/>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3415"/>
    <w:rsid w:val="00D82615"/>
    <w:rsid w:val="00D84608"/>
    <w:rsid w:val="00D8694B"/>
    <w:rsid w:val="00D87A07"/>
    <w:rsid w:val="00D907DD"/>
    <w:rsid w:val="00D94176"/>
    <w:rsid w:val="00D956F3"/>
    <w:rsid w:val="00D97BA5"/>
    <w:rsid w:val="00DB2216"/>
    <w:rsid w:val="00DB4C5E"/>
    <w:rsid w:val="00DB698C"/>
    <w:rsid w:val="00DC270D"/>
    <w:rsid w:val="00DC2F35"/>
    <w:rsid w:val="00DC4AB6"/>
    <w:rsid w:val="00DD3471"/>
    <w:rsid w:val="00DD687C"/>
    <w:rsid w:val="00DE1010"/>
    <w:rsid w:val="00DE11F5"/>
    <w:rsid w:val="00DE3B6A"/>
    <w:rsid w:val="00DE4BE5"/>
    <w:rsid w:val="00DF11F0"/>
    <w:rsid w:val="00DF135F"/>
    <w:rsid w:val="00DF7081"/>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DD6"/>
    <w:rsid w:val="00F57F02"/>
    <w:rsid w:val="00F62D35"/>
    <w:rsid w:val="00F652EE"/>
    <w:rsid w:val="00F6610A"/>
    <w:rsid w:val="00F70899"/>
    <w:rsid w:val="00F71597"/>
    <w:rsid w:val="00F72140"/>
    <w:rsid w:val="00F748B0"/>
    <w:rsid w:val="00F75BA0"/>
    <w:rsid w:val="00F83826"/>
    <w:rsid w:val="00F921CD"/>
    <w:rsid w:val="00FA2B9D"/>
    <w:rsid w:val="00FA67F7"/>
    <w:rsid w:val="00FB79BD"/>
    <w:rsid w:val="00FD518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earch.worldbank.org/skillfinder/ppl_profile_new/0000225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mpal.org/events/bcop-plenary-mee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20D778-D578-164D-ABB0-1C9083F2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9993</Words>
  <Characters>56961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66821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Naida Čaršimamović</cp:lastModifiedBy>
  <cp:revision>2</cp:revision>
  <cp:lastPrinted>2017-04-23T16:21:00Z</cp:lastPrinted>
  <dcterms:created xsi:type="dcterms:W3CDTF">2018-05-08T12:06:00Z</dcterms:created>
  <dcterms:modified xsi:type="dcterms:W3CDTF">2018-05-08T12:06:00Z</dcterms:modified>
  <cp:category/>
</cp:coreProperties>
</file>