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B83AB" w14:textId="77777777" w:rsidR="006312AF" w:rsidRPr="00AA75CD" w:rsidRDefault="006312AF" w:rsidP="00035C5A">
      <w:pPr>
        <w:jc w:val="center"/>
        <w:rPr>
          <w:rFonts w:ascii="Times New Roman" w:eastAsia="Times New Roman" w:hAnsi="Times New Roman" w:cs="Times New Roman"/>
          <w:b/>
          <w:color w:val="0070C0"/>
          <w:sz w:val="30"/>
          <w:szCs w:val="30"/>
          <w:lang w:eastAsia="bs-Latn-BA"/>
        </w:rPr>
      </w:pPr>
    </w:p>
    <w:p w14:paraId="39C6D245" w14:textId="77777777" w:rsidR="00822854" w:rsidRPr="00AA75CD" w:rsidRDefault="00304158" w:rsidP="00035C5A">
      <w:pPr>
        <w:jc w:val="center"/>
        <w:rPr>
          <w:rFonts w:ascii="Times New Roman" w:eastAsia="Times New Roman" w:hAnsi="Times New Roman" w:cs="Times New Roman"/>
          <w:b/>
          <w:color w:val="0070C0"/>
          <w:sz w:val="30"/>
          <w:szCs w:val="30"/>
        </w:rPr>
      </w:pPr>
      <w:r>
        <w:rPr>
          <w:rFonts w:ascii="Times New Roman" w:hAnsi="Times New Roman"/>
          <w:b/>
          <w:color w:val="0070C0"/>
          <w:sz w:val="30"/>
          <w:szCs w:val="30"/>
        </w:rPr>
        <w:t xml:space="preserve">Godišnja plenarna sjednica PEMPAL-ove Zajednice prakse za proračun – 14. - 16. ožujka 2018.: </w:t>
      </w:r>
    </w:p>
    <w:p w14:paraId="71DC3BE8" w14:textId="77777777" w:rsidR="00BC0AC5" w:rsidRDefault="00BC0AC5" w:rsidP="00035C5A">
      <w:pPr>
        <w:jc w:val="center"/>
        <w:rPr>
          <w:rFonts w:ascii="Times New Roman" w:hAnsi="Times New Roman"/>
          <w:b/>
          <w:color w:val="0070C0"/>
        </w:rPr>
      </w:pPr>
      <w:r>
        <w:rPr>
          <w:rFonts w:ascii="Times New Roman" w:hAnsi="Times New Roman"/>
          <w:b/>
          <w:color w:val="0070C0"/>
        </w:rPr>
        <w:t xml:space="preserve">UNAPRJEĐENJE UČINKOVITOSTI I ODGOVORNOSTI ZA JAVNE RASHODE: </w:t>
      </w:r>
    </w:p>
    <w:p w14:paraId="39663C6A" w14:textId="149D448B" w:rsidR="00822854" w:rsidRDefault="00BC0AC5" w:rsidP="00035C5A">
      <w:pPr>
        <w:jc w:val="center"/>
        <w:rPr>
          <w:rFonts w:ascii="Times New Roman" w:eastAsia="Times New Roman" w:hAnsi="Times New Roman" w:cs="Times New Roman"/>
          <w:b/>
          <w:color w:val="0070C0"/>
        </w:rPr>
      </w:pPr>
      <w:r>
        <w:rPr>
          <w:rFonts w:ascii="Times New Roman" w:hAnsi="Times New Roman"/>
          <w:b/>
          <w:color w:val="0070C0"/>
        </w:rPr>
        <w:t>T</w:t>
      </w:r>
      <w:r w:rsidR="00822854">
        <w:rPr>
          <w:rFonts w:ascii="Times New Roman" w:hAnsi="Times New Roman"/>
          <w:b/>
          <w:color w:val="0070C0"/>
        </w:rPr>
        <w:t xml:space="preserve">rendovi u međuvladinim fiskalnim odnosima, planiranju proračuna prema učinku i sudjelovanju u izradi proračuna </w:t>
      </w:r>
    </w:p>
    <w:p w14:paraId="25814F8D" w14:textId="7ADC7F90" w:rsidR="00D40C40" w:rsidRPr="00F528EF" w:rsidRDefault="00822854" w:rsidP="00035C5A">
      <w:pPr>
        <w:jc w:val="center"/>
        <w:rPr>
          <w:rFonts w:ascii="Times New Roman" w:eastAsia="Times New Roman" w:hAnsi="Times New Roman" w:cs="Times New Roman"/>
          <w:b/>
          <w:color w:val="0070C0"/>
        </w:rPr>
      </w:pPr>
      <w:r>
        <w:rPr>
          <w:rFonts w:ascii="Times New Roman" w:hAnsi="Times New Roman"/>
          <w:b/>
          <w:color w:val="0070C0"/>
        </w:rPr>
        <w:t>Beč, Austrija</w:t>
      </w:r>
    </w:p>
    <w:p w14:paraId="674D6A35" w14:textId="50800224" w:rsidR="00BC0FAF" w:rsidRPr="00F528EF" w:rsidRDefault="00BC0FAF" w:rsidP="00035C5A">
      <w:pPr>
        <w:jc w:val="center"/>
        <w:rPr>
          <w:rFonts w:ascii="Times New Roman" w:eastAsia="Times New Roman" w:hAnsi="Times New Roman" w:cs="Times New Roman"/>
          <w:b/>
          <w:color w:val="0070C0"/>
        </w:rPr>
      </w:pPr>
      <w:r>
        <w:rPr>
          <w:rFonts w:ascii="Times New Roman" w:hAnsi="Times New Roman"/>
          <w:b/>
          <w:color w:val="0070C0"/>
        </w:rPr>
        <w:t>IZVJEŠTAJ O SKUPU</w:t>
      </w:r>
    </w:p>
    <w:sdt>
      <w:sdtPr>
        <w:rPr>
          <w:rFonts w:ascii="Times New Roman" w:eastAsiaTheme="minorHAnsi" w:hAnsi="Times New Roman" w:cs="Times New Roman"/>
          <w:b w:val="0"/>
          <w:bCs w:val="0"/>
          <w:color w:val="auto"/>
          <w:sz w:val="24"/>
          <w:szCs w:val="24"/>
        </w:rPr>
        <w:id w:val="-140118596"/>
        <w:docPartObj>
          <w:docPartGallery w:val="Table of Contents"/>
          <w:docPartUnique/>
        </w:docPartObj>
      </w:sdtPr>
      <w:sdtEndPr>
        <w:rPr>
          <w:noProof/>
        </w:rPr>
      </w:sdtEndPr>
      <w:sdtContent>
        <w:p w14:paraId="125F1995" w14:textId="68C22A09" w:rsidR="00035C5A" w:rsidRPr="00AA75CD" w:rsidRDefault="00035C5A">
          <w:pPr>
            <w:pStyle w:val="TOCHeading"/>
            <w:rPr>
              <w:rFonts w:ascii="Times New Roman" w:hAnsi="Times New Roman" w:cs="Times New Roman"/>
              <w:bCs w:val="0"/>
              <w:sz w:val="24"/>
              <w:szCs w:val="24"/>
            </w:rPr>
          </w:pPr>
          <w:r>
            <w:rPr>
              <w:rFonts w:ascii="Times New Roman" w:hAnsi="Times New Roman"/>
              <w:bCs w:val="0"/>
              <w:sz w:val="24"/>
              <w:szCs w:val="24"/>
            </w:rPr>
            <w:t>Sadržaj</w:t>
          </w:r>
        </w:p>
        <w:p w14:paraId="23BF1C37" w14:textId="77777777" w:rsidR="001F474D" w:rsidRDefault="00035C5A">
          <w:pPr>
            <w:pStyle w:val="TOC1"/>
            <w:rPr>
              <w:rFonts w:eastAsiaTheme="minorEastAsia"/>
              <w:b w:val="0"/>
              <w:bCs w:val="0"/>
              <w:noProof/>
              <w:sz w:val="22"/>
              <w:szCs w:val="22"/>
              <w:lang w:eastAsia="hr-HR"/>
            </w:rPr>
          </w:pPr>
          <w:r w:rsidRPr="00AA75CD">
            <w:rPr>
              <w:rFonts w:ascii="Times New Roman" w:hAnsi="Times New Roman" w:cs="Times New Roman"/>
            </w:rPr>
            <w:fldChar w:fldCharType="begin"/>
          </w:r>
          <w:r w:rsidRPr="00AA75CD">
            <w:rPr>
              <w:rFonts w:ascii="Times New Roman" w:hAnsi="Times New Roman" w:cs="Times New Roman"/>
            </w:rPr>
            <w:instrText xml:space="preserve"> TOC \o "1-3" \h \z \u </w:instrText>
          </w:r>
          <w:r w:rsidRPr="00AA75CD">
            <w:rPr>
              <w:rFonts w:ascii="Times New Roman" w:hAnsi="Times New Roman" w:cs="Times New Roman"/>
            </w:rPr>
            <w:fldChar w:fldCharType="separate"/>
          </w:r>
          <w:hyperlink w:anchor="_Toc514226003" w:history="1">
            <w:r w:rsidR="001F474D" w:rsidRPr="00BD7E50">
              <w:rPr>
                <w:rStyle w:val="Hyperlink"/>
                <w:rFonts w:ascii="Times New Roman" w:eastAsia="Times New Roman" w:hAnsi="Times New Roman" w:cs="Times New Roman"/>
                <w:noProof/>
              </w:rPr>
              <w:t>1.</w:t>
            </w:r>
            <w:r w:rsidR="001F474D">
              <w:rPr>
                <w:rFonts w:eastAsiaTheme="minorEastAsia"/>
                <w:b w:val="0"/>
                <w:bCs w:val="0"/>
                <w:noProof/>
                <w:sz w:val="22"/>
                <w:szCs w:val="22"/>
                <w:lang w:eastAsia="hr-HR"/>
              </w:rPr>
              <w:tab/>
            </w:r>
            <w:r w:rsidR="001F474D" w:rsidRPr="00BD7E50">
              <w:rPr>
                <w:rStyle w:val="Hyperlink"/>
                <w:rFonts w:ascii="Times New Roman" w:hAnsi="Times New Roman"/>
                <w:noProof/>
              </w:rPr>
              <w:t>Pozadina</w:t>
            </w:r>
            <w:r w:rsidR="001F474D">
              <w:rPr>
                <w:noProof/>
                <w:webHidden/>
              </w:rPr>
              <w:tab/>
            </w:r>
            <w:r w:rsidR="001F474D">
              <w:rPr>
                <w:noProof/>
                <w:webHidden/>
              </w:rPr>
              <w:fldChar w:fldCharType="begin"/>
            </w:r>
            <w:r w:rsidR="001F474D">
              <w:rPr>
                <w:noProof/>
                <w:webHidden/>
              </w:rPr>
              <w:instrText xml:space="preserve"> PAGEREF _Toc514226003 \h </w:instrText>
            </w:r>
            <w:r w:rsidR="001F474D">
              <w:rPr>
                <w:noProof/>
                <w:webHidden/>
              </w:rPr>
            </w:r>
            <w:r w:rsidR="001F474D">
              <w:rPr>
                <w:noProof/>
                <w:webHidden/>
              </w:rPr>
              <w:fldChar w:fldCharType="separate"/>
            </w:r>
            <w:r w:rsidR="001F474D">
              <w:rPr>
                <w:noProof/>
                <w:webHidden/>
              </w:rPr>
              <w:t>1</w:t>
            </w:r>
            <w:r w:rsidR="001F474D">
              <w:rPr>
                <w:noProof/>
                <w:webHidden/>
              </w:rPr>
              <w:fldChar w:fldCharType="end"/>
            </w:r>
          </w:hyperlink>
        </w:p>
        <w:p w14:paraId="75AA24CC" w14:textId="77777777" w:rsidR="001F474D" w:rsidRDefault="001F474D">
          <w:pPr>
            <w:pStyle w:val="TOC3"/>
            <w:rPr>
              <w:rFonts w:asciiTheme="minorHAnsi" w:eastAsiaTheme="minorEastAsia" w:hAnsiTheme="minorHAnsi" w:cstheme="minorBidi"/>
              <w:color w:val="auto"/>
              <w:lang w:eastAsia="hr-HR"/>
            </w:rPr>
          </w:pPr>
          <w:hyperlink w:anchor="_Toc514226004" w:history="1">
            <w:r w:rsidRPr="00BD7E50">
              <w:rPr>
                <w:rStyle w:val="Hyperlink"/>
                <w:b/>
              </w:rPr>
              <w:t>Ciljevi i sudionici skupa</w:t>
            </w:r>
            <w:r>
              <w:rPr>
                <w:webHidden/>
              </w:rPr>
              <w:tab/>
            </w:r>
            <w:r>
              <w:rPr>
                <w:webHidden/>
              </w:rPr>
              <w:fldChar w:fldCharType="begin"/>
            </w:r>
            <w:r>
              <w:rPr>
                <w:webHidden/>
              </w:rPr>
              <w:instrText xml:space="preserve"> PAGEREF _Toc514226004 \h </w:instrText>
            </w:r>
            <w:r>
              <w:rPr>
                <w:webHidden/>
              </w:rPr>
            </w:r>
            <w:r>
              <w:rPr>
                <w:webHidden/>
              </w:rPr>
              <w:fldChar w:fldCharType="separate"/>
            </w:r>
            <w:r>
              <w:rPr>
                <w:webHidden/>
              </w:rPr>
              <w:t>2</w:t>
            </w:r>
            <w:r>
              <w:rPr>
                <w:webHidden/>
              </w:rPr>
              <w:fldChar w:fldCharType="end"/>
            </w:r>
          </w:hyperlink>
        </w:p>
        <w:p w14:paraId="1B529681" w14:textId="77777777" w:rsidR="001F474D" w:rsidRDefault="001F474D">
          <w:pPr>
            <w:pStyle w:val="TOC1"/>
            <w:rPr>
              <w:rFonts w:eastAsiaTheme="minorEastAsia"/>
              <w:b w:val="0"/>
              <w:bCs w:val="0"/>
              <w:noProof/>
              <w:sz w:val="22"/>
              <w:szCs w:val="22"/>
              <w:lang w:eastAsia="hr-HR"/>
            </w:rPr>
          </w:pPr>
          <w:hyperlink w:anchor="_Toc514226005" w:history="1">
            <w:r w:rsidRPr="00BD7E50">
              <w:rPr>
                <w:rStyle w:val="Hyperlink"/>
                <w:rFonts w:ascii="Times New Roman" w:eastAsia="Times New Roman" w:hAnsi="Times New Roman" w:cs="Times New Roman"/>
                <w:noProof/>
              </w:rPr>
              <w:t>2.</w:t>
            </w:r>
            <w:r>
              <w:rPr>
                <w:rFonts w:eastAsiaTheme="minorEastAsia"/>
                <w:b w:val="0"/>
                <w:bCs w:val="0"/>
                <w:noProof/>
                <w:sz w:val="22"/>
                <w:szCs w:val="22"/>
                <w:lang w:eastAsia="hr-HR"/>
              </w:rPr>
              <w:tab/>
            </w:r>
            <w:r w:rsidRPr="00BD7E50">
              <w:rPr>
                <w:rStyle w:val="Hyperlink"/>
                <w:rFonts w:ascii="Times New Roman" w:hAnsi="Times New Roman"/>
                <w:noProof/>
              </w:rPr>
              <w:t>Pregled programa</w:t>
            </w:r>
            <w:r>
              <w:rPr>
                <w:noProof/>
                <w:webHidden/>
              </w:rPr>
              <w:tab/>
            </w:r>
            <w:r>
              <w:rPr>
                <w:noProof/>
                <w:webHidden/>
              </w:rPr>
              <w:fldChar w:fldCharType="begin"/>
            </w:r>
            <w:r>
              <w:rPr>
                <w:noProof/>
                <w:webHidden/>
              </w:rPr>
              <w:instrText xml:space="preserve"> PAGEREF _Toc514226005 \h </w:instrText>
            </w:r>
            <w:r>
              <w:rPr>
                <w:noProof/>
                <w:webHidden/>
              </w:rPr>
            </w:r>
            <w:r>
              <w:rPr>
                <w:noProof/>
                <w:webHidden/>
              </w:rPr>
              <w:fldChar w:fldCharType="separate"/>
            </w:r>
            <w:r>
              <w:rPr>
                <w:noProof/>
                <w:webHidden/>
              </w:rPr>
              <w:t>2</w:t>
            </w:r>
            <w:r>
              <w:rPr>
                <w:noProof/>
                <w:webHidden/>
              </w:rPr>
              <w:fldChar w:fldCharType="end"/>
            </w:r>
          </w:hyperlink>
        </w:p>
        <w:p w14:paraId="4A649806" w14:textId="77777777" w:rsidR="001F474D" w:rsidRDefault="001F474D">
          <w:pPr>
            <w:pStyle w:val="TOC1"/>
            <w:rPr>
              <w:rFonts w:eastAsiaTheme="minorEastAsia"/>
              <w:b w:val="0"/>
              <w:bCs w:val="0"/>
              <w:noProof/>
              <w:sz w:val="22"/>
              <w:szCs w:val="22"/>
              <w:lang w:eastAsia="hr-HR"/>
            </w:rPr>
          </w:pPr>
          <w:hyperlink w:anchor="_Toc514226006" w:history="1">
            <w:r w:rsidRPr="00BD7E50">
              <w:rPr>
                <w:rStyle w:val="Hyperlink"/>
                <w:rFonts w:ascii="Times New Roman" w:eastAsia="Times New Roman" w:hAnsi="Times New Roman" w:cs="Times New Roman"/>
                <w:noProof/>
              </w:rPr>
              <w:t>3.</w:t>
            </w:r>
            <w:r>
              <w:rPr>
                <w:rFonts w:eastAsiaTheme="minorEastAsia"/>
                <w:b w:val="0"/>
                <w:bCs w:val="0"/>
                <w:noProof/>
                <w:sz w:val="22"/>
                <w:szCs w:val="22"/>
                <w:lang w:eastAsia="hr-HR"/>
              </w:rPr>
              <w:tab/>
            </w:r>
            <w:r w:rsidRPr="00BD7E50">
              <w:rPr>
                <w:rStyle w:val="Hyperlink"/>
                <w:rFonts w:ascii="Times New Roman" w:hAnsi="Times New Roman"/>
                <w:noProof/>
              </w:rPr>
              <w:t>Prvi dan – Međuvladini fiskalni odnosi</w:t>
            </w:r>
            <w:r>
              <w:rPr>
                <w:noProof/>
                <w:webHidden/>
              </w:rPr>
              <w:tab/>
            </w:r>
            <w:r>
              <w:rPr>
                <w:noProof/>
                <w:webHidden/>
              </w:rPr>
              <w:fldChar w:fldCharType="begin"/>
            </w:r>
            <w:r>
              <w:rPr>
                <w:noProof/>
                <w:webHidden/>
              </w:rPr>
              <w:instrText xml:space="preserve"> PAGEREF _Toc514226006 \h </w:instrText>
            </w:r>
            <w:r>
              <w:rPr>
                <w:noProof/>
                <w:webHidden/>
              </w:rPr>
            </w:r>
            <w:r>
              <w:rPr>
                <w:noProof/>
                <w:webHidden/>
              </w:rPr>
              <w:fldChar w:fldCharType="separate"/>
            </w:r>
            <w:r>
              <w:rPr>
                <w:noProof/>
                <w:webHidden/>
              </w:rPr>
              <w:t>3</w:t>
            </w:r>
            <w:r>
              <w:rPr>
                <w:noProof/>
                <w:webHidden/>
              </w:rPr>
              <w:fldChar w:fldCharType="end"/>
            </w:r>
          </w:hyperlink>
        </w:p>
        <w:p w14:paraId="1028EAC2" w14:textId="77777777" w:rsidR="001F474D" w:rsidRDefault="001F474D">
          <w:pPr>
            <w:pStyle w:val="TOC3"/>
            <w:rPr>
              <w:rFonts w:asciiTheme="minorHAnsi" w:eastAsiaTheme="minorEastAsia" w:hAnsiTheme="minorHAnsi" w:cstheme="minorBidi"/>
              <w:color w:val="auto"/>
              <w:lang w:eastAsia="hr-HR"/>
            </w:rPr>
          </w:pPr>
          <w:hyperlink w:anchor="_Toc514226007" w:history="1">
            <w:r w:rsidRPr="00BD7E50">
              <w:rPr>
                <w:rStyle w:val="Hyperlink"/>
                <w:b/>
              </w:rPr>
              <w:t>Međuvladini fiskalni transferi: trendovi i izazovi u zemljama PEMPAL-a</w:t>
            </w:r>
            <w:r>
              <w:rPr>
                <w:webHidden/>
              </w:rPr>
              <w:tab/>
            </w:r>
            <w:r>
              <w:rPr>
                <w:webHidden/>
              </w:rPr>
              <w:fldChar w:fldCharType="begin"/>
            </w:r>
            <w:r>
              <w:rPr>
                <w:webHidden/>
              </w:rPr>
              <w:instrText xml:space="preserve"> PAGEREF _Toc514226007 \h </w:instrText>
            </w:r>
            <w:r>
              <w:rPr>
                <w:webHidden/>
              </w:rPr>
            </w:r>
            <w:r>
              <w:rPr>
                <w:webHidden/>
              </w:rPr>
              <w:fldChar w:fldCharType="separate"/>
            </w:r>
            <w:r>
              <w:rPr>
                <w:webHidden/>
              </w:rPr>
              <w:t>3</w:t>
            </w:r>
            <w:r>
              <w:rPr>
                <w:webHidden/>
              </w:rPr>
              <w:fldChar w:fldCharType="end"/>
            </w:r>
          </w:hyperlink>
        </w:p>
        <w:p w14:paraId="0CC2E062" w14:textId="77777777" w:rsidR="001F474D" w:rsidRDefault="001F474D">
          <w:pPr>
            <w:pStyle w:val="TOC3"/>
            <w:rPr>
              <w:rFonts w:asciiTheme="minorHAnsi" w:eastAsiaTheme="minorEastAsia" w:hAnsiTheme="minorHAnsi" w:cstheme="minorBidi"/>
              <w:color w:val="auto"/>
              <w:lang w:eastAsia="hr-HR"/>
            </w:rPr>
          </w:pPr>
          <w:hyperlink w:anchor="_Toc514226008" w:history="1">
            <w:r w:rsidRPr="00BD7E50">
              <w:rPr>
                <w:rStyle w:val="Hyperlink"/>
                <w:b/>
              </w:rPr>
              <w:t>Što nam procjene PEFA-e govore o međuvladinim fiskalnim odnosima?</w:t>
            </w:r>
            <w:r>
              <w:rPr>
                <w:webHidden/>
              </w:rPr>
              <w:tab/>
            </w:r>
            <w:r>
              <w:rPr>
                <w:webHidden/>
              </w:rPr>
              <w:fldChar w:fldCharType="begin"/>
            </w:r>
            <w:r>
              <w:rPr>
                <w:webHidden/>
              </w:rPr>
              <w:instrText xml:space="preserve"> PAGEREF _Toc514226008 \h </w:instrText>
            </w:r>
            <w:r>
              <w:rPr>
                <w:webHidden/>
              </w:rPr>
            </w:r>
            <w:r>
              <w:rPr>
                <w:webHidden/>
              </w:rPr>
              <w:fldChar w:fldCharType="separate"/>
            </w:r>
            <w:r>
              <w:rPr>
                <w:webHidden/>
              </w:rPr>
              <w:t>4</w:t>
            </w:r>
            <w:r>
              <w:rPr>
                <w:webHidden/>
              </w:rPr>
              <w:fldChar w:fldCharType="end"/>
            </w:r>
          </w:hyperlink>
        </w:p>
        <w:p w14:paraId="2B26C327" w14:textId="77777777" w:rsidR="001F474D" w:rsidRDefault="001F474D">
          <w:pPr>
            <w:pStyle w:val="TOC3"/>
            <w:rPr>
              <w:rFonts w:asciiTheme="minorHAnsi" w:eastAsiaTheme="minorEastAsia" w:hAnsiTheme="minorHAnsi" w:cstheme="minorBidi"/>
              <w:color w:val="auto"/>
              <w:lang w:eastAsia="hr-HR"/>
            </w:rPr>
          </w:pPr>
          <w:hyperlink w:anchor="_Toc514226009" w:history="1">
            <w:r w:rsidRPr="00BD7E50">
              <w:rPr>
                <w:rStyle w:val="Hyperlink"/>
                <w:b/>
              </w:rPr>
              <w:t>Poruke OECD-ove fiskalne mreže</w:t>
            </w:r>
            <w:r>
              <w:rPr>
                <w:webHidden/>
              </w:rPr>
              <w:tab/>
            </w:r>
            <w:r>
              <w:rPr>
                <w:webHidden/>
              </w:rPr>
              <w:fldChar w:fldCharType="begin"/>
            </w:r>
            <w:r>
              <w:rPr>
                <w:webHidden/>
              </w:rPr>
              <w:instrText xml:space="preserve"> PAGEREF _Toc514226009 \h </w:instrText>
            </w:r>
            <w:r>
              <w:rPr>
                <w:webHidden/>
              </w:rPr>
            </w:r>
            <w:r>
              <w:rPr>
                <w:webHidden/>
              </w:rPr>
              <w:fldChar w:fldCharType="separate"/>
            </w:r>
            <w:r>
              <w:rPr>
                <w:webHidden/>
              </w:rPr>
              <w:t>5</w:t>
            </w:r>
            <w:r>
              <w:rPr>
                <w:webHidden/>
              </w:rPr>
              <w:fldChar w:fldCharType="end"/>
            </w:r>
          </w:hyperlink>
        </w:p>
        <w:p w14:paraId="091987D0" w14:textId="77777777" w:rsidR="001F474D" w:rsidRDefault="001F474D">
          <w:pPr>
            <w:pStyle w:val="TOC3"/>
            <w:rPr>
              <w:rFonts w:asciiTheme="minorHAnsi" w:eastAsiaTheme="minorEastAsia" w:hAnsiTheme="minorHAnsi" w:cstheme="minorBidi"/>
              <w:color w:val="auto"/>
              <w:lang w:eastAsia="hr-HR"/>
            </w:rPr>
          </w:pPr>
          <w:hyperlink w:anchor="_Toc514226010" w:history="1">
            <w:r w:rsidRPr="00BD7E50">
              <w:rPr>
                <w:rStyle w:val="Hyperlink"/>
                <w:b/>
              </w:rPr>
              <w:t>Međuvladini fiskalni odnosi: austrijsko iskustvo</w:t>
            </w:r>
            <w:r>
              <w:rPr>
                <w:webHidden/>
              </w:rPr>
              <w:tab/>
            </w:r>
            <w:r>
              <w:rPr>
                <w:webHidden/>
              </w:rPr>
              <w:fldChar w:fldCharType="begin"/>
            </w:r>
            <w:r>
              <w:rPr>
                <w:webHidden/>
              </w:rPr>
              <w:instrText xml:space="preserve"> PAGEREF _Toc514226010 \h </w:instrText>
            </w:r>
            <w:r>
              <w:rPr>
                <w:webHidden/>
              </w:rPr>
            </w:r>
            <w:r>
              <w:rPr>
                <w:webHidden/>
              </w:rPr>
              <w:fldChar w:fldCharType="separate"/>
            </w:r>
            <w:r>
              <w:rPr>
                <w:webHidden/>
              </w:rPr>
              <w:t>6</w:t>
            </w:r>
            <w:r>
              <w:rPr>
                <w:webHidden/>
              </w:rPr>
              <w:fldChar w:fldCharType="end"/>
            </w:r>
          </w:hyperlink>
        </w:p>
        <w:p w14:paraId="337BE578" w14:textId="77777777" w:rsidR="001F474D" w:rsidRDefault="001F474D">
          <w:pPr>
            <w:pStyle w:val="TOC1"/>
            <w:rPr>
              <w:rFonts w:eastAsiaTheme="minorEastAsia"/>
              <w:b w:val="0"/>
              <w:bCs w:val="0"/>
              <w:noProof/>
              <w:sz w:val="22"/>
              <w:szCs w:val="22"/>
              <w:lang w:eastAsia="hr-HR"/>
            </w:rPr>
          </w:pPr>
          <w:hyperlink w:anchor="_Toc514226011" w:history="1">
            <w:r w:rsidRPr="00BD7E50">
              <w:rPr>
                <w:rStyle w:val="Hyperlink"/>
                <w:rFonts w:ascii="Times New Roman" w:eastAsia="Times New Roman" w:hAnsi="Times New Roman" w:cs="Times New Roman"/>
                <w:noProof/>
              </w:rPr>
              <w:t>4.</w:t>
            </w:r>
            <w:r>
              <w:rPr>
                <w:rFonts w:eastAsiaTheme="minorEastAsia"/>
                <w:b w:val="0"/>
                <w:bCs w:val="0"/>
                <w:noProof/>
                <w:sz w:val="22"/>
                <w:szCs w:val="22"/>
                <w:lang w:eastAsia="hr-HR"/>
              </w:rPr>
              <w:tab/>
            </w:r>
            <w:r w:rsidRPr="00BD7E50">
              <w:rPr>
                <w:rStyle w:val="Hyperlink"/>
                <w:rFonts w:ascii="Times New Roman" w:hAnsi="Times New Roman"/>
                <w:noProof/>
              </w:rPr>
              <w:t>Drugi dan – domaćin je Radna skupina za programsko planiranje i planiranje proračuna prema učinku (PPBWG), s naglaskom na pokazatelje učinka</w:t>
            </w:r>
            <w:r>
              <w:rPr>
                <w:noProof/>
                <w:webHidden/>
              </w:rPr>
              <w:tab/>
            </w:r>
            <w:r>
              <w:rPr>
                <w:noProof/>
                <w:webHidden/>
              </w:rPr>
              <w:fldChar w:fldCharType="begin"/>
            </w:r>
            <w:r>
              <w:rPr>
                <w:noProof/>
                <w:webHidden/>
              </w:rPr>
              <w:instrText xml:space="preserve"> PAGEREF _Toc514226011 \h </w:instrText>
            </w:r>
            <w:r>
              <w:rPr>
                <w:noProof/>
                <w:webHidden/>
              </w:rPr>
            </w:r>
            <w:r>
              <w:rPr>
                <w:noProof/>
                <w:webHidden/>
              </w:rPr>
              <w:fldChar w:fldCharType="separate"/>
            </w:r>
            <w:r>
              <w:rPr>
                <w:noProof/>
                <w:webHidden/>
              </w:rPr>
              <w:t>6</w:t>
            </w:r>
            <w:r>
              <w:rPr>
                <w:noProof/>
                <w:webHidden/>
              </w:rPr>
              <w:fldChar w:fldCharType="end"/>
            </w:r>
          </w:hyperlink>
        </w:p>
        <w:p w14:paraId="331EFB32" w14:textId="77777777" w:rsidR="001F474D" w:rsidRDefault="001F474D">
          <w:pPr>
            <w:pStyle w:val="TOC1"/>
            <w:rPr>
              <w:rFonts w:eastAsiaTheme="minorEastAsia"/>
              <w:b w:val="0"/>
              <w:bCs w:val="0"/>
              <w:noProof/>
              <w:sz w:val="22"/>
              <w:szCs w:val="22"/>
              <w:lang w:eastAsia="hr-HR"/>
            </w:rPr>
          </w:pPr>
          <w:hyperlink w:anchor="_Toc514226012" w:history="1">
            <w:r w:rsidRPr="00BD7E50">
              <w:rPr>
                <w:rStyle w:val="Hyperlink"/>
                <w:rFonts w:ascii="Times New Roman" w:eastAsia="Times New Roman" w:hAnsi="Times New Roman" w:cs="Times New Roman"/>
                <w:noProof/>
              </w:rPr>
              <w:t>5.</w:t>
            </w:r>
            <w:r>
              <w:rPr>
                <w:rFonts w:eastAsiaTheme="minorEastAsia"/>
                <w:b w:val="0"/>
                <w:bCs w:val="0"/>
                <w:noProof/>
                <w:sz w:val="22"/>
                <w:szCs w:val="22"/>
                <w:lang w:eastAsia="hr-HR"/>
              </w:rPr>
              <w:tab/>
            </w:r>
            <w:r w:rsidRPr="00BD7E50">
              <w:rPr>
                <w:rStyle w:val="Hyperlink"/>
                <w:rFonts w:ascii="Times New Roman" w:hAnsi="Times New Roman"/>
                <w:noProof/>
              </w:rPr>
              <w:t>Treći dan – domaćin je Radna skupina za proračunsku pismenost i transparentnost (BLTWG), s naglaskom na sudjelovanje javnosti u fiskalnoj politici i proračunskom procesu</w:t>
            </w:r>
            <w:r>
              <w:rPr>
                <w:noProof/>
                <w:webHidden/>
              </w:rPr>
              <w:tab/>
            </w:r>
            <w:r>
              <w:rPr>
                <w:noProof/>
                <w:webHidden/>
              </w:rPr>
              <w:fldChar w:fldCharType="begin"/>
            </w:r>
            <w:r>
              <w:rPr>
                <w:noProof/>
                <w:webHidden/>
              </w:rPr>
              <w:instrText xml:space="preserve"> PAGEREF _Toc514226012 \h </w:instrText>
            </w:r>
            <w:r>
              <w:rPr>
                <w:noProof/>
                <w:webHidden/>
              </w:rPr>
            </w:r>
            <w:r>
              <w:rPr>
                <w:noProof/>
                <w:webHidden/>
              </w:rPr>
              <w:fldChar w:fldCharType="separate"/>
            </w:r>
            <w:r>
              <w:rPr>
                <w:noProof/>
                <w:webHidden/>
              </w:rPr>
              <w:t>11</w:t>
            </w:r>
            <w:r>
              <w:rPr>
                <w:noProof/>
                <w:webHidden/>
              </w:rPr>
              <w:fldChar w:fldCharType="end"/>
            </w:r>
          </w:hyperlink>
        </w:p>
        <w:p w14:paraId="46977565" w14:textId="77777777" w:rsidR="001F474D" w:rsidRDefault="001F474D">
          <w:pPr>
            <w:pStyle w:val="TOC1"/>
            <w:rPr>
              <w:rFonts w:eastAsiaTheme="minorEastAsia"/>
              <w:b w:val="0"/>
              <w:bCs w:val="0"/>
              <w:noProof/>
              <w:sz w:val="22"/>
              <w:szCs w:val="22"/>
              <w:lang w:eastAsia="hr-HR"/>
            </w:rPr>
          </w:pPr>
          <w:hyperlink w:anchor="_Toc514226013" w:history="1">
            <w:r w:rsidRPr="00BD7E50">
              <w:rPr>
                <w:rStyle w:val="Hyperlink"/>
                <w:rFonts w:ascii="Times New Roman" w:hAnsi="Times New Roman"/>
                <w:noProof/>
              </w:rPr>
              <w:t>Prilog: Dnevni red skupa</w:t>
            </w:r>
            <w:r>
              <w:rPr>
                <w:noProof/>
                <w:webHidden/>
              </w:rPr>
              <w:tab/>
            </w:r>
            <w:r>
              <w:rPr>
                <w:noProof/>
                <w:webHidden/>
              </w:rPr>
              <w:fldChar w:fldCharType="begin"/>
            </w:r>
            <w:r>
              <w:rPr>
                <w:noProof/>
                <w:webHidden/>
              </w:rPr>
              <w:instrText xml:space="preserve"> PAGEREF _Toc514226013 \h </w:instrText>
            </w:r>
            <w:r>
              <w:rPr>
                <w:noProof/>
                <w:webHidden/>
              </w:rPr>
            </w:r>
            <w:r>
              <w:rPr>
                <w:noProof/>
                <w:webHidden/>
              </w:rPr>
              <w:fldChar w:fldCharType="separate"/>
            </w:r>
            <w:r>
              <w:rPr>
                <w:noProof/>
                <w:webHidden/>
              </w:rPr>
              <w:t>17</w:t>
            </w:r>
            <w:r>
              <w:rPr>
                <w:noProof/>
                <w:webHidden/>
              </w:rPr>
              <w:fldChar w:fldCharType="end"/>
            </w:r>
          </w:hyperlink>
        </w:p>
        <w:p w14:paraId="3B7F816D" w14:textId="77777777" w:rsidR="001F474D" w:rsidRDefault="001F474D">
          <w:pPr>
            <w:pStyle w:val="TOC1"/>
            <w:rPr>
              <w:rFonts w:eastAsiaTheme="minorEastAsia"/>
              <w:b w:val="0"/>
              <w:bCs w:val="0"/>
              <w:noProof/>
              <w:sz w:val="22"/>
              <w:szCs w:val="22"/>
              <w:lang w:eastAsia="hr-HR"/>
            </w:rPr>
          </w:pPr>
          <w:hyperlink w:anchor="_Toc514226014" w:history="1">
            <w:r w:rsidRPr="00BD7E50">
              <w:rPr>
                <w:rStyle w:val="Hyperlink"/>
                <w:rFonts w:ascii="Cambria" w:hAnsi="Cambria"/>
                <w:noProof/>
              </w:rPr>
              <w:t>DNEVNI RED</w:t>
            </w:r>
            <w:r>
              <w:rPr>
                <w:noProof/>
                <w:webHidden/>
              </w:rPr>
              <w:tab/>
            </w:r>
            <w:r>
              <w:rPr>
                <w:noProof/>
                <w:webHidden/>
              </w:rPr>
              <w:fldChar w:fldCharType="begin"/>
            </w:r>
            <w:r>
              <w:rPr>
                <w:noProof/>
                <w:webHidden/>
              </w:rPr>
              <w:instrText xml:space="preserve"> PAGEREF _Toc514226014 \h </w:instrText>
            </w:r>
            <w:r>
              <w:rPr>
                <w:noProof/>
                <w:webHidden/>
              </w:rPr>
            </w:r>
            <w:r>
              <w:rPr>
                <w:noProof/>
                <w:webHidden/>
              </w:rPr>
              <w:fldChar w:fldCharType="separate"/>
            </w:r>
            <w:r>
              <w:rPr>
                <w:noProof/>
                <w:webHidden/>
              </w:rPr>
              <w:t>17</w:t>
            </w:r>
            <w:r>
              <w:rPr>
                <w:noProof/>
                <w:webHidden/>
              </w:rPr>
              <w:fldChar w:fldCharType="end"/>
            </w:r>
          </w:hyperlink>
        </w:p>
        <w:p w14:paraId="2595155B" w14:textId="77777777" w:rsidR="001F474D" w:rsidRDefault="001F474D">
          <w:pPr>
            <w:pStyle w:val="TOC1"/>
            <w:rPr>
              <w:rFonts w:eastAsiaTheme="minorEastAsia"/>
              <w:b w:val="0"/>
              <w:bCs w:val="0"/>
              <w:noProof/>
              <w:sz w:val="22"/>
              <w:szCs w:val="22"/>
              <w:lang w:eastAsia="hr-HR"/>
            </w:rPr>
          </w:pPr>
          <w:hyperlink w:anchor="_Toc514226015" w:history="1">
            <w:r w:rsidRPr="00BD7E50">
              <w:rPr>
                <w:rStyle w:val="Hyperlink"/>
                <w:rFonts w:ascii="Cambria" w:hAnsi="Cambria"/>
                <w:noProof/>
              </w:rPr>
              <w:t>PLENARNA SJEDNICA BCOP-a PEMPAL-a</w:t>
            </w:r>
            <w:r>
              <w:rPr>
                <w:noProof/>
                <w:webHidden/>
              </w:rPr>
              <w:tab/>
            </w:r>
            <w:r>
              <w:rPr>
                <w:noProof/>
                <w:webHidden/>
              </w:rPr>
              <w:fldChar w:fldCharType="begin"/>
            </w:r>
            <w:r>
              <w:rPr>
                <w:noProof/>
                <w:webHidden/>
              </w:rPr>
              <w:instrText xml:space="preserve"> PAGEREF _Toc514226015 \h </w:instrText>
            </w:r>
            <w:r>
              <w:rPr>
                <w:noProof/>
                <w:webHidden/>
              </w:rPr>
            </w:r>
            <w:r>
              <w:rPr>
                <w:noProof/>
                <w:webHidden/>
              </w:rPr>
              <w:fldChar w:fldCharType="separate"/>
            </w:r>
            <w:r>
              <w:rPr>
                <w:noProof/>
                <w:webHidden/>
              </w:rPr>
              <w:t>17</w:t>
            </w:r>
            <w:r>
              <w:rPr>
                <w:noProof/>
                <w:webHidden/>
              </w:rPr>
              <w:fldChar w:fldCharType="end"/>
            </w:r>
          </w:hyperlink>
        </w:p>
        <w:p w14:paraId="636106F8" w14:textId="77777777" w:rsidR="001F474D" w:rsidRDefault="001F474D">
          <w:pPr>
            <w:pStyle w:val="TOC1"/>
            <w:rPr>
              <w:rFonts w:eastAsiaTheme="minorEastAsia"/>
              <w:b w:val="0"/>
              <w:bCs w:val="0"/>
              <w:noProof/>
              <w:sz w:val="22"/>
              <w:szCs w:val="22"/>
              <w:lang w:eastAsia="hr-HR"/>
            </w:rPr>
          </w:pPr>
          <w:hyperlink w:anchor="_Toc514226016" w:history="1">
            <w:r w:rsidRPr="00BD7E50">
              <w:rPr>
                <w:rStyle w:val="Hyperlink"/>
                <w:rFonts w:ascii="Cambria" w:hAnsi="Cambria"/>
                <w:noProof/>
              </w:rPr>
              <w:t>Ciljevi</w:t>
            </w:r>
            <w:r>
              <w:rPr>
                <w:noProof/>
                <w:webHidden/>
              </w:rPr>
              <w:tab/>
            </w:r>
            <w:r>
              <w:rPr>
                <w:noProof/>
                <w:webHidden/>
              </w:rPr>
              <w:fldChar w:fldCharType="begin"/>
            </w:r>
            <w:r>
              <w:rPr>
                <w:noProof/>
                <w:webHidden/>
              </w:rPr>
              <w:instrText xml:space="preserve"> PAGEREF _Toc514226016 \h </w:instrText>
            </w:r>
            <w:r>
              <w:rPr>
                <w:noProof/>
                <w:webHidden/>
              </w:rPr>
            </w:r>
            <w:r>
              <w:rPr>
                <w:noProof/>
                <w:webHidden/>
              </w:rPr>
              <w:fldChar w:fldCharType="separate"/>
            </w:r>
            <w:r>
              <w:rPr>
                <w:noProof/>
                <w:webHidden/>
              </w:rPr>
              <w:t>17</w:t>
            </w:r>
            <w:r>
              <w:rPr>
                <w:noProof/>
                <w:webHidden/>
              </w:rPr>
              <w:fldChar w:fldCharType="end"/>
            </w:r>
          </w:hyperlink>
        </w:p>
        <w:p w14:paraId="1C5539CE" w14:textId="77777777" w:rsidR="001F474D" w:rsidRDefault="001F474D">
          <w:pPr>
            <w:pStyle w:val="TOC1"/>
            <w:rPr>
              <w:rFonts w:eastAsiaTheme="minorEastAsia"/>
              <w:b w:val="0"/>
              <w:bCs w:val="0"/>
              <w:noProof/>
              <w:sz w:val="22"/>
              <w:szCs w:val="22"/>
              <w:lang w:eastAsia="hr-HR"/>
            </w:rPr>
          </w:pPr>
          <w:hyperlink w:anchor="_Toc514226017" w:history="1">
            <w:r w:rsidRPr="00BD7E50">
              <w:rPr>
                <w:rStyle w:val="Hyperlink"/>
                <w:rFonts w:ascii="Cambria" w:hAnsi="Cambria"/>
                <w:noProof/>
              </w:rPr>
              <w:t>Nulti dan, utorak, 13. ožujka – Izvršni odbor</w:t>
            </w:r>
            <w:r>
              <w:rPr>
                <w:noProof/>
                <w:webHidden/>
              </w:rPr>
              <w:tab/>
            </w:r>
            <w:r>
              <w:rPr>
                <w:noProof/>
                <w:webHidden/>
              </w:rPr>
              <w:fldChar w:fldCharType="begin"/>
            </w:r>
            <w:r>
              <w:rPr>
                <w:noProof/>
                <w:webHidden/>
              </w:rPr>
              <w:instrText xml:space="preserve"> PAGEREF _Toc514226017 \h </w:instrText>
            </w:r>
            <w:r>
              <w:rPr>
                <w:noProof/>
                <w:webHidden/>
              </w:rPr>
            </w:r>
            <w:r>
              <w:rPr>
                <w:noProof/>
                <w:webHidden/>
              </w:rPr>
              <w:fldChar w:fldCharType="separate"/>
            </w:r>
            <w:r>
              <w:rPr>
                <w:noProof/>
                <w:webHidden/>
              </w:rPr>
              <w:t>17</w:t>
            </w:r>
            <w:r>
              <w:rPr>
                <w:noProof/>
                <w:webHidden/>
              </w:rPr>
              <w:fldChar w:fldCharType="end"/>
            </w:r>
          </w:hyperlink>
        </w:p>
        <w:p w14:paraId="0C9741EC" w14:textId="77777777" w:rsidR="001F474D" w:rsidRDefault="001F474D">
          <w:pPr>
            <w:pStyle w:val="TOC1"/>
            <w:rPr>
              <w:rFonts w:eastAsiaTheme="minorEastAsia"/>
              <w:b w:val="0"/>
              <w:bCs w:val="0"/>
              <w:noProof/>
              <w:sz w:val="22"/>
              <w:szCs w:val="22"/>
              <w:lang w:eastAsia="hr-HR"/>
            </w:rPr>
          </w:pPr>
          <w:hyperlink w:anchor="_Toc514226018" w:history="1">
            <w:r w:rsidRPr="00BD7E50">
              <w:rPr>
                <w:rStyle w:val="Hyperlink"/>
                <w:rFonts w:ascii="Cambria" w:hAnsi="Cambria"/>
                <w:noProof/>
              </w:rPr>
              <w:t>Dolasci članova Izvršnog odbora BCOP-a i resursnog tima</w:t>
            </w:r>
            <w:r>
              <w:rPr>
                <w:noProof/>
                <w:webHidden/>
              </w:rPr>
              <w:tab/>
            </w:r>
            <w:r>
              <w:rPr>
                <w:noProof/>
                <w:webHidden/>
              </w:rPr>
              <w:fldChar w:fldCharType="begin"/>
            </w:r>
            <w:r>
              <w:rPr>
                <w:noProof/>
                <w:webHidden/>
              </w:rPr>
              <w:instrText xml:space="preserve"> PAGEREF _Toc514226018 \h </w:instrText>
            </w:r>
            <w:r>
              <w:rPr>
                <w:noProof/>
                <w:webHidden/>
              </w:rPr>
            </w:r>
            <w:r>
              <w:rPr>
                <w:noProof/>
                <w:webHidden/>
              </w:rPr>
              <w:fldChar w:fldCharType="separate"/>
            </w:r>
            <w:r>
              <w:rPr>
                <w:noProof/>
                <w:webHidden/>
              </w:rPr>
              <w:t>17</w:t>
            </w:r>
            <w:r>
              <w:rPr>
                <w:noProof/>
                <w:webHidden/>
              </w:rPr>
              <w:fldChar w:fldCharType="end"/>
            </w:r>
          </w:hyperlink>
        </w:p>
        <w:p w14:paraId="762ADFC5" w14:textId="1FCBF52F" w:rsidR="00D40C40" w:rsidRPr="006677F4" w:rsidRDefault="00035C5A" w:rsidP="00AA75CD">
          <w:pPr>
            <w:tabs>
              <w:tab w:val="left" w:pos="180"/>
              <w:tab w:val="left" w:pos="540"/>
            </w:tabs>
            <w:rPr>
              <w:rFonts w:ascii="Times New Roman" w:hAnsi="Times New Roman" w:cs="Times New Roman"/>
              <w:sz w:val="24"/>
              <w:szCs w:val="24"/>
            </w:rPr>
          </w:pPr>
          <w:r w:rsidRPr="00AA75CD">
            <w:rPr>
              <w:rFonts w:ascii="Times New Roman" w:hAnsi="Times New Roman" w:cs="Times New Roman"/>
              <w:b/>
              <w:sz w:val="24"/>
              <w:szCs w:val="24"/>
            </w:rPr>
            <w:fldChar w:fldCharType="end"/>
          </w:r>
        </w:p>
      </w:sdtContent>
    </w:sdt>
    <w:p w14:paraId="08E458E3" w14:textId="4093A8EF" w:rsidR="00B80AFE" w:rsidRPr="006677F4" w:rsidRDefault="00B80AFE" w:rsidP="001978F0">
      <w:pPr>
        <w:pStyle w:val="Heading1"/>
        <w:numPr>
          <w:ilvl w:val="0"/>
          <w:numId w:val="36"/>
        </w:numPr>
        <w:rPr>
          <w:rFonts w:ascii="Times New Roman" w:eastAsia="Times New Roman" w:hAnsi="Times New Roman" w:cs="Times New Roman"/>
          <w:b/>
          <w:sz w:val="24"/>
          <w:szCs w:val="24"/>
        </w:rPr>
      </w:pPr>
      <w:bookmarkStart w:id="0" w:name="_Toc514226003"/>
      <w:r>
        <w:rPr>
          <w:rFonts w:ascii="Times New Roman" w:hAnsi="Times New Roman"/>
          <w:b/>
          <w:sz w:val="24"/>
          <w:szCs w:val="24"/>
        </w:rPr>
        <w:t>Pozadina</w:t>
      </w:r>
      <w:bookmarkEnd w:id="0"/>
    </w:p>
    <w:p w14:paraId="4AD3B73C" w14:textId="3124A9A1" w:rsidR="001C1A7E" w:rsidRPr="006677F4" w:rsidRDefault="001C1A7E" w:rsidP="00E43B56">
      <w:pPr>
        <w:spacing w:line="240" w:lineRule="auto"/>
        <w:jc w:val="both"/>
        <w:rPr>
          <w:rFonts w:ascii="Times New Roman" w:hAnsi="Times New Roman" w:cs="Times New Roman"/>
          <w:b/>
          <w:sz w:val="24"/>
          <w:szCs w:val="24"/>
        </w:rPr>
      </w:pPr>
      <w:r>
        <w:rPr>
          <w:rFonts w:ascii="Times New Roman" w:hAnsi="Times New Roman"/>
          <w:b/>
          <w:sz w:val="24"/>
          <w:szCs w:val="24"/>
        </w:rPr>
        <w:t>Ovaj izvještaj o skupu obuhvaća ključne rasprave i odluke donesene na godišnjoj plenarnoj sjednici Zajednice prakse za proračun (BCOP) održanoj 14. - 16. ožujka 2018. u Beču, u Austriji, na temu unaprjeđenja učinkovitosti i odgovornosti za javne rashode.</w:t>
      </w:r>
      <w:r>
        <w:rPr>
          <w:rFonts w:ascii="Times New Roman" w:hAnsi="Times New Roman"/>
          <w:sz w:val="24"/>
          <w:szCs w:val="24"/>
        </w:rPr>
        <w:t xml:space="preserve"> </w:t>
      </w:r>
      <w:r>
        <w:rPr>
          <w:rFonts w:ascii="Times New Roman" w:hAnsi="Times New Roman"/>
          <w:color w:val="222222"/>
          <w:sz w:val="24"/>
          <w:szCs w:val="24"/>
        </w:rPr>
        <w:t xml:space="preserve">Izvještaj je pripremio BCOP-ov resursni tim iz Svjetske banke, a pregledali su ga izlagači i članovi izvršnog odbora BCOP-a prije nego što je poslan svim sudionicima i objavljen na PEMPAL-ovu </w:t>
      </w:r>
      <w:r>
        <w:rPr>
          <w:rFonts w:ascii="Times New Roman" w:hAnsi="Times New Roman"/>
          <w:i/>
          <w:color w:val="222222"/>
          <w:sz w:val="24"/>
          <w:szCs w:val="24"/>
        </w:rPr>
        <w:t xml:space="preserve">web </w:t>
      </w:r>
      <w:r>
        <w:rPr>
          <w:rFonts w:ascii="Times New Roman" w:hAnsi="Times New Roman"/>
          <w:color w:val="222222"/>
          <w:sz w:val="24"/>
          <w:szCs w:val="24"/>
        </w:rPr>
        <w:t xml:space="preserve">mjestu. </w:t>
      </w:r>
    </w:p>
    <w:p w14:paraId="3B32C48C" w14:textId="0EF5F725" w:rsidR="00B80AFE" w:rsidRDefault="00B80AFE" w:rsidP="00AA75CD">
      <w:pPr>
        <w:pStyle w:val="Heading3"/>
        <w:rPr>
          <w:rFonts w:ascii="Times New Roman" w:hAnsi="Times New Roman" w:cs="Times New Roman"/>
          <w:b/>
          <w:color w:val="538135" w:themeColor="accent6" w:themeShade="BF"/>
        </w:rPr>
      </w:pPr>
      <w:bookmarkStart w:id="1" w:name="_Toc514226004"/>
      <w:r>
        <w:rPr>
          <w:rFonts w:ascii="Times New Roman" w:hAnsi="Times New Roman"/>
          <w:b/>
          <w:color w:val="538135" w:themeColor="accent6" w:themeShade="BF"/>
        </w:rPr>
        <w:lastRenderedPageBreak/>
        <w:t>Ciljevi i sudionici skupa</w:t>
      </w:r>
      <w:bookmarkEnd w:id="1"/>
      <w:r>
        <w:rPr>
          <w:rFonts w:ascii="Times New Roman" w:hAnsi="Times New Roman"/>
          <w:b/>
          <w:color w:val="538135" w:themeColor="accent6" w:themeShade="BF"/>
        </w:rPr>
        <w:t xml:space="preserve"> </w:t>
      </w:r>
    </w:p>
    <w:p w14:paraId="57A00AD6" w14:textId="18F03AF2" w:rsidR="00AE5AB4" w:rsidRPr="006677F4" w:rsidRDefault="003C5D88" w:rsidP="00AE5AB4">
      <w:pPr>
        <w:spacing w:after="120" w:line="240" w:lineRule="auto"/>
        <w:jc w:val="both"/>
        <w:rPr>
          <w:rFonts w:ascii="Times New Roman" w:hAnsi="Times New Roman" w:cs="Times New Roman"/>
          <w:sz w:val="24"/>
          <w:szCs w:val="24"/>
        </w:rPr>
      </w:pPr>
      <w:r>
        <w:rPr>
          <w:rFonts w:ascii="Times New Roman" w:hAnsi="Times New Roman"/>
          <w:b/>
          <w:sz w:val="24"/>
          <w:szCs w:val="24"/>
        </w:rPr>
        <w:t>Sjednici su prisustvovali predstavnici BCOP-a iz ministarstava financija (MF-ova) 19 zemalja članica BCOP-a iz regije Europe i srednje Azije</w:t>
      </w:r>
      <w:r>
        <w:rPr>
          <w:rFonts w:ascii="Times New Roman" w:hAnsi="Times New Roman"/>
          <w:sz w:val="24"/>
          <w:szCs w:val="24"/>
        </w:rPr>
        <w:t>: Albanija, Armenija, Azerbajdžan, Bjelarus, Bosna i Hercegovina, Bugarska, Hrvatska, Gruzija, Kazahstan, Kosovo, Kirgiska Republika, Makedonija, Moldova, Crna Gora, Rumunjska, Ruska Federacija, Srbija, Uzbekistan i Ukrajina. Članice resursnog tima BCOP-a Maya Gusarova i Naida Čaršimamović Vukotić pružile su tehničku podršku u pripremi dnevnog reda i za održavanje radionice, a logičku i administrativnu podršku pružile su Ksenia Galant</w:t>
      </w:r>
      <w:r w:rsidR="00647F42">
        <w:rPr>
          <w:rFonts w:ascii="Times New Roman" w:hAnsi="Times New Roman"/>
          <w:sz w:val="24"/>
          <w:szCs w:val="24"/>
        </w:rPr>
        <w:t>s</w:t>
      </w:r>
      <w:r>
        <w:rPr>
          <w:rFonts w:ascii="Times New Roman" w:hAnsi="Times New Roman"/>
          <w:sz w:val="24"/>
          <w:szCs w:val="24"/>
        </w:rPr>
        <w:t xml:space="preserve">ova i Kristina Zaituna iz Tajništva PEMPAL-a. </w:t>
      </w:r>
    </w:p>
    <w:p w14:paraId="25F8D978" w14:textId="2F62C5A2" w:rsidR="007C0B93" w:rsidRPr="006677F4" w:rsidRDefault="00AE5AB4" w:rsidP="006677F4">
      <w:pPr>
        <w:spacing w:after="120" w:line="240" w:lineRule="auto"/>
        <w:jc w:val="both"/>
        <w:rPr>
          <w:rFonts w:ascii="Times New Roman" w:hAnsi="Times New Roman" w:cs="Times New Roman"/>
          <w:sz w:val="24"/>
          <w:szCs w:val="24"/>
        </w:rPr>
      </w:pPr>
      <w:r>
        <w:rPr>
          <w:rFonts w:ascii="Times New Roman" w:hAnsi="Times New Roman"/>
          <w:b/>
          <w:sz w:val="24"/>
          <w:szCs w:val="24"/>
        </w:rPr>
        <w:t>Ključni ciljevi plenarne sjednice bili su:</w:t>
      </w:r>
    </w:p>
    <w:p w14:paraId="0201815E" w14:textId="77777777" w:rsidR="00AE5AB4" w:rsidRPr="006677F4" w:rsidRDefault="00AE5AB4" w:rsidP="00AE5AB4">
      <w:pPr>
        <w:numPr>
          <w:ilvl w:val="0"/>
          <w:numId w:val="38"/>
        </w:numPr>
        <w:spacing w:after="0" w:line="240" w:lineRule="auto"/>
        <w:jc w:val="both"/>
        <w:rPr>
          <w:rFonts w:ascii="Times New Roman" w:hAnsi="Times New Roman" w:cs="Times New Roman"/>
          <w:sz w:val="24"/>
          <w:szCs w:val="24"/>
        </w:rPr>
      </w:pPr>
      <w:r>
        <w:rPr>
          <w:rFonts w:ascii="Times New Roman" w:hAnsi="Times New Roman"/>
          <w:sz w:val="24"/>
          <w:szCs w:val="24"/>
        </w:rPr>
        <w:t xml:space="preserve">Pružiti mogućnost da zemlje članice BCOP-a </w:t>
      </w:r>
      <w:r>
        <w:rPr>
          <w:rFonts w:ascii="Times New Roman" w:hAnsi="Times New Roman"/>
          <w:b/>
          <w:i/>
          <w:sz w:val="24"/>
          <w:szCs w:val="24"/>
        </w:rPr>
        <w:t>pregledaju pristupe i trendove u međuvladinim fiskalnim odnosima,</w:t>
      </w:r>
      <w:r>
        <w:rPr>
          <w:rFonts w:ascii="Times New Roman" w:hAnsi="Times New Roman"/>
          <w:sz w:val="24"/>
          <w:szCs w:val="24"/>
        </w:rPr>
        <w:t xml:space="preserve"> upoznaju se s najnovijim događanjima u zemljama OECD-a i rasprave o mogućim pristupima i opcijama za zemlje PEMPAL-a</w:t>
      </w:r>
    </w:p>
    <w:p w14:paraId="0ECCAC2C" w14:textId="77777777" w:rsidR="00AE5AB4" w:rsidRPr="006677F4" w:rsidRDefault="00AE5AB4" w:rsidP="00AE5AB4">
      <w:pPr>
        <w:numPr>
          <w:ilvl w:val="0"/>
          <w:numId w:val="38"/>
        </w:numPr>
        <w:spacing w:after="0" w:line="240" w:lineRule="auto"/>
        <w:jc w:val="both"/>
        <w:rPr>
          <w:rFonts w:ascii="Times New Roman" w:hAnsi="Times New Roman" w:cs="Times New Roman"/>
          <w:sz w:val="24"/>
          <w:szCs w:val="24"/>
        </w:rPr>
      </w:pPr>
      <w:r>
        <w:rPr>
          <w:rFonts w:ascii="Times New Roman" w:hAnsi="Times New Roman"/>
          <w:sz w:val="24"/>
          <w:szCs w:val="24"/>
        </w:rPr>
        <w:t>Pružiti priliku širem članstvu BCOP-a da pregleda prakse i pristupe iz područja s kojima su se rad</w:t>
      </w:r>
      <w:bookmarkStart w:id="2" w:name="_GoBack"/>
      <w:bookmarkEnd w:id="2"/>
      <w:r>
        <w:rPr>
          <w:rFonts w:ascii="Times New Roman" w:hAnsi="Times New Roman"/>
          <w:sz w:val="24"/>
          <w:szCs w:val="24"/>
        </w:rPr>
        <w:t xml:space="preserve">ne skupina BCOP-a bavile protekle godine – </w:t>
      </w:r>
      <w:r>
        <w:rPr>
          <w:rFonts w:ascii="Times New Roman" w:hAnsi="Times New Roman"/>
          <w:b/>
          <w:i/>
          <w:sz w:val="24"/>
          <w:szCs w:val="24"/>
        </w:rPr>
        <w:t>upotreba informacija o učinku u planiranju proračuna prema učinku</w:t>
      </w:r>
      <w:r>
        <w:rPr>
          <w:rFonts w:ascii="Times New Roman" w:hAnsi="Times New Roman"/>
          <w:sz w:val="24"/>
          <w:szCs w:val="24"/>
        </w:rPr>
        <w:t xml:space="preserve"> i </w:t>
      </w:r>
      <w:r>
        <w:rPr>
          <w:rFonts w:ascii="Times New Roman" w:hAnsi="Times New Roman"/>
          <w:b/>
          <w:i/>
          <w:sz w:val="24"/>
          <w:szCs w:val="24"/>
        </w:rPr>
        <w:t>sudjelovanje javnosti</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xml:space="preserve">Prikupiti povratne informacije od članova BCOP-a o najnovijem radu na proizvodima znanja radnih skupina BCOP-a: </w:t>
      </w:r>
    </w:p>
    <w:p w14:paraId="5CF5D03A" w14:textId="77777777" w:rsidR="00AE5AB4" w:rsidRPr="006677F4" w:rsidRDefault="00AE5AB4" w:rsidP="00AE5AB4">
      <w:pPr>
        <w:pStyle w:val="ListParagraph"/>
        <w:numPr>
          <w:ilvl w:val="1"/>
          <w:numId w:val="40"/>
        </w:numPr>
        <w:spacing w:after="0" w:line="240" w:lineRule="auto"/>
        <w:jc w:val="both"/>
        <w:rPr>
          <w:rFonts w:ascii="Times New Roman" w:hAnsi="Times New Roman" w:cs="Times New Roman"/>
          <w:sz w:val="24"/>
          <w:szCs w:val="24"/>
        </w:rPr>
      </w:pPr>
      <w:r>
        <w:rPr>
          <w:rFonts w:ascii="Times New Roman" w:hAnsi="Times New Roman"/>
          <w:sz w:val="24"/>
          <w:szCs w:val="24"/>
        </w:rPr>
        <w:t xml:space="preserve">Pokazatelji učinka u zemljama PEMPAL-a: trendovi i izazovi (pripremila Radna skupina BCOP-a za programsko planiranje i planiranje proračuna prema učinku)  </w:t>
      </w:r>
    </w:p>
    <w:p w14:paraId="5D423369" w14:textId="77777777" w:rsidR="00AE5AB4" w:rsidRPr="006677F4" w:rsidRDefault="00AE5AB4" w:rsidP="00AE5AB4">
      <w:pPr>
        <w:pStyle w:val="ListParagraph"/>
        <w:numPr>
          <w:ilvl w:val="1"/>
          <w:numId w:val="40"/>
        </w:numPr>
        <w:spacing w:after="0" w:line="240" w:lineRule="auto"/>
        <w:jc w:val="both"/>
        <w:rPr>
          <w:rFonts w:ascii="Times New Roman" w:hAnsi="Times New Roman" w:cs="Times New Roman"/>
          <w:sz w:val="24"/>
          <w:szCs w:val="24"/>
        </w:rPr>
      </w:pPr>
      <w:r>
        <w:rPr>
          <w:rFonts w:ascii="Times New Roman" w:hAnsi="Times New Roman"/>
          <w:sz w:val="24"/>
          <w:szCs w:val="24"/>
        </w:rPr>
        <w:t>Sudjelovanje javnosti u fiskalnoj politici i proračunskom procesu – Kako uspostaviti i/ili ojačati mehanizme u zemljama PEMPAL-a? (pripremila Radna skupina BCOP-a za proračunsku transparentnost i pismenost).</w:t>
      </w:r>
    </w:p>
    <w:p w14:paraId="4FBB2407" w14:textId="3F7AE2C7" w:rsidR="00AE5AB4" w:rsidRPr="006677F4" w:rsidRDefault="00AE5AB4" w:rsidP="00AE5AB4">
      <w:pPr>
        <w:numPr>
          <w:ilvl w:val="0"/>
          <w:numId w:val="39"/>
        </w:numPr>
        <w:spacing w:after="0" w:line="240" w:lineRule="auto"/>
        <w:jc w:val="both"/>
        <w:rPr>
          <w:rFonts w:ascii="Times New Roman" w:hAnsi="Times New Roman" w:cs="Times New Roman"/>
          <w:sz w:val="24"/>
          <w:szCs w:val="24"/>
        </w:rPr>
      </w:pPr>
      <w:r>
        <w:rPr>
          <w:rFonts w:ascii="Times New Roman" w:hAnsi="Times New Roman"/>
          <w:sz w:val="24"/>
          <w:szCs w:val="24"/>
        </w:rPr>
        <w:t>Pružiti članovima najnovije informacije o radu BCOP-a dostupne nakon zadnje plenarne sjednice i anketirati ih prije same sjednice o prioritetima, kako bi te informacije služile kao podloga za razvoj Akcijskog plana BCOP-a za 2019.</w:t>
      </w:r>
    </w:p>
    <w:p w14:paraId="726001C5" w14:textId="77777777" w:rsidR="00AF2FBB" w:rsidRPr="006677F4" w:rsidRDefault="00AF2FBB" w:rsidP="00AF2FBB">
      <w:pPr>
        <w:spacing w:after="0" w:line="240" w:lineRule="auto"/>
        <w:ind w:left="720"/>
        <w:jc w:val="both"/>
        <w:rPr>
          <w:rFonts w:ascii="Times New Roman" w:hAnsi="Times New Roman" w:cs="Times New Roman"/>
          <w:sz w:val="24"/>
          <w:szCs w:val="24"/>
        </w:rPr>
      </w:pPr>
    </w:p>
    <w:p w14:paraId="5D6820CB" w14:textId="6C9D5D19" w:rsidR="00AE5AB4" w:rsidRPr="006677F4" w:rsidRDefault="007C0B93" w:rsidP="00732577">
      <w:pPr>
        <w:pStyle w:val="NormalWeb"/>
        <w:spacing w:before="0" w:beforeAutospacing="0" w:after="120" w:afterAutospacing="0"/>
        <w:jc w:val="both"/>
      </w:pPr>
      <w:r>
        <w:rPr>
          <w:b/>
        </w:rPr>
        <w:t xml:space="preserve">Pola dana sastanka bilo je posvećeno međuvladinim fiskalnim odnosima, a ostali su dani bili posvećeni BCOP-ovim radnim skupinama </w:t>
      </w:r>
      <w:r>
        <w:t xml:space="preserve">– Radnoj skupini za programsko planiranje i planiranje proračuna prema učinku (PPBWG) koja se sastoji od članova iz 15 zemalja članica BCOP-a te ju vodi Nikolay Begchin iz Ministarstva financija Ruske Federacije i Radnoj skupini za proračunsku pismenost i transparentnost (BLTWG) koja se sastoji od članova iz 16 zemalja članica BCOP-a, a predvodi je Anna Belenchuk iz Ministarstva financija Ruske Federacije. PPBWG se bavi temom pokazatelja učinka, a BLTWG se bavi temom sudjelovanja javnosti. </w:t>
      </w:r>
    </w:p>
    <w:p w14:paraId="11CFE960" w14:textId="6FEAAFD8" w:rsidR="005121E7" w:rsidRPr="006677F4" w:rsidRDefault="005121E7" w:rsidP="001978F0">
      <w:pPr>
        <w:pStyle w:val="Heading1"/>
        <w:numPr>
          <w:ilvl w:val="0"/>
          <w:numId w:val="36"/>
        </w:numPr>
        <w:rPr>
          <w:rFonts w:ascii="Times New Roman" w:eastAsia="Times New Roman" w:hAnsi="Times New Roman" w:cs="Times New Roman"/>
          <w:b/>
          <w:sz w:val="24"/>
          <w:szCs w:val="24"/>
        </w:rPr>
      </w:pPr>
      <w:bookmarkStart w:id="3" w:name="_Toc514226005"/>
      <w:r>
        <w:rPr>
          <w:rFonts w:ascii="Times New Roman" w:hAnsi="Times New Roman"/>
          <w:b/>
          <w:sz w:val="24"/>
          <w:szCs w:val="24"/>
        </w:rPr>
        <w:t>Pregled programa</w:t>
      </w:r>
      <w:bookmarkEnd w:id="3"/>
    </w:p>
    <w:p w14:paraId="5620CD33" w14:textId="462F05FD" w:rsidR="0019593A" w:rsidRPr="006677F4" w:rsidRDefault="0019593A" w:rsidP="00732577">
      <w:pPr>
        <w:pStyle w:val="NormalWeb"/>
        <w:spacing w:before="0" w:beforeAutospacing="0" w:after="120" w:afterAutospacing="0"/>
        <w:jc w:val="both"/>
        <w:rPr>
          <w:b/>
        </w:rPr>
      </w:pPr>
      <w:r>
        <w:rPr>
          <w:b/>
        </w:rPr>
        <w:t>Skup su otvorili Linda Van Gelder</w:t>
      </w:r>
      <w:r>
        <w:t>, voditeljica ureda Svjetske banke za Europu i zapadni Balkan, te Dan Boyce, predsjednik Upravnog odbora PEMPAL-a i voditelj prakse, Uprava – istočna Europa i srednja Azija. Naglasili su važnost mreže PEMPAL-a i BCOP-ova rada te predstavili tri podteme plenarne sjednice – međuvladini fiskalni odnosi, pokazatelji učinka i sudjelovanje javnosti, koje su u središtu reformi država kojima se želi poboljšati učinkovitost i odgovornost za državno trošenje na globalnoj razini, i koje su ključne za zemlje PEMPAL-a i njihov daljnji rad na proračunskim reformama. Zahvalili su PEMPAL-u i njegovim financijerima – Ministarstvu financija Ruske Federacije i SECO-u – na potpori u obliku resursa kojima je omogućen rad mreže.</w:t>
      </w:r>
    </w:p>
    <w:p w14:paraId="72534BA0" w14:textId="28F39674" w:rsidR="007B7AAA" w:rsidRPr="006677F4" w:rsidRDefault="005270C8" w:rsidP="007B7AAA">
      <w:pPr>
        <w:spacing w:after="12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Predsjednica BCOP-a Anna Belenchuk zahvalila je austrijskom Ministarstvu financija na njihovu doprinosu plenarnoj sjednici, posebno na odličnim govornicima koje su doveli kako bi se na skupu raspravilo o austrijskom sustavu, iskustvima i naučenim lekcijama u pogledu međuvladinih fiskalnih odnosa. Zahvalila je i svim ostalim govornicima iz međunarodnih </w:t>
      </w:r>
      <w:r>
        <w:rPr>
          <w:rFonts w:ascii="Times New Roman" w:hAnsi="Times New Roman"/>
          <w:b/>
          <w:sz w:val="24"/>
          <w:szCs w:val="24"/>
        </w:rPr>
        <w:lastRenderedPageBreak/>
        <w:t xml:space="preserve">organizacija </w:t>
      </w:r>
      <w:r>
        <w:rPr>
          <w:rFonts w:ascii="Times New Roman" w:hAnsi="Times New Roman"/>
          <w:sz w:val="24"/>
          <w:szCs w:val="24"/>
        </w:rPr>
        <w:t xml:space="preserve">(Svjetske banke, Organizacije za ekonomsku suradnju i razvoj (OECD), Tajništva za javne rashode i financijsku odgovornost (PEFA), Međunarodnog partnerstva za proračun (IBP) i Globalne inicijative za fiskalnu transparentnost (GIFT)) </w:t>
      </w:r>
      <w:r>
        <w:rPr>
          <w:rFonts w:ascii="Times New Roman" w:hAnsi="Times New Roman"/>
          <w:b/>
          <w:sz w:val="24"/>
          <w:szCs w:val="24"/>
        </w:rPr>
        <w:t xml:space="preserve">na njihovoj suradnji s BCOP-om i prezentacijama o najnovijim i nadolazećim istraživanjima, analizama i aktivnostima tih organizacija u pogledu proračunskih i fiskalnih pitanja. </w:t>
      </w:r>
      <w:r>
        <w:rPr>
          <w:rFonts w:ascii="Times New Roman" w:hAnsi="Times New Roman"/>
          <w:sz w:val="24"/>
          <w:szCs w:val="24"/>
        </w:rPr>
        <w:t xml:space="preserve">Pružen je i pregled dnevnog reda, a sudionicima je iskazana dobrodošlica, među ostalima, izvršnom odboru BCOP-a, govornicima, stručnjacima i novim članovima.  </w:t>
      </w:r>
    </w:p>
    <w:p w14:paraId="001C6157" w14:textId="3993AAB2" w:rsidR="006D6955" w:rsidRPr="006D6955" w:rsidRDefault="005E41C2" w:rsidP="006D6955">
      <w:pPr>
        <w:pStyle w:val="NoSpacing"/>
        <w:jc w:val="both"/>
        <w:rPr>
          <w:rFonts w:ascii="Times New Roman" w:eastAsia="Times New Roman" w:hAnsi="Times New Roman" w:cs="Times New Roman"/>
          <w:color w:val="000000"/>
          <w:sz w:val="24"/>
          <w:szCs w:val="24"/>
        </w:rPr>
      </w:pPr>
      <w:r>
        <w:rPr>
          <w:rFonts w:ascii="Times New Roman" w:hAnsi="Times New Roman"/>
          <w:b/>
          <w:sz w:val="24"/>
          <w:szCs w:val="24"/>
        </w:rPr>
        <w:t>Zamjenik predsjednika Izvršnog odbora BCOP-a, Kanat Asangulov iz Kirgiske Republike, iznio je pregled napretka rada BCOP-a</w:t>
      </w:r>
      <w:r>
        <w:rPr>
          <w:rFonts w:ascii="Times New Roman" w:hAnsi="Times New Roman"/>
          <w:sz w:val="24"/>
          <w:szCs w:val="24"/>
        </w:rPr>
        <w:t>, navodeći kako je u 2017. godini BCOP održao šest sastanka te tri sastanka Izvršnog odbora BCOP-a, a rukovodstvo BCOP-a sudjelovalo je na četiri sastanka Upravnog odbora PEMPAL-a.</w:t>
      </w:r>
      <w:r>
        <w:rPr>
          <w:rFonts w:ascii="Times New Roman" w:hAnsi="Times New Roman"/>
          <w:color w:val="000000"/>
          <w:sz w:val="24"/>
          <w:szCs w:val="24"/>
        </w:rPr>
        <w:t> Rezultati tih i drugih prošlogodišnjih aktivnosti BCOP-a podijeljeni su s rukovodstvom, kao i rezultati ankete provedene prije skupa koja je poslana 21 zemlji članici BCOP-a na temu prioriteta proračunskih reformi zemalja, na temelju kojih će Izvršni odbor BCOP-a finalizirati Akcijski plan za FG 2019.</w:t>
      </w:r>
      <w:r>
        <w:rPr>
          <w:rFonts w:ascii="Times New Roman" w:hAnsi="Times New Roman"/>
          <w:sz w:val="24"/>
          <w:szCs w:val="24"/>
        </w:rPr>
        <w:t xml:space="preserve"> U anketi prije sastanka, 21 zemlja članica BCOP-a zamoljena je da navede svoje prioritete kojima će se baviti na budućim plenarnim sjednicama i sastancima radnih skupina. Izvršni odbor BCOP-a analizirao je i raspravio o tim rezultatima prije plenarne sjednice 13. ožujka. </w:t>
      </w:r>
      <w:r>
        <w:rPr>
          <w:rFonts w:ascii="Times New Roman" w:hAnsi="Times New Roman"/>
          <w:color w:val="000000"/>
          <w:sz w:val="24"/>
          <w:szCs w:val="24"/>
        </w:rPr>
        <w:t>G. Asangulov izvijestio je o temama reforme planiranja proračuna koje su zemlje članice BCOP-a navele kao prioritetne u anketi provedenoj prije skupa u veljači 2018. Najčešći prioriteti odnose se na teme dviju radnih skupina BCOP-a. Sveukupno su glavni prioriteti:</w:t>
      </w:r>
    </w:p>
    <w:p w14:paraId="3067F1C4"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teme povezane s programskim planiranjem i planiranjem proračuna prema učinku (i. programi, ii. pokazatelji učinka, iii. monitoring i evaluacije rashoda uključujući dubinske analize rashoda; </w:t>
      </w:r>
    </w:p>
    <w:p w14:paraId="1EB2BEDA"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teme povezane s proračunskom pismenošću i transparentnošću (i. proračuni za građane, ii. proračunska pismenost, iii. sudjelovanje javnosti); i </w:t>
      </w:r>
    </w:p>
    <w:p w14:paraId="4A507215" w14:textId="77777777" w:rsidR="006D6955" w:rsidRPr="006D6955" w:rsidRDefault="006D6955" w:rsidP="006D6955">
      <w:pPr>
        <w:pStyle w:val="NoSpacing"/>
        <w:numPr>
          <w:ilvl w:val="2"/>
          <w:numId w:val="42"/>
        </w:numPr>
        <w:ind w:left="540"/>
        <w:jc w:val="both"/>
        <w:rPr>
          <w:rFonts w:ascii="Times New Roman" w:eastAsia="Times New Roman" w:hAnsi="Times New Roman" w:cs="Times New Roman"/>
          <w:color w:val="000000"/>
          <w:sz w:val="24"/>
          <w:szCs w:val="24"/>
        </w:rPr>
      </w:pPr>
      <w:r>
        <w:rPr>
          <w:rFonts w:ascii="Times New Roman" w:hAnsi="Times New Roman"/>
          <w:color w:val="000000"/>
          <w:sz w:val="24"/>
          <w:szCs w:val="24"/>
        </w:rPr>
        <w:t>integracija kapitalnog planiranja proračuna / javnog ulaganja u planiranje proračuna (procjena njegove učinkovitosti, utvrđivane prioriteta).</w:t>
      </w:r>
    </w:p>
    <w:p w14:paraId="31DD0AE8" w14:textId="77777777" w:rsidR="00AA75CD" w:rsidRDefault="006D6955" w:rsidP="00AA75CD">
      <w:pPr>
        <w:pStyle w:val="NoSpacing"/>
        <w:jc w:val="both"/>
        <w:rPr>
          <w:rFonts w:ascii="Times New Roman" w:eastAsia="Times New Roman" w:hAnsi="Times New Roman" w:cs="Times New Roman"/>
          <w:sz w:val="24"/>
          <w:szCs w:val="24"/>
        </w:rPr>
      </w:pPr>
      <w:r>
        <w:rPr>
          <w:rFonts w:ascii="Times New Roman" w:hAnsi="Times New Roman"/>
          <w:sz w:val="24"/>
          <w:szCs w:val="24"/>
        </w:rPr>
        <w:t xml:space="preserve">Dogovoreno je da će sljedeća plenarna sjednica biti organizirana u istom obliku, pri čemu će jedan dan biti posvećen svakoj radnoj skupini pod uvjetom da njihove teme i dalje budu od prioritetnog interesa članovima, a pola će dana biti posvećeno trećoj temi. Izvršni odbor će na svom sljedećem sastanku u svibnju 2018. donijeti konačnu odluku o trećoj temi. Također je izvijestio sudionike da je Izvršni odbor prihvatio ponudu Uzbekistana da ugosti BCOP-ovu plenarnu sjednicu u FG 2019. </w:t>
      </w:r>
    </w:p>
    <w:p w14:paraId="58C6A22F" w14:textId="77777777" w:rsidR="00AA75CD" w:rsidRDefault="00AA75CD" w:rsidP="00AA75CD">
      <w:pPr>
        <w:pStyle w:val="NoSpacing"/>
        <w:jc w:val="both"/>
        <w:rPr>
          <w:rFonts w:ascii="Times New Roman" w:eastAsia="Times New Roman" w:hAnsi="Times New Roman" w:cs="Times New Roman"/>
          <w:sz w:val="24"/>
          <w:szCs w:val="24"/>
        </w:rPr>
      </w:pPr>
    </w:p>
    <w:p w14:paraId="4678D5DC" w14:textId="07F8399B" w:rsidR="003C5D88" w:rsidRPr="00AA75CD" w:rsidRDefault="003C5D88" w:rsidP="00AA75CD">
      <w:pPr>
        <w:pStyle w:val="NoSpacing"/>
        <w:jc w:val="both"/>
        <w:rPr>
          <w:rFonts w:ascii="Times New Roman" w:eastAsia="Times New Roman" w:hAnsi="Times New Roman" w:cs="Times New Roman"/>
          <w:sz w:val="24"/>
          <w:szCs w:val="24"/>
        </w:rPr>
      </w:pPr>
      <w:r>
        <w:rPr>
          <w:rFonts w:ascii="Times New Roman" w:hAnsi="Times New Roman"/>
          <w:sz w:val="24"/>
          <w:szCs w:val="24"/>
        </w:rPr>
        <w:t>Dnevni red plenarne sje</w:t>
      </w:r>
      <w:r>
        <w:rPr>
          <w:rFonts w:ascii="Times New Roman" w:hAnsi="Times New Roman"/>
          <w:color w:val="222222"/>
          <w:sz w:val="24"/>
          <w:szCs w:val="24"/>
        </w:rPr>
        <w:t>dnice BCOP-a izn</w:t>
      </w:r>
      <w:r>
        <w:rPr>
          <w:rFonts w:ascii="Times New Roman" w:hAnsi="Times New Roman"/>
          <w:sz w:val="24"/>
          <w:szCs w:val="24"/>
        </w:rPr>
        <w:t xml:space="preserve">esen je u </w:t>
      </w:r>
      <w:r>
        <w:rPr>
          <w:rFonts w:ascii="Times New Roman" w:hAnsi="Times New Roman"/>
          <w:i/>
          <w:sz w:val="24"/>
          <w:szCs w:val="24"/>
        </w:rPr>
        <w:t>Prilogu 1</w:t>
      </w:r>
      <w:r>
        <w:rPr>
          <w:rFonts w:ascii="Times New Roman" w:hAnsi="Times New Roman"/>
          <w:sz w:val="24"/>
          <w:szCs w:val="24"/>
        </w:rPr>
        <w:t>.</w:t>
      </w:r>
    </w:p>
    <w:p w14:paraId="07F47313" w14:textId="10C80B92" w:rsidR="006B6752" w:rsidRPr="00AA75CD" w:rsidRDefault="006B6752" w:rsidP="00AA75CD">
      <w:pPr>
        <w:pStyle w:val="Heading1"/>
        <w:numPr>
          <w:ilvl w:val="0"/>
          <w:numId w:val="36"/>
        </w:numPr>
        <w:rPr>
          <w:rFonts w:ascii="Times New Roman" w:eastAsia="Times New Roman" w:hAnsi="Times New Roman" w:cs="Times New Roman"/>
          <w:b/>
          <w:sz w:val="24"/>
          <w:szCs w:val="24"/>
        </w:rPr>
      </w:pPr>
      <w:bookmarkStart w:id="4" w:name="_Toc514226006"/>
      <w:r>
        <w:rPr>
          <w:rFonts w:ascii="Times New Roman" w:hAnsi="Times New Roman"/>
          <w:b/>
          <w:sz w:val="24"/>
          <w:szCs w:val="24"/>
        </w:rPr>
        <w:t>Prvi dan – Međuvladini fiskalni odnosi</w:t>
      </w:r>
      <w:bookmarkEnd w:id="4"/>
    </w:p>
    <w:p w14:paraId="1498220F" w14:textId="77777777" w:rsidR="008310A4" w:rsidRPr="00C80892" w:rsidRDefault="008310A4" w:rsidP="008310A4">
      <w:pPr>
        <w:jc w:val="both"/>
        <w:rPr>
          <w:rFonts w:ascii="Times New Roman" w:hAnsi="Times New Roman" w:cs="Times New Roman"/>
          <w:sz w:val="24"/>
          <w:szCs w:val="24"/>
        </w:rPr>
      </w:pPr>
      <w:r>
        <w:rPr>
          <w:rFonts w:ascii="Times New Roman" w:hAnsi="Times New Roman"/>
          <w:sz w:val="24"/>
          <w:szCs w:val="24"/>
        </w:rPr>
        <w:t>Tijekom prvog dana sudionici su upoznati s pristupima i trendovima u međuvladinim fiskalnim odnosima te su raspravili o mogućim pristupima i opcijama za zemlje PEMPAL-a.</w:t>
      </w:r>
    </w:p>
    <w:p w14:paraId="2B5F6235" w14:textId="72326B71" w:rsidR="008310A4" w:rsidRPr="00C80892" w:rsidRDefault="008310A4" w:rsidP="008310A4">
      <w:pPr>
        <w:pStyle w:val="NormalWeb"/>
        <w:spacing w:before="120" w:beforeAutospacing="0" w:after="120" w:afterAutospacing="0"/>
        <w:jc w:val="both"/>
        <w:rPr>
          <w:rFonts w:eastAsiaTheme="minorHAnsi"/>
        </w:rPr>
      </w:pPr>
      <w:r>
        <w:rPr>
          <w:b/>
        </w:rPr>
        <w:t>Stručnjaci iz Svjetske banke</w:t>
      </w:r>
      <w:r>
        <w:t xml:space="preserve"> (Iryna Shcherbyna), </w:t>
      </w:r>
      <w:r>
        <w:rPr>
          <w:b/>
        </w:rPr>
        <w:t xml:space="preserve">Tajništva PEFA-e </w:t>
      </w:r>
      <w:r>
        <w:t xml:space="preserve">(Jens Kromann Kristensen), </w:t>
      </w:r>
      <w:r>
        <w:rPr>
          <w:b/>
        </w:rPr>
        <w:t>OECD-a</w:t>
      </w:r>
      <w:r>
        <w:t xml:space="preserve"> (Sean Dougherty)</w:t>
      </w:r>
      <w:r>
        <w:rPr>
          <w:b/>
        </w:rPr>
        <w:t xml:space="preserve"> i austrijskog Ministarstva financija</w:t>
      </w:r>
      <w:r w:rsidR="00647F42">
        <w:t xml:space="preserve"> (Philipp Päcklar i</w:t>
      </w:r>
      <w:r>
        <w:t xml:space="preserve"> Gerlinde Zimmer) </w:t>
      </w:r>
      <w:r>
        <w:rPr>
          <w:b/>
        </w:rPr>
        <w:t xml:space="preserve">održali su izlaganja o međuvladinim fiskalnim odnosima i predstavili slučaj Austrije. </w:t>
      </w:r>
      <w:r>
        <w:t>Ključne rasprave i zaključci iz tih prezentacija sažeti su u nastavku.</w:t>
      </w:r>
    </w:p>
    <w:p w14:paraId="05474D0B" w14:textId="0B16FF2C" w:rsidR="008310A4" w:rsidRPr="00AA75CD" w:rsidRDefault="008310A4" w:rsidP="00AA75CD">
      <w:pPr>
        <w:pStyle w:val="Heading3"/>
        <w:rPr>
          <w:rFonts w:ascii="Times New Roman" w:hAnsi="Times New Roman" w:cs="Times New Roman"/>
          <w:b/>
          <w:color w:val="538135" w:themeColor="accent6" w:themeShade="BF"/>
        </w:rPr>
      </w:pPr>
      <w:bookmarkStart w:id="5" w:name="_Toc514226007"/>
      <w:r>
        <w:rPr>
          <w:rFonts w:ascii="Times New Roman" w:hAnsi="Times New Roman"/>
          <w:b/>
          <w:color w:val="538135" w:themeColor="accent6" w:themeShade="BF"/>
        </w:rPr>
        <w:t>Međuvladini fiskalni transferi: trendovi i izazovi u zemljama PEMPAL-a</w:t>
      </w:r>
      <w:bookmarkEnd w:id="5"/>
    </w:p>
    <w:p w14:paraId="1A1026BD" w14:textId="6E112368" w:rsidR="008310A4" w:rsidRPr="008310A4" w:rsidRDefault="008310A4" w:rsidP="008310A4">
      <w:pPr>
        <w:jc w:val="both"/>
        <w:rPr>
          <w:rFonts w:ascii="Times New Roman" w:hAnsi="Times New Roman" w:cs="Times New Roman"/>
          <w:sz w:val="24"/>
          <w:szCs w:val="24"/>
        </w:rPr>
      </w:pPr>
      <w:r>
        <w:rPr>
          <w:rFonts w:ascii="Times New Roman" w:hAnsi="Times New Roman"/>
          <w:b/>
          <w:sz w:val="24"/>
          <w:szCs w:val="24"/>
        </w:rPr>
        <w:t xml:space="preserve">Predstavljeni su rezultati BCOP-ove tematske ankete o međuvladinim fiskalnim odnosima koja je provedena 2018. </w:t>
      </w:r>
      <w:r>
        <w:rPr>
          <w:rFonts w:ascii="Times New Roman" w:hAnsi="Times New Roman"/>
          <w:sz w:val="24"/>
          <w:szCs w:val="24"/>
        </w:rPr>
        <w:t>Treba naglasiti da se rezultati ankete temelje na samoprocjeni zemalja PEMPAL-a u neslužbenim anketama provedenim prije skupova BCOP-a te nije provedena provjera/čišćenje podataka.</w:t>
      </w:r>
      <w:r>
        <w:rPr>
          <w:rFonts w:ascii="Times New Roman" w:hAnsi="Times New Roman"/>
          <w:iCs/>
          <w:sz w:val="24"/>
          <w:szCs w:val="24"/>
        </w:rPr>
        <w:t xml:space="preserve"> Zbog toga bi se ovi podaci trebali tretirati kao samostalno procijenjena okvirna slika koja će služiti kao temelj za buduće rasprave na skupovima.</w:t>
      </w:r>
    </w:p>
    <w:p w14:paraId="1B6364E8" w14:textId="753D644A"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lastRenderedPageBreak/>
        <w:t xml:space="preserve">Svaka zemlja PEMPAL-a napravila je ravnotežu između delegirane i vlastite ovlasti lokalnih vlasti na svoj specifičan način, uzimajući u obzir povijesne, političke, administrativne, ekonomske i ostale okolnosti. Međutim, ključne usluge za cijelu državu većinom se delegiraju na podnacionalnu razinu koja je bliža poreznim obveznicima i korisnicima usluga.  </w:t>
      </w:r>
      <w:r>
        <w:rPr>
          <w:rFonts w:ascii="Times New Roman" w:hAnsi="Times New Roman"/>
          <w:sz w:val="24"/>
          <w:szCs w:val="24"/>
        </w:rPr>
        <w:t xml:space="preserve">Niže razine vlasti u zemljama PEMPAL-a oblikuju ključne sektore nacionalne politike poput obrazovanja (udio obrazovanja u ukupnim rashodima lokalnih vlasti bio je u prosjeku 32,2 % u 2016.), zdravstva (9,7 %) i socijalne pomoći i zaštite (8,9 %). U sklopu svoje politike također održavaju lokalnu infrastrukturu i plaćaju za komunalne usluge namijenjene proračunskim tijelima. Te odgovornosti lokalne samouprave pokazuju prirodu fiskalne decentralizacije i stvaraju temelj strukture proračunskih rashoda. </w:t>
      </w:r>
    </w:p>
    <w:p w14:paraId="4F22DDD0" w14:textId="40D4656C"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t xml:space="preserve">Udio proračunskih prihoda u BDP-u pokazuje razinu centralizacije sustava upravljanja javnim financijama (PFM) i ulogu lokalnih vlasti. </w:t>
      </w:r>
      <w:r>
        <w:rPr>
          <w:rFonts w:ascii="Times New Roman" w:hAnsi="Times New Roman"/>
          <w:sz w:val="24"/>
          <w:szCs w:val="24"/>
        </w:rPr>
        <w:t xml:space="preserve">Ova se uloga dosta razlikuje u zemljama PEMPAL-a. Vrijednosti variraju od 0,7 % u Armeniji do 16,6, % u Hrvatskoj zbog velikog broja različitih čimbenika. Međutim, nije bilo primjera gdje udio lokalnih proračunskih rashoda premašuje 20 % BDP-a. Prema MMF-ovoj bazi podataka o državnoj financijskoj statistici, porezne ovlasti nižih razina vlasti u svim su zemljama PEMPAL-a niže od prosjeka u državama članicama EU-a (koji iznosi 5,6 %). </w:t>
      </w:r>
    </w:p>
    <w:p w14:paraId="07A463FC" w14:textId="347EC3CC"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t xml:space="preserve">S obzirom na male i ranjive vlastite fiskalne izvore, lokalne su vlasti ovisne o međuproračunskim transferima. </w:t>
      </w:r>
      <w:r>
        <w:rPr>
          <w:rFonts w:ascii="Times New Roman" w:hAnsi="Times New Roman"/>
          <w:sz w:val="24"/>
          <w:szCs w:val="24"/>
        </w:rPr>
        <w:t xml:space="preserve">Primarna je uloga fiskalnih transfera pokriti nedostatak između rashodnih potreba i prihodovnih kapaciteta. Međutim, sustav transfera je mnogostran i kompliciran. </w:t>
      </w:r>
    </w:p>
    <w:p w14:paraId="489C71D8" w14:textId="4ED6C606" w:rsidR="008310A4" w:rsidRPr="00C80892" w:rsidRDefault="008310A4" w:rsidP="008310A4">
      <w:pPr>
        <w:jc w:val="both"/>
        <w:rPr>
          <w:rFonts w:ascii="Times New Roman" w:hAnsi="Times New Roman" w:cs="Times New Roman"/>
          <w:sz w:val="24"/>
          <w:szCs w:val="24"/>
        </w:rPr>
      </w:pPr>
      <w:r>
        <w:rPr>
          <w:rFonts w:ascii="Times New Roman" w:hAnsi="Times New Roman"/>
          <w:bCs/>
          <w:sz w:val="24"/>
          <w:szCs w:val="24"/>
        </w:rPr>
        <w:t>Zemlje PEMPAL-a služe se različitim vrstama međuproračunskih transfera za subvencioniranje, financiranje podnacionalnih usluga i ulaganja te izravnanje, ali su potrebne dodatne reforme.</w:t>
      </w:r>
      <w:r>
        <w:rPr>
          <w:rFonts w:ascii="Times New Roman" w:hAnsi="Times New Roman"/>
          <w:bCs/>
          <w:i/>
          <w:sz w:val="24"/>
          <w:szCs w:val="24"/>
        </w:rPr>
        <w:t xml:space="preserve"> </w:t>
      </w:r>
      <w:r>
        <w:rPr>
          <w:rFonts w:ascii="Times New Roman" w:hAnsi="Times New Roman"/>
          <w:sz w:val="24"/>
          <w:szCs w:val="24"/>
        </w:rPr>
        <w:t>Glavni izazovi vezani uz međuvladine fiskalne odnose tiču se sljedećih tema:</w:t>
      </w:r>
      <w:r>
        <w:rPr>
          <w:rFonts w:ascii="Times New Roman" w:hAnsi="Times New Roman"/>
          <w:b/>
          <w:sz w:val="24"/>
          <w:szCs w:val="24"/>
        </w:rPr>
        <w:t xml:space="preserve"> </w:t>
      </w:r>
      <w:r>
        <w:rPr>
          <w:rFonts w:ascii="Times New Roman" w:hAnsi="Times New Roman"/>
          <w:sz w:val="24"/>
          <w:szCs w:val="24"/>
        </w:rPr>
        <w:t xml:space="preserve">metodologije procjene prihoda i rashoda tijekom planiranja proračuna; pravila za alokaciju transfera; prijenos odgovornosti sa središnje na lokalnu vlast i obrnuto; te poboljšanja proračunskog učinka. </w:t>
      </w:r>
    </w:p>
    <w:p w14:paraId="34C84742" w14:textId="05CC000F" w:rsidR="008310A4" w:rsidRPr="00C80892" w:rsidRDefault="008310A4" w:rsidP="008310A4">
      <w:pPr>
        <w:jc w:val="both"/>
        <w:rPr>
          <w:rFonts w:ascii="Times New Roman" w:hAnsi="Times New Roman" w:cs="Times New Roman"/>
          <w:iCs/>
          <w:sz w:val="24"/>
          <w:szCs w:val="24"/>
        </w:rPr>
      </w:pPr>
      <w:r>
        <w:rPr>
          <w:rFonts w:ascii="Times New Roman" w:hAnsi="Times New Roman"/>
          <w:b/>
          <w:iCs/>
          <w:sz w:val="24"/>
          <w:szCs w:val="24"/>
        </w:rPr>
        <w:t xml:space="preserve">Za razliku od tradicionalnih bespovratnih sredstava, bespovratna sredstva na temelju izlaznih rezultata usmjerena su na kvalitetu i pristup javnim uslugama što je i cilj dodijeljenih bespovratnih sredstava. </w:t>
      </w:r>
      <w:r>
        <w:rPr>
          <w:rFonts w:ascii="Times New Roman" w:hAnsi="Times New Roman"/>
          <w:iCs/>
          <w:sz w:val="24"/>
          <w:szCs w:val="24"/>
        </w:rPr>
        <w:t>Stoga se transferi usmjereni na učinak mogu upotrebljavati kako bi povećali zadovoljstvo građana s pruženim uslugama putem poboljšanja proračunskog učinka, transparentnosti i odgovornosti.</w:t>
      </w:r>
      <w:r>
        <w:rPr>
          <w:rFonts w:ascii="Times New Roman" w:hAnsi="Times New Roman"/>
          <w:b/>
          <w:iCs/>
          <w:sz w:val="24"/>
          <w:szCs w:val="24"/>
        </w:rPr>
        <w:t xml:space="preserve"> </w:t>
      </w:r>
      <w:r>
        <w:rPr>
          <w:rFonts w:ascii="Times New Roman" w:hAnsi="Times New Roman"/>
          <w:iCs/>
          <w:sz w:val="24"/>
          <w:szCs w:val="24"/>
        </w:rPr>
        <w:t xml:space="preserve">Njihove kritički važne značajke jasni su ciljevi bespovratnih sredstava i pokazatelja učinka (uključujući jasnu osnovnu vrijednost i dostupnost podataka o učinku kako bi se provjerile osnovne vrijednosti i ostvareni rezultati. Te su značajke u skladu s planiranjem proračuna prema učinku koje se uvodi ili će se uvesti u budućnosti u nekim zemljama PEMPAL-a. </w:t>
      </w:r>
    </w:p>
    <w:p w14:paraId="02627603" w14:textId="736A0F79" w:rsidR="008310A4" w:rsidRPr="00AA75CD" w:rsidRDefault="008310A4" w:rsidP="00AA75CD">
      <w:pPr>
        <w:pStyle w:val="Heading3"/>
        <w:rPr>
          <w:rFonts w:ascii="Times New Roman" w:hAnsi="Times New Roman" w:cs="Times New Roman"/>
          <w:b/>
          <w:color w:val="538135" w:themeColor="accent6" w:themeShade="BF"/>
        </w:rPr>
      </w:pPr>
      <w:bookmarkStart w:id="6" w:name="_Toc514226008"/>
      <w:r>
        <w:rPr>
          <w:rFonts w:ascii="Times New Roman" w:hAnsi="Times New Roman"/>
          <w:b/>
          <w:color w:val="538135" w:themeColor="accent6" w:themeShade="BF"/>
        </w:rPr>
        <w:t>Što nam procjene PEFA-e govore o međuvladinim fiskalnim odnosima?</w:t>
      </w:r>
      <w:bookmarkEnd w:id="6"/>
    </w:p>
    <w:p w14:paraId="16560C10" w14:textId="2BDC4025"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t>PEFA je dijagnostički alat za mapiranje državnog učinka PFM-a na nacionalnoj i podnacionalnoj razini</w:t>
      </w:r>
      <w:r>
        <w:rPr>
          <w:rFonts w:ascii="Times New Roman" w:hAnsi="Times New Roman"/>
          <w:sz w:val="24"/>
          <w:szCs w:val="24"/>
        </w:rPr>
        <w:t xml:space="preserve"> koji se referira na dobre prakse i uspoređuje učinak PFM-a tijekom vremena među zemljama i unutar zemlje. Baza podataka PEFA-e sastoji se od preko 570 izvještaja i preko 40.000 pojedinačnih rezultata učinka. PEFA je ocijenila 18 zemalja članica PEMPAL-a od 2006. PEFA-in okvir ažuriran je 2016. i uključuje tri krajnja rezultata, sedam stupova i 31 pokazatelj.</w:t>
      </w:r>
      <w:r>
        <w:rPr>
          <w:rFonts w:ascii="Times New Roman" w:hAnsi="Times New Roman"/>
          <w:b/>
          <w:sz w:val="24"/>
          <w:szCs w:val="24"/>
        </w:rPr>
        <w:t xml:space="preserve"> </w:t>
      </w:r>
      <w:r>
        <w:rPr>
          <w:rFonts w:ascii="Times New Roman" w:hAnsi="Times New Roman"/>
          <w:sz w:val="24"/>
          <w:szCs w:val="24"/>
        </w:rPr>
        <w:t xml:space="preserve">PEFA-ini stupovi iz 2016. godine uključuju pouzdanost proračuna, transparentnost javnih financija, upravljanje imovinom i obvezama, fiskalnu strategiju i planiranje proračuna na temelju politike, </w:t>
      </w:r>
      <w:r>
        <w:rPr>
          <w:rFonts w:ascii="Times New Roman" w:hAnsi="Times New Roman"/>
          <w:sz w:val="24"/>
          <w:szCs w:val="24"/>
        </w:rPr>
        <w:lastRenderedPageBreak/>
        <w:t>predvidljivost i kontrolu izvršenja proračuna, računovodstvo i izvještavanje, vanjsku provjeru i reviziju.</w:t>
      </w:r>
    </w:p>
    <w:p w14:paraId="7E19736A" w14:textId="437B7A0C" w:rsidR="008310A4" w:rsidRPr="00C80892" w:rsidRDefault="008310A4" w:rsidP="008310A4">
      <w:pPr>
        <w:jc w:val="both"/>
        <w:rPr>
          <w:rFonts w:ascii="Times New Roman" w:eastAsia="Times New Roman" w:hAnsi="Times New Roman" w:cs="Times New Roman"/>
          <w:color w:val="000000"/>
          <w:sz w:val="24"/>
          <w:szCs w:val="24"/>
        </w:rPr>
      </w:pPr>
      <w:r>
        <w:rPr>
          <w:rFonts w:ascii="Times New Roman" w:hAnsi="Times New Roman"/>
          <w:b/>
          <w:sz w:val="24"/>
          <w:szCs w:val="24"/>
        </w:rPr>
        <w:t>Dva pokazatelja PEFA-e odnose se na niže razine vlasti s izravnom povezanošću sa središnjom vladom.</w:t>
      </w:r>
      <w:r>
        <w:rPr>
          <w:rFonts w:ascii="Times New Roman" w:hAnsi="Times New Roman"/>
          <w:b/>
          <w:bCs/>
          <w:sz w:val="24"/>
          <w:szCs w:val="24"/>
        </w:rPr>
        <w:t xml:space="preserve"> </w:t>
      </w:r>
      <w:r>
        <w:rPr>
          <w:rFonts w:ascii="Times New Roman" w:hAnsi="Times New Roman"/>
          <w:sz w:val="24"/>
          <w:szCs w:val="24"/>
        </w:rPr>
        <w:t xml:space="preserve">Pokazateljem za </w:t>
      </w:r>
      <w:r>
        <w:rPr>
          <w:rFonts w:ascii="Times New Roman" w:hAnsi="Times New Roman"/>
          <w:i/>
          <w:sz w:val="24"/>
          <w:szCs w:val="24"/>
        </w:rPr>
        <w:t>transfere nižim razinama vlasti</w:t>
      </w:r>
      <w:r>
        <w:rPr>
          <w:rFonts w:ascii="Times New Roman" w:hAnsi="Times New Roman"/>
          <w:sz w:val="24"/>
          <w:szCs w:val="24"/>
        </w:rPr>
        <w:t xml:space="preserve"> procjenjuje se transparentnost i pravovremenost transfera iz središnje vlade nižim razinama vlastima (NRV) s izravnim financijskim vezama.</w:t>
      </w:r>
      <w:r>
        <w:rPr>
          <w:rFonts w:ascii="Times New Roman" w:hAnsi="Times New Roman"/>
          <w:b/>
          <w:bCs/>
          <w:color w:val="28C0DA"/>
          <w:sz w:val="24"/>
          <w:szCs w:val="24"/>
        </w:rPr>
        <w:t xml:space="preserve"> </w:t>
      </w:r>
      <w:r>
        <w:rPr>
          <w:rFonts w:ascii="Times New Roman" w:hAnsi="Times New Roman"/>
          <w:sz w:val="24"/>
          <w:szCs w:val="24"/>
        </w:rPr>
        <w:t>Pokazateljem za</w:t>
      </w:r>
      <w:r>
        <w:rPr>
          <w:rFonts w:ascii="Times New Roman" w:hAnsi="Times New Roman"/>
          <w:i/>
          <w:sz w:val="24"/>
          <w:szCs w:val="24"/>
        </w:rPr>
        <w:t xml:space="preserve"> izvještavanje o fiskalnim rizicima – praćenje NRV-a</w:t>
      </w:r>
      <w:r>
        <w:rPr>
          <w:rFonts w:ascii="Times New Roman" w:hAnsi="Times New Roman"/>
          <w:sz w:val="24"/>
          <w:szCs w:val="24"/>
        </w:rPr>
        <w:t xml:space="preserve"> pruža se procjena do koje mjere su informacije o financijskom učinku, uključujući izloženost središnje države fiskalnim rizicima, dostupne putem godišnjih financijskih izvještaja NRV-a koji su prošli reviziju.</w:t>
      </w:r>
    </w:p>
    <w:p w14:paraId="316DA3CB" w14:textId="26988CDF" w:rsidR="008310A4" w:rsidRPr="00C80892" w:rsidRDefault="008310A4" w:rsidP="008310A4">
      <w:pPr>
        <w:jc w:val="both"/>
        <w:rPr>
          <w:rFonts w:ascii="Times New Roman" w:eastAsia="Times New Roman" w:hAnsi="Times New Roman" w:cs="Times New Roman"/>
          <w:sz w:val="24"/>
          <w:szCs w:val="24"/>
        </w:rPr>
      </w:pPr>
      <w:r>
        <w:rPr>
          <w:rFonts w:ascii="Times New Roman" w:hAnsi="Times New Roman"/>
          <w:b/>
          <w:sz w:val="24"/>
          <w:szCs w:val="24"/>
        </w:rPr>
        <w:t>Dobra međunarodna praksa o transferima NRV-u koju podrazumijeva PEFA</w:t>
      </w:r>
      <w:r>
        <w:rPr>
          <w:rFonts w:ascii="Times New Roman" w:hAnsi="Times New Roman"/>
          <w:sz w:val="24"/>
          <w:szCs w:val="24"/>
        </w:rPr>
        <w:t xml:space="preserve"> Uključuje jasne kriterije za raspodjelu bespovratnih sredstava, predvidljivost godišnjih alokacija i praćenje neto fiskalne pozicije NRV-a koji imaju izravne fiskalne odnose sa središnjom državom. </w:t>
      </w:r>
    </w:p>
    <w:p w14:paraId="56316701" w14:textId="5EFCA2DA" w:rsidR="008310A4" w:rsidRPr="00C80892" w:rsidRDefault="008310A4" w:rsidP="008310A4">
      <w:pPr>
        <w:jc w:val="both"/>
        <w:rPr>
          <w:rFonts w:ascii="Times New Roman" w:eastAsia="Times New Roman" w:hAnsi="Times New Roman" w:cs="Times New Roman"/>
          <w:color w:val="000000"/>
          <w:sz w:val="24"/>
          <w:szCs w:val="24"/>
        </w:rPr>
      </w:pPr>
      <w:r>
        <w:rPr>
          <w:rFonts w:ascii="Times New Roman" w:hAnsi="Times New Roman"/>
          <w:b/>
          <w:sz w:val="24"/>
          <w:szCs w:val="24"/>
        </w:rPr>
        <w:t xml:space="preserve">Usto, kada se provode procjene PEFA-e na podnacionalnoj razini, gleda se pouzdanost transfera s viših razina vlasti. </w:t>
      </w:r>
      <w:r>
        <w:rPr>
          <w:rFonts w:ascii="Times New Roman" w:hAnsi="Times New Roman"/>
          <w:sz w:val="24"/>
          <w:szCs w:val="24"/>
        </w:rPr>
        <w:t xml:space="preserve">Ovim se pokazateljem mjeri </w:t>
      </w:r>
      <w:r>
        <w:rPr>
          <w:rFonts w:ascii="Times New Roman" w:hAnsi="Times New Roman"/>
          <w:color w:val="000000"/>
          <w:sz w:val="24"/>
          <w:szCs w:val="24"/>
        </w:rPr>
        <w:t>razmjer u kojem su transferi s viših razina vlasti na niže razine vlasti dosljedni s izvorno odobrenim proračunima visoke razine te su provedeni u skladu s prihvatljivim rokovima.</w:t>
      </w:r>
    </w:p>
    <w:p w14:paraId="40497D69" w14:textId="53256DE1" w:rsidR="008310A4" w:rsidRPr="008E7C67" w:rsidRDefault="008310A4" w:rsidP="008310A4">
      <w:pPr>
        <w:jc w:val="both"/>
        <w:rPr>
          <w:rFonts w:ascii="Times New Roman" w:eastAsia="Times New Roman" w:hAnsi="Times New Roman" w:cs="Times New Roman"/>
          <w:sz w:val="24"/>
          <w:szCs w:val="24"/>
        </w:rPr>
      </w:pPr>
      <w:r>
        <w:rPr>
          <w:rFonts w:ascii="Times New Roman" w:hAnsi="Times New Roman"/>
          <w:b/>
          <w:bCs/>
          <w:sz w:val="24"/>
          <w:szCs w:val="24"/>
        </w:rPr>
        <w:t xml:space="preserve">Regija Europe i srednje Azije </w:t>
      </w:r>
      <w:r>
        <w:rPr>
          <w:rFonts w:ascii="Times New Roman" w:hAnsi="Times New Roman"/>
          <w:b/>
          <w:sz w:val="24"/>
          <w:szCs w:val="24"/>
        </w:rPr>
        <w:t>ima bolji učinak od drugih regija</w:t>
      </w:r>
      <w:r>
        <w:rPr>
          <w:rFonts w:ascii="Times New Roman" w:hAnsi="Times New Roman"/>
          <w:sz w:val="24"/>
          <w:szCs w:val="24"/>
        </w:rPr>
        <w:t xml:space="preserve"> po svim PEFA-inim pokazateljima/dimenzijama; međutim, postoji nerazmjer među zemljama koje daju priliku za razmjenu znanja i </w:t>
      </w:r>
      <w:r>
        <w:rPr>
          <w:rFonts w:ascii="Times New Roman" w:hAnsi="Times New Roman"/>
          <w:bCs/>
          <w:sz w:val="24"/>
          <w:szCs w:val="24"/>
        </w:rPr>
        <w:t xml:space="preserve">učenje od kolega </w:t>
      </w:r>
      <w:r>
        <w:rPr>
          <w:rFonts w:ascii="Times New Roman" w:hAnsi="Times New Roman"/>
          <w:sz w:val="24"/>
          <w:szCs w:val="24"/>
        </w:rPr>
        <w:t>u regiji.</w:t>
      </w:r>
    </w:p>
    <w:p w14:paraId="5E5CFC22" w14:textId="2177E10D" w:rsidR="008310A4" w:rsidRPr="00AA75CD" w:rsidRDefault="008310A4" w:rsidP="00AA75CD">
      <w:pPr>
        <w:pStyle w:val="Heading3"/>
        <w:rPr>
          <w:rFonts w:ascii="Times New Roman" w:hAnsi="Times New Roman" w:cs="Times New Roman"/>
          <w:b/>
          <w:color w:val="538135" w:themeColor="accent6" w:themeShade="BF"/>
        </w:rPr>
      </w:pPr>
      <w:bookmarkStart w:id="7" w:name="_Toc514226009"/>
      <w:r>
        <w:rPr>
          <w:rFonts w:ascii="Times New Roman" w:hAnsi="Times New Roman"/>
          <w:b/>
          <w:color w:val="538135" w:themeColor="accent6" w:themeShade="BF"/>
        </w:rPr>
        <w:t>Poruke OECD-ove fiskalne mreže</w:t>
      </w:r>
      <w:bookmarkEnd w:id="7"/>
    </w:p>
    <w:p w14:paraId="3041A022" w14:textId="29360EF6" w:rsidR="008310A4" w:rsidRPr="00C80892" w:rsidRDefault="008310A4" w:rsidP="008310A4">
      <w:pPr>
        <w:jc w:val="both"/>
        <w:rPr>
          <w:rFonts w:ascii="Times New Roman" w:eastAsiaTheme="majorEastAsia" w:hAnsi="Times New Roman" w:cs="Times New Roman"/>
          <w:bCs/>
          <w:kern w:val="24"/>
          <w:sz w:val="24"/>
          <w:szCs w:val="24"/>
        </w:rPr>
      </w:pPr>
      <w:r>
        <w:rPr>
          <w:rFonts w:ascii="Times New Roman" w:hAnsi="Times New Roman"/>
          <w:b/>
          <w:bCs/>
          <w:sz w:val="24"/>
          <w:szCs w:val="24"/>
        </w:rPr>
        <w:t xml:space="preserve">Zemlje OECD-a slijede različite modele, međutim bogatije zemlje su općenito decentraliziranije. Postoje četiri vrste sustava PFM-a diljem zemalja OECD-a: </w:t>
      </w:r>
    </w:p>
    <w:p w14:paraId="60A914E3" w14:textId="0A488A08"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rPr>
      </w:pPr>
      <w:r>
        <w:rPr>
          <w:rFonts w:ascii="Times New Roman" w:hAnsi="Times New Roman"/>
          <w:bCs/>
          <w:sz w:val="24"/>
          <w:szCs w:val="24"/>
        </w:rPr>
        <w:t>visoka decentralizirana potrošnja i visoki porezni prihodi (Kanada, Danska, Švedska, Finska, Njemačka, SAD, Japan, Španjolska, Švicarska, Austrija, Belgija)</w:t>
      </w:r>
    </w:p>
    <w:p w14:paraId="51932ED1" w14:textId="1BE3FABF"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rPr>
      </w:pPr>
      <w:r>
        <w:rPr>
          <w:rFonts w:ascii="Times New Roman" w:hAnsi="Times New Roman"/>
          <w:bCs/>
          <w:sz w:val="24"/>
          <w:szCs w:val="24"/>
        </w:rPr>
        <w:t xml:space="preserve">srednja decentralizirana potrošnja i srednji porezni prihodi (Slovenija, Francuska, Češka, Italija, Norveška, Poljska, Južna Koreja, Latvija, Island, Australija); </w:t>
      </w:r>
    </w:p>
    <w:p w14:paraId="1677E66A" w14:textId="141740D0"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rPr>
      </w:pPr>
      <w:r>
        <w:rPr>
          <w:rFonts w:ascii="Times New Roman" w:hAnsi="Times New Roman"/>
          <w:bCs/>
          <w:sz w:val="24"/>
          <w:szCs w:val="24"/>
        </w:rPr>
        <w:t>srednja decentralizirana potrošnja i niski porezni prihodi (Estonija, Ujedinjena Kraljevina, Nizozemska, Meksiko, Austrija);</w:t>
      </w:r>
    </w:p>
    <w:p w14:paraId="10CF25DC" w14:textId="5B1E33B8" w:rsidR="008310A4" w:rsidRPr="00AA75CD" w:rsidRDefault="008310A4" w:rsidP="00AA75CD">
      <w:pPr>
        <w:pStyle w:val="ListParagraph"/>
        <w:numPr>
          <w:ilvl w:val="0"/>
          <w:numId w:val="39"/>
        </w:numPr>
        <w:jc w:val="both"/>
        <w:rPr>
          <w:rFonts w:ascii="Times New Roman" w:eastAsiaTheme="majorEastAsia" w:hAnsi="Times New Roman" w:cs="Times New Roman"/>
          <w:bCs/>
          <w:kern w:val="24"/>
          <w:sz w:val="24"/>
          <w:szCs w:val="24"/>
        </w:rPr>
      </w:pPr>
      <w:r>
        <w:rPr>
          <w:rFonts w:ascii="Times New Roman" w:hAnsi="Times New Roman"/>
          <w:bCs/>
          <w:sz w:val="24"/>
          <w:szCs w:val="24"/>
        </w:rPr>
        <w:t>niska decentralizirana potrošnja i niski porezni prihodi (Grčka, Novi Zeland, Irska, Čile, Turska, Portugal, Slovačka, Mađarska, Luksemburg, Izrael).</w:t>
      </w:r>
    </w:p>
    <w:p w14:paraId="75EC28FC" w14:textId="6C105E6B" w:rsidR="008310A4" w:rsidRPr="00C80892" w:rsidRDefault="008310A4" w:rsidP="008310A4">
      <w:pPr>
        <w:jc w:val="both"/>
        <w:rPr>
          <w:rFonts w:ascii="Times New Roman" w:eastAsiaTheme="majorEastAsia" w:hAnsi="Times New Roman" w:cs="Times New Roman"/>
          <w:bCs/>
          <w:i/>
          <w:iCs/>
          <w:kern w:val="24"/>
          <w:sz w:val="24"/>
          <w:szCs w:val="24"/>
        </w:rPr>
      </w:pPr>
      <w:r>
        <w:rPr>
          <w:rFonts w:ascii="Times New Roman" w:hAnsi="Times New Roman"/>
          <w:bCs/>
          <w:sz w:val="24"/>
          <w:szCs w:val="24"/>
        </w:rPr>
        <w:t xml:space="preserve">Politička područja koja su najviše decentralizirana: </w:t>
      </w:r>
      <w:r>
        <w:rPr>
          <w:rFonts w:ascii="Times New Roman" w:hAnsi="Times New Roman"/>
          <w:bCs/>
          <w:i/>
          <w:iCs/>
          <w:sz w:val="24"/>
          <w:szCs w:val="24"/>
        </w:rPr>
        <w:t>obrazovanje, socijalna zaštita, zdravstvo, javni prijevoz i stambeni smještaj.</w:t>
      </w:r>
    </w:p>
    <w:p w14:paraId="7FED30FF" w14:textId="7E35709B" w:rsidR="008310A4" w:rsidRPr="00C80892" w:rsidRDefault="008310A4" w:rsidP="008310A4">
      <w:pPr>
        <w:pStyle w:val="NormalWeb"/>
        <w:spacing w:before="120" w:beforeAutospacing="0" w:after="120" w:afterAutospacing="0"/>
        <w:jc w:val="both"/>
        <w:textAlignment w:val="baseline"/>
      </w:pPr>
      <w:r>
        <w:rPr>
          <w:b/>
          <w:bCs/>
          <w:iCs/>
        </w:rPr>
        <w:t xml:space="preserve">Decentralizacija pomaže promicanju učinka NRV-a i unaprjeđuje produktivnost javnog sektora, stoga bi se trebali primijeniti mehanizmi mjerenja učinka. </w:t>
      </w:r>
      <w:r>
        <w:t>Sastavne pokazatelje lako je tumačiti, međutim trebali bi biti popraćeni s više detaljnih informacija, analizom osjetljivosti i upotrijebljenom tehnikom.</w:t>
      </w:r>
      <w:r>
        <w:rPr>
          <w:color w:val="000000" w:themeColor="text1"/>
        </w:rPr>
        <w:t xml:space="preserve"> U pogledu sustava osiguranja kvalitete, vanjska inspekcija i samoprocjena korisni su, posebno kada se upotrebljavaju zajedno. Iza rezultata će vjerojatnije stajati pružatelj usluga, ali se može dobiti i određeni odmak te dovesti u pitanje zaključci/pretpostavke. Anketama o zadovoljstvu i iskustvu korisnika može se utvrditi kvaliteta usluga na širem području. Bolje zadovoljstvo korisnika također je povezano s boljim krajnjim rezultatima u pogledu korisnika (posebno za zdravstvo).</w:t>
      </w:r>
    </w:p>
    <w:p w14:paraId="497DA4BE" w14:textId="2497C438" w:rsidR="008310A4" w:rsidRPr="00644CBE" w:rsidRDefault="008310A4" w:rsidP="008310A4">
      <w:pPr>
        <w:jc w:val="both"/>
        <w:textAlignment w:val="baseline"/>
        <w:rPr>
          <w:rFonts w:ascii="Times New Roman" w:eastAsia="Times New Roman" w:hAnsi="Times New Roman" w:cs="Times New Roman"/>
          <w:sz w:val="24"/>
          <w:szCs w:val="24"/>
        </w:rPr>
      </w:pPr>
      <w:r>
        <w:rPr>
          <w:rFonts w:ascii="Times New Roman" w:hAnsi="Times New Roman"/>
          <w:sz w:val="24"/>
          <w:szCs w:val="24"/>
        </w:rPr>
        <w:lastRenderedPageBreak/>
        <w:t>Na temelju nedavne sinteze pregleda preporučuje se bolje uskladiti potrošnje podsredišnje razine s vlastitim izvorima prihoda; jasno definirati odgovornosti i obveze; povećati ovlasti podsredišnje razine u pogledu potrošnje i poreza te smanjiti obuhvat namjenskih bespovratnih sredstava; održavati i jačati unutarnje tržište; prebaciti neke odgovornosti na pružatelje usluga u privatnom sektoru; te osnažiti međuvladine informacijske i koordinacijske sustave.</w:t>
      </w:r>
      <w:r>
        <w:rPr>
          <w:rFonts w:ascii="Times New Roman" w:hAnsi="Times New Roman"/>
          <w:bCs/>
          <w:sz w:val="24"/>
          <w:szCs w:val="24"/>
        </w:rPr>
        <w:t xml:space="preserve"> </w:t>
      </w:r>
    </w:p>
    <w:p w14:paraId="7425DB78" w14:textId="7DC60FF0" w:rsidR="008310A4" w:rsidRPr="0089284A" w:rsidRDefault="008310A4" w:rsidP="008310A4">
      <w:pPr>
        <w:jc w:val="both"/>
        <w:textAlignment w:val="baseline"/>
        <w:rPr>
          <w:rFonts w:ascii="Times New Roman" w:eastAsia="Times New Roman" w:hAnsi="Times New Roman" w:cs="Times New Roman"/>
          <w:sz w:val="24"/>
          <w:szCs w:val="24"/>
        </w:rPr>
      </w:pPr>
      <w:r>
        <w:rPr>
          <w:rFonts w:ascii="Times New Roman" w:hAnsi="Times New Roman"/>
          <w:b/>
          <w:bCs/>
          <w:sz w:val="24"/>
          <w:szCs w:val="24"/>
        </w:rPr>
        <w:t>Fiskalno izravnanje „prirodni” je pratitelj decentralizacije</w:t>
      </w:r>
      <w:r>
        <w:rPr>
          <w:rFonts w:ascii="Times New Roman" w:hAnsi="Times New Roman"/>
          <w:bCs/>
          <w:sz w:val="24"/>
          <w:szCs w:val="24"/>
        </w:rPr>
        <w:t xml:space="preserve"> kojim se nastoje ispraviti razlike u razini autonomije podnacionalnih vlasti. </w:t>
      </w:r>
      <w:r>
        <w:rPr>
          <w:rFonts w:ascii="Times New Roman" w:hAnsi="Times New Roman"/>
          <w:bCs/>
          <w:iCs/>
          <w:sz w:val="24"/>
          <w:szCs w:val="24"/>
        </w:rPr>
        <w:t>Naširoko se upotrebljava</w:t>
      </w:r>
      <w:r>
        <w:rPr>
          <w:rFonts w:ascii="Times New Roman" w:hAnsi="Times New Roman"/>
          <w:bCs/>
          <w:sz w:val="24"/>
          <w:szCs w:val="24"/>
        </w:rPr>
        <w:t>: diljem OECD-a fiskalno izravnanje iznosi 2,5 % BDP-a; 5 % državnih rashoda i 50 % međuvladinih transfera Dok može ispraviti regionalne razlike, ne ispravlja razlike na razini kućanstava, stoga je nužan oprez.</w:t>
      </w:r>
    </w:p>
    <w:p w14:paraId="6B61919D" w14:textId="7810D5C1" w:rsidR="008310A4" w:rsidRDefault="008310A4" w:rsidP="00AA75CD">
      <w:pPr>
        <w:pStyle w:val="Heading3"/>
        <w:rPr>
          <w:rFonts w:ascii="Times New Roman" w:hAnsi="Times New Roman" w:cs="Times New Roman"/>
          <w:b/>
          <w:color w:val="538135" w:themeColor="accent6" w:themeShade="BF"/>
        </w:rPr>
      </w:pPr>
      <w:bookmarkStart w:id="8" w:name="_Toc514226010"/>
      <w:r>
        <w:rPr>
          <w:rFonts w:ascii="Times New Roman" w:hAnsi="Times New Roman"/>
          <w:b/>
          <w:color w:val="538135" w:themeColor="accent6" w:themeShade="BF"/>
        </w:rPr>
        <w:t>Međuvladini fiskalni odnosi: austrijsko iskustvo</w:t>
      </w:r>
      <w:bookmarkEnd w:id="8"/>
    </w:p>
    <w:p w14:paraId="191C1A2A" w14:textId="0FBD9667"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t>Ključne odgovornosti podijeljene su među tri razine vlasti u Austriji</w:t>
      </w:r>
      <w:r>
        <w:rPr>
          <w:rFonts w:ascii="Times New Roman" w:hAnsi="Times New Roman"/>
          <w:sz w:val="24"/>
          <w:szCs w:val="24"/>
        </w:rPr>
        <w:t xml:space="preserve"> – savezna vlada, 9 država i 2098 lokalnih vlasti. Udio rashoda središnje države u ukupnoj javnoj potrošnji za 2015. iznosio je 35 %, udio država iznosio je 24 % i udio lokalnih vlasti iznosio je 8 % (preostalih 32 % za socijalno osiguranje i 1 % za komore). </w:t>
      </w:r>
    </w:p>
    <w:p w14:paraId="662486E9" w14:textId="4F47508C" w:rsidR="008310A4" w:rsidRPr="00C80892" w:rsidRDefault="008310A4" w:rsidP="008310A4">
      <w:pPr>
        <w:jc w:val="both"/>
        <w:rPr>
          <w:rFonts w:ascii="Times New Roman" w:hAnsi="Times New Roman" w:cs="Times New Roman"/>
          <w:sz w:val="24"/>
          <w:szCs w:val="24"/>
        </w:rPr>
      </w:pPr>
      <w:r>
        <w:rPr>
          <w:rFonts w:ascii="Times New Roman" w:hAnsi="Times New Roman"/>
          <w:b/>
          <w:sz w:val="24"/>
          <w:szCs w:val="24"/>
        </w:rPr>
        <w:t xml:space="preserve">Glavni cilj politike fiskalnog federalizma jest osigurati fiskalnu jednakost. </w:t>
      </w:r>
      <w:r>
        <w:rPr>
          <w:rFonts w:ascii="Times New Roman" w:hAnsi="Times New Roman"/>
          <w:sz w:val="24"/>
          <w:szCs w:val="24"/>
        </w:rPr>
        <w:t>Pravni se okvir sastoji od ustavne povelje, Fiskalnog ustavnog zakona iz 1948. i Zakona o međuvladinim fiskalnim odnosima (IFRA). Ustavna povelja definira nadležnosti saveznih, državnih i lokalnih vlasti. Fiskalni ustavni zakon određuje osnovna pravila fiskalnih ovlasti savezne razine, država i općina (među kojima su najvažniji porez, raspodjela poreza, snošenje troškova i pravila transfera). IFRA detaljno obrađuje međuvladine fiskalne odnose. Orijentira se na zadatke, podupire poreznu autonomiju država, određuje maksimalne gornje granice javnih jamstava za sve razine vlasti, određuje novi instrument podrške administrativnih reformi (sustav uspoređivanja i dubinskih analiza rashoda).</w:t>
      </w:r>
    </w:p>
    <w:p w14:paraId="225887B1" w14:textId="0A40D4AD" w:rsidR="008310A4" w:rsidRPr="00E762D1" w:rsidRDefault="008310A4" w:rsidP="00971A17">
      <w:pPr>
        <w:jc w:val="both"/>
        <w:rPr>
          <w:rFonts w:ascii="Times New Roman" w:eastAsia="Times New Roman" w:hAnsi="Times New Roman" w:cs="Times New Roman"/>
          <w:sz w:val="24"/>
          <w:szCs w:val="24"/>
        </w:rPr>
      </w:pPr>
      <w:r>
        <w:rPr>
          <w:rFonts w:ascii="Times New Roman" w:hAnsi="Times New Roman"/>
          <w:b/>
          <w:sz w:val="24"/>
          <w:szCs w:val="24"/>
        </w:rPr>
        <w:t xml:space="preserve">Jedan od ključnih ciljeva fiskalnog upravljanja jest osigurati održive proračune.  </w:t>
      </w:r>
      <w:r>
        <w:rPr>
          <w:rFonts w:ascii="Times New Roman" w:hAnsi="Times New Roman"/>
          <w:sz w:val="24"/>
          <w:szCs w:val="24"/>
        </w:rPr>
        <w:t>Fiskalno upravljanje jest austrijski pakt za unutarnju stabilnost i cilj mu je koordinacija proračunskih politika među različitim razinama vlasti u Austriji. Riječ je o neograničenom ugovoru (prethodni su bili na 4-6 godina) koji se uz koordinaciju proračuna bavi proračunskom politikom za srednjoročno razdoblje i regulira Fiskalno vijeće diljem zemlje, kao i sustav višestrukih fiskalnih pravila i sankcija.</w:t>
      </w:r>
      <w:r>
        <w:rPr>
          <w:rFonts w:ascii="Times New Roman" w:hAnsi="Times New Roman"/>
          <w:color w:val="000000" w:themeColor="text1"/>
          <w:sz w:val="24"/>
          <w:szCs w:val="24"/>
        </w:rPr>
        <w:t xml:space="preserve"> </w:t>
      </w:r>
      <w:r>
        <w:rPr>
          <w:rFonts w:ascii="Times New Roman" w:hAnsi="Times New Roman"/>
          <w:sz w:val="24"/>
          <w:szCs w:val="24"/>
        </w:rPr>
        <w:t xml:space="preserve">Pakt se fokusira na deficit, u skladu s uravnoteženim proračunskim položajem vlade u 2016. prema ugovoru iz Maastrichta. Daje pravila strukturne ravnoteže za sve razine vlasti u pogledu limita strukturnog deficita središnje države u iznosu od -0,45 % BDP-a, u skladu sa srednjoročnim ciljem (-0,35 % za središnju državu i -0,1% </w:t>
      </w:r>
      <w:r w:rsidR="00647F42">
        <w:rPr>
          <w:rFonts w:ascii="Times New Roman" w:hAnsi="Times New Roman"/>
          <w:sz w:val="24"/>
          <w:szCs w:val="24"/>
        </w:rPr>
        <w:t>za</w:t>
      </w:r>
      <w:r>
        <w:rPr>
          <w:rFonts w:ascii="Times New Roman" w:hAnsi="Times New Roman"/>
          <w:sz w:val="24"/>
          <w:szCs w:val="24"/>
        </w:rPr>
        <w:t xml:space="preserve"> države i općine). Prema pravilu rashoda Pakta, godišnji rast rashoda svih vlasti ne smije premašiti iznos ispod referentne srednjoročne stope potencijalnog rasta BDP-a. </w:t>
      </w:r>
    </w:p>
    <w:p w14:paraId="03175488" w14:textId="558D5ADA" w:rsidR="006B6752" w:rsidRPr="00AA75CD" w:rsidRDefault="006B6752" w:rsidP="00AA75CD">
      <w:pPr>
        <w:pStyle w:val="Heading1"/>
        <w:numPr>
          <w:ilvl w:val="0"/>
          <w:numId w:val="36"/>
        </w:numPr>
        <w:rPr>
          <w:rFonts w:ascii="Times New Roman" w:eastAsia="Times New Roman" w:hAnsi="Times New Roman" w:cs="Times New Roman"/>
          <w:b/>
          <w:sz w:val="24"/>
          <w:szCs w:val="24"/>
        </w:rPr>
      </w:pPr>
      <w:bookmarkStart w:id="9" w:name="_Toc514226011"/>
      <w:r>
        <w:rPr>
          <w:rFonts w:ascii="Times New Roman" w:hAnsi="Times New Roman"/>
          <w:b/>
          <w:sz w:val="24"/>
          <w:szCs w:val="24"/>
        </w:rPr>
        <w:t>Drugi dan – domaćin je Radna skupina za programsko planiranje i planiranje proračuna prema učinku (PPBWG), s naglaskom na pokazatelje učinka</w:t>
      </w:r>
      <w:bookmarkEnd w:id="9"/>
    </w:p>
    <w:p w14:paraId="24A04A42" w14:textId="1ADB2B5B" w:rsidR="00264C51" w:rsidRDefault="00971A17" w:rsidP="00264C51">
      <w:pPr>
        <w:pStyle w:val="NoSpacing"/>
        <w:jc w:val="both"/>
        <w:rPr>
          <w:rFonts w:ascii="Times New Roman" w:eastAsiaTheme="minorEastAsia" w:hAnsi="Times New Roman" w:cs="Times New Roman"/>
          <w:sz w:val="24"/>
          <w:szCs w:val="24"/>
        </w:rPr>
      </w:pPr>
      <w:r>
        <w:rPr>
          <w:rFonts w:ascii="Times New Roman" w:hAnsi="Times New Roman"/>
          <w:b/>
          <w:sz w:val="24"/>
          <w:szCs w:val="24"/>
        </w:rPr>
        <w:t xml:space="preserve">Voditelja PPBWG-a, Nikolay Begchin, dao je pregled napretka rada Skupine i predstavio njihove buduće planove. </w:t>
      </w:r>
      <w:r>
        <w:rPr>
          <w:rFonts w:ascii="Times New Roman" w:hAnsi="Times New Roman"/>
          <w:sz w:val="24"/>
          <w:szCs w:val="24"/>
        </w:rPr>
        <w:t>Nakon kratkog pregleda aktivnosti PPBWG-a u 2016., pažnju je posvetio aktivnostima od prošle plenarne sjednice.</w:t>
      </w:r>
      <w:r>
        <w:rPr>
          <w:rFonts w:ascii="Times New Roman" w:hAnsi="Times New Roman"/>
          <w:b/>
          <w:sz w:val="24"/>
          <w:szCs w:val="24"/>
        </w:rPr>
        <w:t xml:space="preserve"> </w:t>
      </w:r>
      <w:r>
        <w:rPr>
          <w:rFonts w:ascii="Times New Roman" w:hAnsi="Times New Roman"/>
          <w:sz w:val="24"/>
          <w:szCs w:val="24"/>
        </w:rPr>
        <w:t xml:space="preserve">Skupina je predstavila rezultate Ankete OECD-a i PEMPAL-a na temu planiranja proračuna prema učinku za 2016. na sastanku visokih dužnosnika odgovornih za proračun (SBO) OECD-a za regiju CESEE, u Parizu, u srpnju 2017., sudjelovali su i na tematskim blokovima posvećenim dubinskim analizama rashoda i u izradi nacrta OECD-ovih najboljih praksi za planiranje proračuna prema učinku te se odlučili baviti izvorima znanja za pokazatelje učinka. Nakon toga je tijekom ljeta 2017. Skupina prikupila i analizirala </w:t>
      </w:r>
      <w:r>
        <w:rPr>
          <w:rFonts w:ascii="Times New Roman" w:hAnsi="Times New Roman"/>
          <w:sz w:val="24"/>
          <w:szCs w:val="24"/>
        </w:rPr>
        <w:lastRenderedPageBreak/>
        <w:t>komplet/primjere pokazatelja učinka iz devet zemalja Radne skupine za programsko planiranje i planiranje proračuna prema učinku iz devet zemalja PPBWG-a. U rujnu 2017. održana je videokonferencija na kojoj su se članovi dogovorili za 10 kriterija pregleda PU-a u zemljama PEMPAL-a, svaka je zemlja izložila u pogledu tih 10 kriterija te se raspravljalo o prvotnim sažetim nalazima. Skupina je donijela odluku o daljnjem stavljanju naglaska na pregled pokazatelja učinka u zdravstvenom i obrazovnom sektoru. Pokazatelji učinka (PU) za zdravstvo i obrazovanje prikupljeni su tijekom listopada-studenog 2017. i analizirani. Zatim je pripremljen sveobuhvatan prikaz PU-ova na temelju 10 kriterija i detaljnijeg pregleda PU-ova za zdravstvo i obrazovanje te su prikupljeni komentari PPBWG-a. Mala delegacija BCOP-a sudjelovala je na sastanku OECD-ove mreže posvećene učinku i rezultatima u studenom 2017. Skupina je predstavila sažete rezultate pregleda PU-ova, kao i slučaj zemlje Ruske Federacije te sudjelovala i pridonijela radu Mreže svojim doprinosom u pogledu OECD-ovih najboljih praksi u planiranju proračuna prema učinku. U zimu 2017./2018. Skupina je pripremila službeni nacrt proizvoda znanja Radne skupine za programsko planiranje i planiranje proračuna prema učinku – izvješće o pokazateljima učinka u zemljama PEMPAL-a:</w:t>
      </w:r>
      <w:r>
        <w:rPr>
          <w:rFonts w:ascii="Times New Roman" w:hAnsi="Times New Roman"/>
          <w:i/>
          <w:sz w:val="24"/>
          <w:szCs w:val="24"/>
        </w:rPr>
        <w:t xml:space="preserve"> </w:t>
      </w:r>
      <w:r>
        <w:rPr>
          <w:rFonts w:ascii="Times New Roman" w:hAnsi="Times New Roman"/>
          <w:sz w:val="24"/>
          <w:szCs w:val="24"/>
        </w:rPr>
        <w:t>trendovi i izazovi (prevedeni i podijeljeni u sklopu pozadinskih materijala za ovaj sastanak)</w:t>
      </w:r>
      <w:r>
        <w:rPr>
          <w:rFonts w:ascii="Times New Roman" w:hAnsi="Times New Roman"/>
          <w:i/>
          <w:sz w:val="24"/>
          <w:szCs w:val="24"/>
        </w:rPr>
        <w:t>.</w:t>
      </w:r>
      <w:r>
        <w:rPr>
          <w:rFonts w:ascii="Times New Roman" w:hAnsi="Times New Roman"/>
          <w:sz w:val="24"/>
          <w:szCs w:val="24"/>
        </w:rPr>
        <w:t xml:space="preserve"> G. Begchin također je izvijestio rukovodstvo BCOP-a o radionici PPBWG-a za analizu planiranja proračuna prema učinku u Austriji, s austrijskim Ministarstvom financija i Uredom saveznog kancelara Austrije, koja se održala 13. ožujka 2018. (zaseban izvještaj o toj radionici nalazi se na </w:t>
      </w:r>
      <w:r>
        <w:rPr>
          <w:rFonts w:ascii="Times New Roman" w:hAnsi="Times New Roman"/>
          <w:i/>
          <w:sz w:val="24"/>
          <w:szCs w:val="24"/>
        </w:rPr>
        <w:t>web</w:t>
      </w:r>
      <w:r>
        <w:rPr>
          <w:rFonts w:ascii="Times New Roman" w:hAnsi="Times New Roman"/>
          <w:sz w:val="24"/>
          <w:szCs w:val="24"/>
        </w:rPr>
        <w:t xml:space="preserve"> mjestu PEMPAL-a). Na kraju je predstavio odluke o budućem radu PEMPAL-a – PPBWG se odlučio usmjeriti na dubinske analize rashoda u svojem budućem radu. Prvo će resursni tim i voditelji PPBWG-a pripremiti pozadinski dokument o dubinskim analizama rashoda koji će biti predstavljen na videokonferenciji PPBWG-a u jesen 2019., na temelju kojeg će se izraditi predložak za prikupljanje informacija o izazovima u provođenju dubinskih analiza rashoda u zemljama PEMPAL-a. On će poslužiti kao potencijalan novi proizvod znanja PPBWG-a s razmatranjima koja se trebaju uzeti u obzir pri provođenju dubinskih analiza rashoda u zemljama PEMPAL-a. </w:t>
      </w:r>
    </w:p>
    <w:p w14:paraId="32D065AA" w14:textId="77777777" w:rsidR="003D6D48" w:rsidRDefault="003D6D48" w:rsidP="003D6D48">
      <w:pPr>
        <w:shd w:val="clear" w:color="auto" w:fill="FFFFFF"/>
        <w:spacing w:after="120" w:line="240" w:lineRule="auto"/>
        <w:jc w:val="both"/>
        <w:rPr>
          <w:rFonts w:ascii="Times New Roman" w:hAnsi="Times New Roman" w:cs="Times New Roman"/>
          <w:b/>
          <w:sz w:val="24"/>
          <w:szCs w:val="24"/>
        </w:rPr>
      </w:pPr>
    </w:p>
    <w:p w14:paraId="5C507730" w14:textId="77777777" w:rsidR="00DF7081" w:rsidRDefault="003D6D48" w:rsidP="009C5F94">
      <w:pPr>
        <w:shd w:val="clear" w:color="auto" w:fill="FFFFFF"/>
        <w:spacing w:after="120" w:line="240" w:lineRule="auto"/>
        <w:jc w:val="both"/>
        <w:rPr>
          <w:rFonts w:ascii="Times New Roman" w:hAnsi="Times New Roman" w:cs="Times New Roman"/>
          <w:bCs/>
          <w:sz w:val="24"/>
          <w:szCs w:val="24"/>
        </w:rPr>
      </w:pPr>
      <w:r>
        <w:rPr>
          <w:rFonts w:ascii="Times New Roman" w:hAnsi="Times New Roman"/>
          <w:b/>
          <w:sz w:val="24"/>
          <w:szCs w:val="24"/>
        </w:rPr>
        <w:t>Naida Čaršimamović Vukotić, članica BCOP-ova resursnog tima iz Svjetske banke, predstavila je nacrt proizvoda znanja PPBWG-a na temu pokazatelja učinka u zemljama PEMPAL-a:</w:t>
      </w:r>
      <w:r>
        <w:rPr>
          <w:rFonts w:ascii="Times New Roman" w:hAnsi="Times New Roman"/>
          <w:b/>
          <w:bCs/>
          <w:i/>
          <w:sz w:val="24"/>
          <w:szCs w:val="24"/>
        </w:rPr>
        <w:t xml:space="preserve"> trendovi i izazovi</w:t>
      </w:r>
      <w:r>
        <w:rPr>
          <w:rFonts w:ascii="Times New Roman" w:hAnsi="Times New Roman"/>
          <w:b/>
          <w:bCs/>
          <w:sz w:val="24"/>
          <w:szCs w:val="24"/>
        </w:rPr>
        <w:t xml:space="preserve">. </w:t>
      </w:r>
      <w:r>
        <w:rPr>
          <w:rFonts w:ascii="Times New Roman" w:hAnsi="Times New Roman"/>
          <w:bCs/>
          <w:sz w:val="24"/>
          <w:szCs w:val="24"/>
        </w:rPr>
        <w:t xml:space="preserve">U proizvodu znanja iznosi se pregled glavnih značajki pokazatelja prikupljenih u okviru postupaka planiranja proračuna u zemljama PEMPAL-a i utvrđuju glavni izazovi u zemljama PEMPAL-a u pogledu pokazatelja učinka. Sastoji se od dva dijela: pregled općenitih pokazatelja učinka na temelju 10 kriterija i detaljan pregled pokazatelja učinka u zdravstvenom i obrazovnom sektoru. Oba dijela sadržavaju sažetak zajedničke analize i informacije za svaku zemlju. Nacrt nadopunjuju kompleti i primjeri pokazatelja učinka prikupljeni iz deset zemalja PPBWG-a koji su podijeljeni svim zemljama PPBWG-a. Taj je proizvod znanja namijenjen za upotrebu kao alat za uspoređivanje te kao resurs za pružanje pregleda specifičnih pokazatelja učinka koji se upotrebljavaju u drugim zemljama. </w:t>
      </w:r>
    </w:p>
    <w:p w14:paraId="098EA297" w14:textId="60F4245C" w:rsidR="003D6D48" w:rsidRPr="003D6D48" w:rsidRDefault="003D6D48" w:rsidP="009C5F94">
      <w:pPr>
        <w:shd w:val="clear" w:color="auto" w:fill="FFFFFF"/>
        <w:spacing w:after="120" w:line="240" w:lineRule="auto"/>
        <w:jc w:val="both"/>
        <w:rPr>
          <w:rFonts w:ascii="Times New Roman" w:hAnsi="Times New Roman" w:cs="Times New Roman"/>
          <w:b/>
          <w:bCs/>
          <w:sz w:val="24"/>
          <w:szCs w:val="24"/>
        </w:rPr>
      </w:pPr>
      <w:r>
        <w:rPr>
          <w:rFonts w:ascii="Times New Roman" w:hAnsi="Times New Roman"/>
          <w:color w:val="222222"/>
          <w:sz w:val="24"/>
          <w:szCs w:val="24"/>
        </w:rPr>
        <w:t xml:space="preserve">Rezultati općenitog pregleda PU-ova uključuju: i) postojanje dviju razina rezultata u većini zemalja PEMPAL-a (programi i aktivnosti ili potprogrami ili područja politika i programi), a pokazatelji su većinom definirani na obje razine rezultata (krajnji rezultati s više razine na prvoj razini, izlazni i krajnji rezultati s niže razine na drugoj razini); ii) znatno se razlikovao broj pokazatelja od zemlje do zemlje, kao i broj programa u svakoj zemlji, grubi prosjek bi bio od 10 do 80 pokazatelja po programu, međutim obuhvati programa variraju, od cijelih sektora do znatno manjeg obuhvata na razini jednog odjela u jednoj agenciji/ministarstvu; iii) u većini slučajeva dvije trećine pokazatelja bili su pokazatelji izlaznih rezultata, a ostalo su bili pokazatelji krajnjih rezultata; iv) najčešći izazovi uključuju razlike u kvaliteti pokazatelja učinka prema programu, prevelik broj pokazatelja, nedostatak definiranih ključnih nacionalnih pokazatelja i/ili nacionalnu strategiju najviše razine sa </w:t>
      </w:r>
      <w:r>
        <w:rPr>
          <w:rFonts w:ascii="Times New Roman" w:hAnsi="Times New Roman"/>
          <w:color w:val="222222"/>
          <w:sz w:val="24"/>
          <w:szCs w:val="24"/>
        </w:rPr>
        <w:lastRenderedPageBreak/>
        <w:t>standardnim pokazateljima koji su kasnije povezani s proračunskim programima i njihovim pokazateljima; sveukupno slabu povezanost s vladinim strateškim planovima u većini slučajeva; postojanje određenih nemjerljivih pokazatelja; postojanje pokazatelja izlaznih rezultata vrlo niske razine (npr. broj sastanaka ili da/ne pokazatelji vezani uz donošenja zakonodavstva/propisa); slabo ili nepostojeće programsko planiranje i planiranje proračuna prema učinku na podnacionalnoj razini koje nije povezano s programima/pokazateljima učinka nacionalne razine; izazovi u određivanju i praćenju pokazatelja za međuagencijske programe, poteškoće u ciljanju vrijednosti pokazatelja i općenita potreba za novim načinom razmišljanja usmjerenim prema učinku. Što se tiče rezultata analize pokazatelja za zdravstvo i obrazovanje, oni uključuju sljedeće: i) zemlje su u prosjeku imale oko 140 pokazatelja za obrazovanje i oko 80 za zdravstvo, iako moramo ponovno naglasiti da usporedba nije bila uvijek moguća jer su obuhvati programa različiti; ii) u većini slučajeva pokazatelji su ispravno definirani (bili su mjerljivi i precizni, neutralnog naziva, bilo je jasno što se mjeri i koja je mjerna jedinica), međutim, bilo je iznimaka, iii) u većini slučajeva upotrijebljeni su izlazni rezultati vrlo niske razine i iv) u većini slučajeva uključeni su dugoročni krajnji rezultati najviše razine (obično na temelju međunarodnih usporedbi) – npr. rezultati PISA istraživanja za učenike, stanovnici prema razini obrazovanja, ulaganje u istraživanje i razvoj, očekivani životni vijek, stopa smrtnosti od različitih bolesti, pokrivenost cjepivima). Šire članstvo BCOP-a zamoljeno je da pošalje dodatne komentare na nacrt proizvoda znanja, pripremljenog na temelju detaljnih podataka i informacija prikupljenih iz 10 zemalja PEMPAL-a, koji će se upotrijebiti za finalizaciju proizvoda.</w:t>
      </w:r>
    </w:p>
    <w:p w14:paraId="6F86D8C8" w14:textId="1FA5EC41" w:rsidR="00AC5D9F" w:rsidRDefault="003D6D48" w:rsidP="00AC5D9F">
      <w:pPr>
        <w:pStyle w:val="NormalWeb"/>
        <w:spacing w:after="160" w:line="259" w:lineRule="auto"/>
        <w:jc w:val="both"/>
        <w:rPr>
          <w:color w:val="222222"/>
        </w:rPr>
      </w:pPr>
      <w:r>
        <w:rPr>
          <w:b/>
          <w:color w:val="222222"/>
        </w:rPr>
        <w:t>Ivor Beazley, viši politički analitičar, predstavio je nacrt OECD-ovih najboljih praksi u planiranju proračuna prema učinku.</w:t>
      </w:r>
      <w:r>
        <w:rPr>
          <w:color w:val="222222"/>
        </w:rPr>
        <w:t xml:space="preserve"> Najbolje prakse su proizvod OECD-ove mreže posvećene učinku i rezultatima koja se od 2006. godine bavi planiranjem proračuna prema učinku. Svrha ovog dokumenta jest izvući ključne lekcije iz iskustva kroz istraživačke dokaze i studije slučaja te ponuditi savjete i opcije relevantne za zemlje koje unaprjeđuju svoje pristupe planiranju proračuna prema učinku i one koje tek kreću s implementacijom tog procesa. Planiranje proračuna prema učinku može se definirati kao proces povezivanja dodjele proračuna i izvještavanja o ostvarenju rezultata OECD prepoznaje 4 vrste planiranja proračuna prema učinku: prezentacijsko, planiranje prema informacijama o učinku, upravljačko te izravno/planiranje na temelju formule. Utvrđeno je sljedećih sedam najboljih praksi koje su predstavljene zajedno s dodatnim preporukama za svaku: </w:t>
      </w:r>
    </w:p>
    <w:p w14:paraId="2F43B8A9" w14:textId="5D6F110A" w:rsidR="00AC5D9F" w:rsidRPr="00AC5D9F" w:rsidRDefault="00AC5D9F" w:rsidP="00AC5D9F">
      <w:pPr>
        <w:pStyle w:val="NormalWeb"/>
        <w:numPr>
          <w:ilvl w:val="0"/>
          <w:numId w:val="46"/>
        </w:numPr>
        <w:spacing w:after="160" w:line="259" w:lineRule="auto"/>
        <w:ind w:left="630" w:hanging="180"/>
        <w:jc w:val="both"/>
        <w:rPr>
          <w:color w:val="000000" w:themeColor="text1"/>
        </w:rPr>
      </w:pPr>
      <w:r>
        <w:rPr>
          <w:color w:val="000000" w:themeColor="text1"/>
        </w:rPr>
        <w:t>postavljanje jasnih i realnih ciljeva za planiranje proračuna prema učinku</w:t>
      </w:r>
    </w:p>
    <w:p w14:paraId="572A5048" w14:textId="44D9E94D" w:rsidR="00AC5D9F" w:rsidRPr="00AC5D9F"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povezivanje proračuna prema učinku sa strateškim ciljevima vlade </w:t>
      </w:r>
    </w:p>
    <w:p w14:paraId="0430B4E9" w14:textId="3576BA30" w:rsidR="00AC5D9F" w:rsidRPr="00AC5D9F"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prilagodba planiranja proračuna prema učinku složenim, raznolikim potrebama izrade politika</w:t>
      </w:r>
    </w:p>
    <w:p w14:paraId="4DDFBE13" w14:textId="4BC5BF5C" w:rsidR="00AC5D9F" w:rsidRPr="00AC5D9F" w:rsidRDefault="00AC5D9F" w:rsidP="00AC5D9F">
      <w:pPr>
        <w:pStyle w:val="ListParagraph"/>
        <w:numPr>
          <w:ilvl w:val="0"/>
          <w:numId w:val="46"/>
        </w:numPr>
        <w:tabs>
          <w:tab w:val="left" w:pos="6975"/>
        </w:tabs>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upravljanje informacijama o učinku</w:t>
      </w:r>
    </w:p>
    <w:p w14:paraId="4A9DEEBE" w14:textId="78F57BE0"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stvaranje infrastrukture potrebne za podržavanje planiranja proračuna prema učinku  </w:t>
      </w:r>
    </w:p>
    <w:p w14:paraId="1DF8C6EB" w14:textId="25B8B50B"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osiguravanje sustavne evaluacije i nadzora učinka</w:t>
      </w:r>
    </w:p>
    <w:p w14:paraId="4D546DFE" w14:textId="0AFFFDC0" w:rsidR="00AC5D9F" w:rsidRPr="004B2B19" w:rsidRDefault="00AC5D9F" w:rsidP="00AC5D9F">
      <w:pPr>
        <w:pStyle w:val="ListParagraph"/>
        <w:numPr>
          <w:ilvl w:val="0"/>
          <w:numId w:val="46"/>
        </w:numPr>
        <w:spacing w:after="240"/>
        <w:ind w:left="630" w:hanging="180"/>
        <w:rPr>
          <w:rFonts w:ascii="Times New Roman" w:hAnsi="Times New Roman" w:cs="Times New Roman"/>
          <w:color w:val="000000" w:themeColor="text1"/>
          <w:sz w:val="24"/>
          <w:szCs w:val="24"/>
        </w:rPr>
      </w:pPr>
      <w:r>
        <w:rPr>
          <w:rFonts w:ascii="Times New Roman" w:hAnsi="Times New Roman"/>
          <w:color w:val="000000" w:themeColor="text1"/>
          <w:sz w:val="24"/>
          <w:szCs w:val="24"/>
        </w:rPr>
        <w:t>poticanje ponašanja i učenja usmjerenog na učinak</w:t>
      </w:r>
    </w:p>
    <w:p w14:paraId="2B918E9D" w14:textId="317A8DA3" w:rsidR="00AC5D9F" w:rsidRPr="004B2B19" w:rsidRDefault="00AC5D9F" w:rsidP="004B2B19">
      <w:pPr>
        <w:tabs>
          <w:tab w:val="left" w:pos="6975"/>
        </w:tabs>
        <w:spacing w:after="240"/>
        <w:jc w:val="both"/>
        <w:rPr>
          <w:rFonts w:ascii="Times New Roman" w:hAnsi="Times New Roman" w:cs="Times New Roman"/>
          <w:b/>
          <w:color w:val="1E63AE"/>
          <w:sz w:val="24"/>
          <w:szCs w:val="24"/>
        </w:rPr>
      </w:pPr>
      <w:r>
        <w:rPr>
          <w:rFonts w:ascii="Times New Roman" w:hAnsi="Times New Roman"/>
          <w:color w:val="222222"/>
          <w:sz w:val="24"/>
          <w:szCs w:val="24"/>
        </w:rPr>
        <w:t xml:space="preserve">Trenutačna verzija OECD-ovih najboljih praksi u upravljanju učinkom podijeljena je članovima BCOP-a na engleskom jeziku prije plenarne sjednice.  Očekuje se da će OECD finalizirati dokument sredinom 2018. nakon čega će ga BCOP prevesti na jezike PEMPAL-a i podijeliti svim svojim članovima.   </w:t>
      </w:r>
    </w:p>
    <w:p w14:paraId="70BEAB6A" w14:textId="31225853" w:rsidR="004B2B19" w:rsidRPr="008B6ACD" w:rsidRDefault="004B2B19" w:rsidP="004B2B19">
      <w:pPr>
        <w:shd w:val="clear" w:color="auto" w:fill="FFFFFF"/>
        <w:spacing w:before="100" w:beforeAutospacing="1" w:after="120" w:line="240" w:lineRule="auto"/>
        <w:jc w:val="both"/>
        <w:rPr>
          <w:rFonts w:ascii="Times New Roman" w:hAnsi="Times New Roman" w:cs="Times New Roman"/>
          <w:b/>
          <w:color w:val="222222"/>
          <w:sz w:val="24"/>
          <w:szCs w:val="24"/>
        </w:rPr>
      </w:pPr>
      <w:r>
        <w:rPr>
          <w:rFonts w:ascii="Times New Roman" w:hAnsi="Times New Roman"/>
          <w:b/>
          <w:color w:val="222222"/>
          <w:sz w:val="24"/>
          <w:szCs w:val="24"/>
        </w:rPr>
        <w:lastRenderedPageBreak/>
        <w:t xml:space="preserve">Zatim su Ruska Federacija i Srbija, za koje je utvrđeno da imaju najkorisnije lekcije i napredak za podijeliti s drugim zemljama na temelju podataka prikupljenih za proizvod znanja PPBWG-a, izvijestile o napretku u izradi, provedbi i prilagodbi reformi programskog planiranja proračuna, s naglaskom na pokazatelje učinka. </w:t>
      </w:r>
    </w:p>
    <w:p w14:paraId="0A4CC342" w14:textId="77777777" w:rsidR="00F53913" w:rsidRDefault="00F53913" w:rsidP="00F53913">
      <w:pPr>
        <w:pStyle w:val="ListParagraph"/>
        <w:shd w:val="clear" w:color="auto" w:fill="FFFFFF"/>
        <w:spacing w:after="120" w:line="240" w:lineRule="auto"/>
        <w:ind w:left="0"/>
        <w:contextualSpacing w:val="0"/>
        <w:jc w:val="both"/>
        <w:rPr>
          <w:rFonts w:ascii="Times New Roman" w:eastAsia="Times New Roman" w:hAnsi="Times New Roman" w:cs="Times New Roman"/>
          <w:color w:val="222222"/>
          <w:sz w:val="24"/>
          <w:szCs w:val="24"/>
        </w:rPr>
      </w:pPr>
    </w:p>
    <w:p w14:paraId="423FDEDA" w14:textId="3DE4A64B" w:rsidR="00F53913" w:rsidRPr="00A73444" w:rsidRDefault="00F53913" w:rsidP="00F53913">
      <w:pPr>
        <w:pStyle w:val="ListParagraph"/>
        <w:shd w:val="clear" w:color="auto" w:fill="FFFFFF"/>
        <w:spacing w:after="120" w:line="240" w:lineRule="auto"/>
        <w:ind w:left="0"/>
        <w:contextualSpacing w:val="0"/>
        <w:jc w:val="both"/>
        <w:rPr>
          <w:rFonts w:ascii="Times New Roman" w:eastAsia="Times New Roman" w:hAnsi="Times New Roman" w:cs="Times New Roman"/>
          <w:color w:val="222222"/>
          <w:sz w:val="24"/>
          <w:szCs w:val="24"/>
        </w:rPr>
      </w:pPr>
      <w:r>
        <w:rPr>
          <w:rFonts w:ascii="Times New Roman" w:hAnsi="Times New Roman"/>
          <w:b/>
          <w:color w:val="222222"/>
          <w:sz w:val="24"/>
          <w:szCs w:val="24"/>
        </w:rPr>
        <w:t>Nikolay Begchin, zamjenik direktora Odjela za proračunsku politiku i strateško planiranje, Ministarstvo financija Ruske Federacije, voditelja PPBWG-a, predstavio je sustav programskog planiranja u Ruskoj Federaciji.</w:t>
      </w:r>
      <w:r>
        <w:rPr>
          <w:rFonts w:ascii="Times New Roman" w:hAnsi="Times New Roman"/>
          <w:color w:val="222222"/>
          <w:sz w:val="24"/>
          <w:szCs w:val="24"/>
        </w:rPr>
        <w:t xml:space="preserve"> Njegovo detaljno izlaganje sadržavalo je: i) povijest i opći kontekst programskog planiranja u Rusiji, ii) trenutačan okvir programskog planiranja, iii) prve lekcije i krajnje rezultate provedbe vladinih programa i iv) ideje za budući rad. Ruski pozitivni krajnji rezultati provedbe programskog planiranja do sad su uključivali poboljšanje transparentnosti i pojednostavnjenje proračunskih rashoda, bolju disciplinu i razumijevanje potrebe za ispunjenjem konkretnih rezultata, veće prilike za analizu (uz prethodno neprimijećena pitanja koja sada izlaze na vidjelo kroz informacije o programima i učinku) i mogućnost formalizacije odnosa između aktivnosti središnje i podnacionalnih vlasti. Kao i u svim zemljama, uključujući i zemlje OECD-a, nisu sva očekivanja od programskog planiranja i planiranja proračuna prema učinku ostvarena – preostali izazovi uključuju upotrebu informacija o učinku/programima za bolje određivanje prioriteta aktivnosti, veću upotrebu informacija o programu/učinku u donošenju odluka o proračunskim alokacijama te potrebu za daljnjim povećanjem kvalitete uspostavljanja ciljeva i pokazatelja učinka (uključujući potrebu da se utvrde pokazatelji najviše razine, racionalizira broj pokazatelja kako bi se posložili hijerarhijski da izlazni rezultati ne budu stavljeni zajedno s tehničkim pokazateljima izlaznih rezultata najniže razine, unaprijedila povezanost podnacionalnih i lokalnih programa te poboljšao rad s međufunkcijskim pokazateljima). Konačno, utvrđeno je i nekoliko ideja za daljnje poboljšanje pristupa i one su pokrenute 2017. godine u vladinim pilot programima, uključujući razvoj sustava za određivanje ciljeva vladinih programa, pojednostavljenje programskog formata, konsolidaciju svih proračunskih odobrenih sredstava vezanih uz specifičan sektor i očekivane ishode, uvođenje mehanizama za koordinaciju vladinih programa i akcijskih programa, pojašnjenje pristupa izradi proračunske klasifikacije, povećanje autoriteta programskih upravitelja u smislu upravljanja ulaznim informacijama, razvoj jedinstvenog informacijskog sustava i upotrebu vladinih programa kao glavnih instrumenata za planiranje i izvještavanje krajnjih rezultata izvršne vlasti.</w:t>
      </w:r>
    </w:p>
    <w:p w14:paraId="091A7B14" w14:textId="1E95F97F" w:rsidR="0054313C" w:rsidRDefault="00D97BA5" w:rsidP="0054313C">
      <w:pPr>
        <w:pStyle w:val="NormalWeb"/>
        <w:spacing w:after="160" w:line="259" w:lineRule="auto"/>
        <w:jc w:val="both"/>
        <w:rPr>
          <w:color w:val="222222"/>
        </w:rPr>
      </w:pPr>
      <w:r>
        <w:rPr>
          <w:b/>
          <w:color w:val="222222"/>
        </w:rPr>
        <w:t>Mirjana Ćojbašić, državna tajnica iz Odjela za proračun Ministarstva financija Srbije, predstavila je najnovije reforme za programsko planiranje i planiranje proračuna prema učinku u Srbiji, s naglaskom na pokazatelje učinka.</w:t>
      </w:r>
      <w:r>
        <w:rPr>
          <w:color w:val="222222"/>
        </w:rPr>
        <w:t xml:space="preserve"> Srbija je uvela programsko planiranje proračuna 2005. u pet pilotnih ministarstava. U zadnjih se par godina intenzivno radilo na izradi metodologije za programsko planiranje proračuna, uzimajući u obzir iskustvo pilotnih korisnika. Taj postupak vodi Ministarstvo financija. U suradnji s proračunskim korisnicima izrađene su programske strukture, ciljevi i pokazatelji. Posebna se pažnja pridaje povezivanju strateških dokumenata. Od 2015. godine planiranje, odobrenje i izvršenje proračuna radi se na programskoj osnovi na svim razinama vlasti. Programska struktura se sastoji od tri razine: programi, aktivnosti i projekti. Definirane su konkretne vrste programskih aktivnosti (pravna nadležnost, inspekcije, pružanje javnih usluga, administrativni poslovi, subvencije, bespovratna sredstva, transferi, administracija i upravljanje i proračunske rezerve.) Projekt je poslovni pothvat proračunskog korisnika s točno određenim rokom čija provedba omogućuje ostvarenje ciljeva koji doprinose ostvarenju programskih ciljeva. Posebne vrste projekta su kapitalni projekti i projekti IPA. Sljedeće je upotrijebljeno kako bi se definirala programska struktura proračunskog korisnika: ključne odgovornosti, organizacijska </w:t>
      </w:r>
      <w:r>
        <w:rPr>
          <w:color w:val="222222"/>
        </w:rPr>
        <w:lastRenderedPageBreak/>
        <w:t xml:space="preserve">struktura, izvršenje proračuna iz prethodne godine i srednjoročni planovi i sektorske strategije. Smjernice Ministarstva financija uključuju: 3-7 programa po ministarstvu i 1-3 po ostalim proračunskim korisnicima/agencijama; vrijednost proračunskih sredstava uravnotežuje se po programima i programi u vrijednosti ispod 5 % ukupnog proračuna proračunskog korisnika se ne preporučuju; 2-10 aktivnosti i/ili projekata po programu, 2-3 cilja po programu, aktivnostima i projektu; i maksimalno 2 pokazatelja po cilju. Uz programsku strukturu na tri nivoa, sektorska se razina nalazi na najvišem nivou, a pokazatelji se također definiraju na toj razini. U pogledu izrade pokazatelja, Ministarstvo financija pripremilo je upute za pripremu programskog planiranja i edukacije proračunskih korisnika. Postoje ovlašteni instruktori za programsko planiranje proračuna i provedena je intenzivna edukacija analitičara u proračunskom sektoru. Ovaj se proces temeljio na internim kapacitetima uz podršku konzultanata. Pokazatelji definirani u strateškim dokumentima i akcijskim planovima preuzeti su kao osnova, gdje god su postojali. Inzistiranje na poveznici sa strateškim planiranjem bilo je ključno za uspjeh, a definiranje pokazatelja za programsko planiranje dovelo je do napretka u kvaliteti definiranih pokazatelja u strateškim dokumentima. Gđa Ćojbašić je potom detaljno predstavila vrste i primjere pokazatelja učinka za različite sektore/proračunske korisnike, kao i općenite karakteristike pokazatelja. Kvaliteta pokazatelja ovisi o području; za područja poput obrazovanja, javnog prijevoza i zdravstva lakše je definirati dobre pokazatelje. I dalje je potrebno unaprijediti kvalitetu pokazatelja. Najčešća pitanja vezana uz definiranje pokazatelja su mjerenje troškova, kvaliteta izvora za provjeru i utvrđivanje osnovne vrijednosti. Uvedeni su i pokazatelji s rodnom komponentom. Glavne lekcije dobivene iz srpskog iskustva su sljedeće: potrebno je uključiti sve relevantno osoblje sa strateške razine iz svakog proračunskog korisnika pri definiranju pokazatelja, umjesto da se radi samo s proračunskim osobljem; uvođenje praćenja i izvještavanja o programskom učinku unaprijedilo je kvalitetu i posvećenost definiranju pokazatelja; edukacija, suradnja i kontinuirana komunikacija analitičara s proračunskim korisnicima predstavlja važan čimbenik koji je doprinio povećanju kvalitete pokazatelja; na temelju praktičnog iskustva, upute za pripremu programskog planiranja stalno se unaprjeđuju – definirane su programske aktivnosti za koje je bilo potrebno definirati pokazatelje. </w:t>
      </w:r>
    </w:p>
    <w:p w14:paraId="1049FDA4" w14:textId="5D228905" w:rsidR="005A7B95" w:rsidRPr="00551A2D" w:rsidRDefault="000F6CF7" w:rsidP="00551A2D">
      <w:pPr>
        <w:pStyle w:val="NormalWeb"/>
        <w:spacing w:after="160" w:line="259" w:lineRule="auto"/>
        <w:jc w:val="both"/>
        <w:rPr>
          <w:color w:val="222222"/>
        </w:rPr>
      </w:pPr>
      <w:r>
        <w:rPr>
          <w:b/>
          <w:color w:val="222222"/>
        </w:rPr>
        <w:t>Poslijepodne drugog dana organizirane su grupne rasprave za sudionike kako bi raspravili o vrstama pokazatelja i postupku izrade pokazatelja, kao i o njihovu praćenju i evaluaciji.</w:t>
      </w:r>
      <w:r>
        <w:rPr>
          <w:color w:val="222222"/>
        </w:rPr>
        <w:t xml:space="preserve"> Sudionici su prepoznali važnost uloge Ministarstva financija u vođenju procesa kako bi se osigurala sveukupna standardizacija i usporedivost, međutim krajnja odgovornost leži na resornim ministarstvima/agencijama. Raspravilo se o mogućem razlikovanju nekoliko vrsta pokazatelja na temelju različitih razina, poput pokazatelja na najvišoj razini krajnjeg rezultata za politike/sektore, pokazatelja krajnjih rezultata na programskoj razini i pokazatelja izlaznih rezultata na razini potprograma/aktivnosti/projekta. Kako se razina državne kontrole razlikuje na tim trima razinama, potrebno je razlikovati i različite razine kontrole, uz napomenu da najvišu razinu krajnjih rezultata nije moguće izravno povezati s alokacijama. Istovremeno je važno da Ministarstvo financija ili neka druga središnja agencija ima ulogu osiguranja kvalitete kako bi postojala ravnoteža između najniže razine izlaznih rezultata i krajnjih rezultata i kako bi se time izbjeglo praćenje samo pokazatelja procesne razine. Različite razine i vrste potrošnje nisu jednako prikladne za definiranje i praćenje pokazatelja, posebno za administrativne funkcije i to se mora uzeti u obzir.  Dok potpuna standardizacija nije moguća, treba ipak biti minimalan broj iznimaka. Potrebno je posvetiti posebnu pažnju pokazateljima kojima se mjeri konačan učinak na građane. Praćenje i evaluacija općenito su slabi u zemljama PEMPAL-a, ali većina zemalja ima trenutačne planove/strategije za njihovo </w:t>
      </w:r>
      <w:r>
        <w:rPr>
          <w:color w:val="222222"/>
        </w:rPr>
        <w:lastRenderedPageBreak/>
        <w:t xml:space="preserve">poboljšanje. Dok bi resorna ministarstva/agencije trebale biti zadužene za redovito praćenje i izvještavanje, potreban je i postupak vanjske provjere. Ubuduće će se zemlje PEMPAL-a fokusirati na evaluacije i dubinske analize rashoda, kao što je to slučaj u zemljama OECD-a. Potrebno je da to provode mješoviti timovi, uključujući relevantno osoblje iz resornog ministarstva/agencije, osoblje MF-a, osoblje državnog strateškog ureda (gdje je to potrebno), kao i vanjski neovisni stručnjaci. </w:t>
      </w:r>
    </w:p>
    <w:p w14:paraId="6B57C207" w14:textId="48F1A66B" w:rsidR="005A7B95" w:rsidRPr="00AA75CD" w:rsidRDefault="005A7B95" w:rsidP="00AA75CD">
      <w:pPr>
        <w:pStyle w:val="Heading1"/>
        <w:numPr>
          <w:ilvl w:val="0"/>
          <w:numId w:val="36"/>
        </w:numPr>
        <w:rPr>
          <w:rFonts w:ascii="Times New Roman" w:eastAsia="Times New Roman" w:hAnsi="Times New Roman" w:cs="Times New Roman"/>
          <w:b/>
          <w:sz w:val="24"/>
          <w:szCs w:val="24"/>
        </w:rPr>
      </w:pPr>
      <w:bookmarkStart w:id="10" w:name="_Toc514226012"/>
      <w:r>
        <w:rPr>
          <w:rFonts w:ascii="Times New Roman" w:hAnsi="Times New Roman"/>
          <w:b/>
          <w:sz w:val="24"/>
          <w:szCs w:val="24"/>
        </w:rPr>
        <w:t>Treći dan – domaćin je Radna skupina za proračunsku pismenost i transparentnost (BLTWG), s naglaskom na sudjelovanje javnosti u fiskalnoj politici i proračunskom procesu</w:t>
      </w:r>
      <w:bookmarkEnd w:id="10"/>
    </w:p>
    <w:p w14:paraId="038D58A6" w14:textId="65253016" w:rsidR="00F43F75" w:rsidRPr="00DB2216" w:rsidRDefault="005A7B95" w:rsidP="005A7B95">
      <w:pPr>
        <w:pStyle w:val="NormalWeb"/>
        <w:spacing w:after="160" w:line="259" w:lineRule="auto"/>
        <w:jc w:val="both"/>
      </w:pPr>
      <w:r>
        <w:rPr>
          <w:b/>
        </w:rPr>
        <w:t xml:space="preserve">Voditeljica BLTWG-a, Anna Belenchuk, dala je pregled napretka rada Skupine. </w:t>
      </w:r>
      <w:r>
        <w:t xml:space="preserve">Skupina je održala pet sastanka uživo, tri videokonferencije i jedan studijski posjet od svibnja 2015. te također provela tematsku anketu među članovima 2015. Rad je bio posvećen dvama proizvodima znanja: </w:t>
      </w:r>
      <w:r>
        <w:rPr>
          <w:i/>
        </w:rPr>
        <w:t>Rješavanja problema vezanih uz pripremu proračuna za građane u zemljama PEMPAL-a</w:t>
      </w:r>
      <w:r>
        <w:t xml:space="preserve"> (2016. - 2017.) i </w:t>
      </w:r>
      <w:r>
        <w:rPr>
          <w:i/>
        </w:rPr>
        <w:t>Sudjelovanje javnosti u fiskalnoj politici i proračunskom procesu:</w:t>
      </w:r>
      <w:r>
        <w:t xml:space="preserve"> </w:t>
      </w:r>
      <w:r>
        <w:rPr>
          <w:i/>
        </w:rPr>
        <w:t>Kako izraditi i/ili učvrstiti mehanizme zemalja PEMPAL-a? (2017. - 2018.)</w:t>
      </w:r>
      <w:r>
        <w:t xml:space="preserve"> – izrada u tijeku. Glavne podteme uključivale su proračunsku transparentnost i pristup, uključujući proračune za građane; proračunsku pismenost i sudjelovanje javnosti u proračunskom procesu. U sklopu proračunske transparentnost i pristupa, Skupina se bavila pitanjem kako državni proračun učiniti razumljivijim građanima donošenjem proračuna za građane, razvojem portala za informiranje, pokretanjem projekata za studente i temeljnih programa za učenje u školama. Održane su intenzivne rasprave i pozadinsko istraživanje o najboljim svjetskim praksama po pitanju rješavanja 10 izazova vezanih uz izradu proračuna za građane, s kojima su se susrele zemlje članice Radne skupine. Usto, razmijenjeno je iskustvo o pokretačima uspjeha kojima se unaprjeđuje proračunska transparentnost, na slučajevima zemalja Rumunjske, Rusije i Kirgiske Republike. Održan je i studijski posjet Hrvatskoj 2016. U sklopu proračunske pismenosti, Skupina je pregledala međunarodnu praksu vezanu uz proračunsku pismenost na temelju ankete Svjetske banke koja je provedena među 30 zemalja. Pregledani su krajnji rezultati projekta Svjetske banke i ruskog MF-a na temu proračunske pismenosti srednjoškolskih učenika u 2017. Konačno, u sklopu sudjelovanja javnosti, Skupina je pregledala nova načela sudjelovanja javnosti u fiskalnoj politici, koja je razradio GIFT te izmjene metodologije ocjene sudjelovanja javnosti IBP-a; razmijenjene su prakse zemalja u području sudjelovanja javnosti u proračunskom procesu u Brazilu i Kirgiskoj Republici te se radilo na izradi koncepta za proizvod znanja koji će biti ključan za daljnje reforme u području javnog sudjelovanja. Gđa Belenchuk naglasila je kako je proizvod znanja BLTWG-a o proračunima za građane, koji sadrži prijedloge (opcije) za rješavanje 10 izazova s kojima su se susrele zemlje članice Radne skupine na temelju preporuka članova i međunarodnog iskustva, iznimno visoko ocijenjen od strane međunarodnih organizacija, uključujući OECD, IBP, GIFT i Institut za javne financije iz Hrvatske. Cilj BLTWG-a odsad je proširiti naš rad na temelju onoga što je već postignuto i upotrijebiti proračun za građane kao alat za promicanje aktivnijeg sudjelovanja javnosti u proračunskom procesu. </w:t>
      </w:r>
      <w:r>
        <w:rPr>
          <w:color w:val="222222"/>
        </w:rPr>
        <w:t>Šire članstvo BCOP-a zamoljeno je da pošalje dodatne komentare na nacrt proizvoda znanja, pripremljenog na temelju detaljnih podataka i informacija prikupljenih iz 10 zemalja PEMPAL-a, koji će se upotrijebiti za finalizaciju proizvoda.</w:t>
      </w:r>
    </w:p>
    <w:p w14:paraId="402E6122" w14:textId="23DF9B1C" w:rsidR="00526BF0" w:rsidRDefault="00526BF0" w:rsidP="00526BF0">
      <w:pPr>
        <w:shd w:val="clear" w:color="auto" w:fill="FFFFFF"/>
        <w:jc w:val="both"/>
        <w:rPr>
          <w:rFonts w:ascii="Times New Roman" w:eastAsia="Times New Roman" w:hAnsi="Times New Roman" w:cs="Times New Roman"/>
          <w:color w:val="000000" w:themeColor="text1"/>
          <w:sz w:val="24"/>
          <w:szCs w:val="24"/>
        </w:rPr>
      </w:pPr>
      <w:r>
        <w:rPr>
          <w:rFonts w:ascii="Times New Roman" w:hAnsi="Times New Roman"/>
          <w:b/>
          <w:color w:val="222222"/>
          <w:sz w:val="24"/>
          <w:szCs w:val="24"/>
        </w:rPr>
        <w:t xml:space="preserve">Harika Masud, stručnjakinja za socijalni razvoj iz Svjetske banke, predstavila je napredak rada BLTWG-a na proizvodu znanja o sudjelovanju javnosti u fiskalnoj politici i </w:t>
      </w:r>
      <w:r>
        <w:rPr>
          <w:rFonts w:ascii="Times New Roman" w:hAnsi="Times New Roman"/>
          <w:b/>
          <w:color w:val="222222"/>
          <w:sz w:val="24"/>
          <w:szCs w:val="24"/>
        </w:rPr>
        <w:lastRenderedPageBreak/>
        <w:t xml:space="preserve">proračunskom procesu. </w:t>
      </w:r>
      <w:r>
        <w:rPr>
          <w:rFonts w:ascii="Times New Roman" w:hAnsi="Times New Roman"/>
          <w:color w:val="4472C4"/>
          <w:sz w:val="24"/>
          <w:szCs w:val="24"/>
        </w:rPr>
        <w:t> </w:t>
      </w:r>
      <w:r>
        <w:rPr>
          <w:rFonts w:ascii="Times New Roman" w:hAnsi="Times New Roman"/>
          <w:color w:val="000000" w:themeColor="text1"/>
          <w:sz w:val="24"/>
          <w:szCs w:val="24"/>
        </w:rPr>
        <w:t xml:space="preserve">U svojem se izlaganju fokusirala na raspravu o rezultatima ankete PEMPAL-a za 2017. za 6 zemalja sudionica (Bjelarus, Hrvatska, Kirgiska Republika, Ruska Federacija, Srbija i Uzbekistan), u odnosu na međunarodne standarde za sudjelovanje javnosti koje je uspostavio MMF, OECD, GIFT, IBP i ostali.  Rezultati ankete PEMPAL-a usmjereni su na aspekte ponude i potražnje kako bi potaknuli angažman javnosti po pitanju fiskalne tematike.  Na strani ponude, samo su 2 od 6 zemalja navele da imaju uspostavljene postupovne mjere za osiguranje odgovornosti u pogledu davanja odgovora na upite građana tijekom javnih savjetovanja. Većina od 6 zemalja upotrebljava </w:t>
      </w:r>
      <w:r>
        <w:rPr>
          <w:rFonts w:ascii="Times New Roman" w:hAnsi="Times New Roman"/>
          <w:i/>
          <w:color w:val="000000" w:themeColor="text1"/>
          <w:sz w:val="24"/>
          <w:szCs w:val="24"/>
        </w:rPr>
        <w:t>online</w:t>
      </w:r>
      <w:r>
        <w:rPr>
          <w:rFonts w:ascii="Times New Roman" w:hAnsi="Times New Roman"/>
          <w:color w:val="000000" w:themeColor="text1"/>
          <w:sz w:val="24"/>
          <w:szCs w:val="24"/>
        </w:rPr>
        <w:t>/pisane upite i proračunske rasprave/savjetovanja. Rezultati ankete također pokazuju da se većinom pokušava uspostaviti kontakt s javnosti tijekom faze pripreme proračuna, a kasnije se ti napori smanjuju tijekom faze izvršenja i revizije u proračunskom ciklusu. Sa strane potražnje, iako nijedna skupina nije isključena iz sudjelovanja u fiskalnom procesu, nije jasno imaju li osjetljive ili nedovoljno predstavljene skupine prilike sudjelovati Dok organizacije civilnog društva upotrebljavaju različite mehanizme sudjelovanja u proračunskom procesu, ne postoje sustavni napori da se organiziraju edukacije za nevladine udruge, novinare i medije u pogledu proračunskih pitanja. Na temelju rezultata ankete, neke od ključnih preporuka Radnoj skupini za proračunsku pismenost i transparentnost uključuju poticanje resornih ministarstava i VRI-jeva da upotrebljavaju interaktivne mehanizme sudjelovanja tijekom faza izvršenja proračuna i revizije; povećanje obuhvata i angažmana osjetljivih i marginaliziranih skupina; izdavanje smjernica za preciziranje uloge građana u proračunskom procesu i potrebne mjere za rješavanje njihovih upita pravovremeno, posebno u kontekstu gdje sveobuhvatni zakonodavni okviri ne pružaju detaljne savjete; te istraživanje načina kako javna tijela mogu organizirati redovitu edukaciju za proračunsku pismenost u suradnji s nevladinim udrugama, akademicima, razvojnim partnerima i drugim dionicima. Šire članstvo BCOP-a zamoljeno je da pošalje dodatne komentare na nacrt proizvoda znanja, pripremljenog na temelju detaljnih podataka prikupljenih od šest zemalja PEMPAL-a, koji će se upotrijebiti za finalizaciju proizvoda.</w:t>
      </w:r>
    </w:p>
    <w:p w14:paraId="140DD7DF" w14:textId="02776FD7" w:rsidR="00573A7E" w:rsidRPr="00C020C4" w:rsidRDefault="008B6ACD" w:rsidP="00573A7E">
      <w:pPr>
        <w:shd w:val="clear" w:color="auto" w:fill="FFFFFF"/>
        <w:jc w:val="both"/>
        <w:rPr>
          <w:rFonts w:ascii="Times New Roman" w:eastAsia="Times New Roman" w:hAnsi="Times New Roman" w:cs="Times New Roman"/>
          <w:bCs/>
          <w:color w:val="000000" w:themeColor="text1"/>
          <w:sz w:val="24"/>
          <w:szCs w:val="24"/>
        </w:rPr>
      </w:pPr>
      <w:r>
        <w:rPr>
          <w:rFonts w:ascii="Times New Roman" w:hAnsi="Times New Roman"/>
          <w:b/>
          <w:color w:val="000000" w:themeColor="text1"/>
          <w:sz w:val="24"/>
          <w:szCs w:val="24"/>
        </w:rPr>
        <w:t>Sally Torbert, voditeljica programa iz IBP-a, predstavila je rezultate IBP-ove Ankete o otvorenom proračunu (OBS) za 2017. na temu sudjelovanja javnosti.</w:t>
      </w:r>
      <w:r>
        <w:rPr>
          <w:rFonts w:ascii="Times New Roman" w:hAnsi="Times New Roman"/>
          <w:color w:val="000000" w:themeColor="text1"/>
          <w:sz w:val="24"/>
          <w:szCs w:val="24"/>
        </w:rPr>
        <w:t xml:space="preserve"> OBS-om se mjeri transparentnost (109 pokazatelja upotrijebljenih da se izradi Indeks otvorenosti proračuna), nadzor (18 revidiranih pitanja kojima se procjenjuje službeni nadzor institucija) i sudjelovanje javnosti (18 novih pitanja kojima se istražuju mogućnosti sudjelovanja javnosti u donošenju odluka o nacionalnom proračunu i nadzoru). Rezultati OBS-a za 2017. pokazuju da vlade ne pružaju dostatne informacije kako bi javnost razumjela proračunske odluke, raspravljala o njima i sudjelovala u njima Svjetski rezultat na anketi je 42/100. </w:t>
      </w:r>
      <w:r>
        <w:rPr>
          <w:rFonts w:ascii="Times New Roman" w:hAnsi="Times New Roman"/>
          <w:bCs/>
          <w:color w:val="000000" w:themeColor="text1"/>
          <w:sz w:val="24"/>
          <w:szCs w:val="24"/>
        </w:rPr>
        <w:t xml:space="preserve">U prosjeku, zemlje PEMPAL-a pružaju ograničene proračunske informacije, na temelju 18 zemalja PEMPAL-a koje su bile uključene u OBS za 2017., s prosječnim rezultatom 54/100, dok je prosječan rezultat OECD zemalja 68/100. Kad je riječ o proračunskim dokumentima, 78 % dokumenata su javno dostupni u prosjeku, dok je više od polovice javno nedostupnih dokumenata zapravo dostupno interno, tako da zemlje PEMPAL-a mogu jednostavno povećati rezultat objavom tih dokumenata. Još jedan rezultat OBS-a iz 2017. je i vidljiva stagnacija u pogledu napretka prema većoj transparentnosti, i to prvi put otkad je IBP počeo mjeriti transparentnost prije više od desetljeća. Međutim, u zemljama PEMPAL-a prosječna vrijednost Indeksa otvorenosti proračuna povećala se s 52 na 53 boda u 17 usporedivih zemalja Među zemljama PEMPAL-a ističe se Gruzija, koja je u posljednjem desetljeću ostvarila značajan napredak Probleme povezane s nedostatkom transparentnosti proračuna dodatno pogoršava ograničen nadzor i slaba mogućnost sudjelovanja javnosti u proračunskom postupku, što je također vidljivo iz OBS-a za 2017. </w:t>
      </w:r>
      <w:r>
        <w:rPr>
          <w:rFonts w:ascii="Times New Roman" w:hAnsi="Times New Roman"/>
          <w:bCs/>
          <w:color w:val="000000" w:themeColor="text1"/>
          <w:sz w:val="24"/>
          <w:szCs w:val="24"/>
        </w:rPr>
        <w:lastRenderedPageBreak/>
        <w:t xml:space="preserve">U pogledu nadzora, prosječan rezultat diljem regije PEMPAL-a iznosi 67/100, u odnosu na prosječan svjetski rezultat koji iznosi 53/100 i prosjek OECD-a koji iznosi 72/100. Revizijske prakse su bolje od zakonskog nadzora, a neovisne fiskalne institucije su rijetke u zemljama PEMPAL-a u usporedbi sa zemljama OECD-a. Rezultati sudjelovanja javnosti su niski; globalni i PEMPAL-ov prosjek iznosi 12/100, a OECD-ov 22/100. Gđa Torbert također je raspravljala o primjerima mehanizama sudjelovanja javnosti na temelju informacija prikupljenih za OBS 2017., uključujući sporazume o proračunskom partnerstvu na Filipinima pomoću kojih agencije pregovaraju o svojim proračunskim zahtjevima s ministarstvima financija, putem partnerstva s građanima i Centrom za prijavu neekonomične potrošnje u Južnoj Koreji kojim su ostvarene značajne uštede vladi u zadnjih 16 godina. Diljem regije PEMPAL-a primjeri uključuju stručne proračunske rasprave u Ukrajini; Gospodarsko-socijalno vijeće u Hrvatskoj; Savjetovanje putem interneta o proračunskim prioritetima i Vijeće za koordinaciju u sklopu Ministarstva financija u Gruziji; te otvoreni poziv na proračunske rasprave u Kirgiskoj Republici. Diljem sva tri stupa OBS-a za sustav odgovornosti, nijedna zemlja nije ostvarila više od 61 boda, međutim šest zemalja PEMPAL-a – Albanija, Gruzija, Kirgiska Republika, Rusija, Tadžikistan i Ukrajina – ostvarile su 61 bod po pitanju transparentnosti i nadzora. Općenite preporuke IBP-a vladama jesu da se poboljša transparentnost jednostavnom objavom svih proračunskih dokumenata na internetu i da se uspostave službeni mehanizmi sudjelovanja javnosti u planiranju proračuna. Nadzorne institucije se trebaju ojačati kako bi se osigurala provedba proračunskih odluka i proširilo te unaprijedilo sudjelovanje javnosti. Civilno društvo treba nastaviti zagovarati sve veću transparentnost i angažirati se u proračunski proces što je više moguće, dok bi donatori trebali raditi s civilnim društvom i nadzornim institucijama kako bi se provele održive reforme transparentnosti i sudjelovanja. </w:t>
      </w:r>
    </w:p>
    <w:p w14:paraId="4527082A" w14:textId="6A789357" w:rsidR="00C24861" w:rsidRPr="00C020C4" w:rsidRDefault="002F7AA0" w:rsidP="00C020C4">
      <w:pPr>
        <w:ind w:left="-14" w:firstLine="14"/>
        <w:jc w:val="both"/>
        <w:rPr>
          <w:rFonts w:ascii="Times New Roman" w:hAnsi="Times New Roman" w:cs="Times New Roman"/>
          <w:sz w:val="24"/>
          <w:szCs w:val="24"/>
        </w:rPr>
      </w:pPr>
      <w:r>
        <w:rPr>
          <w:rFonts w:ascii="Times New Roman" w:hAnsi="Times New Roman"/>
          <w:b/>
          <w:sz w:val="24"/>
          <w:szCs w:val="24"/>
        </w:rPr>
        <w:t xml:space="preserve">Juan Pablo Guerrero, direktor mreže GIFT-a, predstavio je </w:t>
      </w:r>
      <w:r>
        <w:rPr>
          <w:rFonts w:ascii="Times New Roman" w:hAnsi="Times New Roman"/>
          <w:b/>
          <w:sz w:val="24"/>
          <w:szCs w:val="24"/>
          <w:u w:val="single"/>
        </w:rPr>
        <w:t>GIFT-ove zaključke i uvide o dobivenim rezultatima Ankete o otvorenosti proračuna iz 2017. na temu sudjelovanja javnosti i nedavno utvrđene nove slučajeve u Vodiču za sudjelovanje javnosti</w:t>
      </w:r>
      <w:r>
        <w:rPr>
          <w:rFonts w:ascii="Times New Roman" w:hAnsi="Times New Roman"/>
          <w:b/>
          <w:sz w:val="24"/>
          <w:szCs w:val="24"/>
        </w:rPr>
        <w:t>.</w:t>
      </w:r>
      <w:r>
        <w:rPr>
          <w:rFonts w:ascii="Times New Roman" w:hAnsi="Times New Roman"/>
          <w:b/>
          <w:bCs/>
          <w:sz w:val="24"/>
          <w:szCs w:val="24"/>
        </w:rPr>
        <w:t xml:space="preserve"> </w:t>
      </w:r>
      <w:r>
        <w:rPr>
          <w:rFonts w:ascii="Times New Roman" w:hAnsi="Times New Roman"/>
          <w:sz w:val="24"/>
          <w:szCs w:val="24"/>
        </w:rPr>
        <w:t xml:space="preserve">Predstavio je najnovije promjene u pogledu međunarodnih kodeksa i standarda sudjelovanja javnosti od kad je GIFT razvio načela visoke razine 2012., uključujući MMF-ov Kodeks fiskalne transparentnosti, OECD-ova načela proračunskog upravljanja, PEFA, OBS, OECD-ov vodič za proračunsku transparentnost i trenutačni rad BLTWG-a BCOP-a.  PEMPAL je prva mreža praktičara koja se sustavno uključila u pitanja sudjelovanja javnosti. Predstavio je glavne lekcije iz pozadinskog dokumenta BLTWG-a o sudjelovanju javnosti (koji je podijeljen svim sudionicima u sklopu materijala za plenarnu sjednicu), naglašavajući kako su za sudjelovanje javnosti potrebne povratne informacije za unaprjeđenja i potrebno je uključiti relevantne i različite ulazne informacije. Naglasio je i kako su informacijske tehnologije ključna prekretnica kad je riječ o sudjelovanju javnosti. G. Guerrero objasnio je kako su konkretna pitanja iz OBS-a vezana uz Načela GIFT-a i kako je OBS za 2017. unaprijeđen u odnosu na OBS za 2015. po pitanju dimenzija sudjelovanja javnosti. To uključuje veći obuhvat tema za savjetovanja, uključivanje šire javnosti, a ne samo odabranih skupina i pojedinaca za davanje povratnih informacija, kao i značajniji angažman vlade u pogledu komunikacije s građanima, za razliku od čistog prikupljanja informacija od građana. S druge strane, OBS upozorava kako mjere mogu precijeniti kvalitetu procesa sudjelovanja i podcijeniti mehanizme neslužbenog sudjelovanja; kako neke zemlje imaju ograničene nacionalne prilike i robusno sudjelovanje na razini lokalnog proračuna dok se OBS bavi samo nacionalnom razinom; te da su resorna ministarstva češće u kontaktu s javnosti (pružanjem usluga), dok se OBS fokusira samo na proračunske procese. U svom pregledu rezultata sudjelovanja javnosti prema OBS-u, naglasio je kako su svjetski rezultati niski te </w:t>
      </w:r>
      <w:r>
        <w:rPr>
          <w:rFonts w:ascii="Times New Roman" w:hAnsi="Times New Roman"/>
          <w:sz w:val="24"/>
          <w:szCs w:val="24"/>
        </w:rPr>
        <w:lastRenderedPageBreak/>
        <w:t xml:space="preserve">da postoji mnogo varijacija među zemljama i da se javnost više uključuje tijekom pripreme proračuna nego tijekom provedbe proračuna te više kada zakonodavstvo odobrava proračun nego kada zakonodavstvo razmatra revizijsko izvješće. Malo koja zemlja angažira javnost tijekom cijelog proračunskog ciklusa, ali 94 od 115 zemalja imaju neki oblik participativnog mehanizma. Većina zemalja se ne trudi angažirati različite skupine građana s različitim interesima te ne daju povratne informacije javnosti o tome je li njihov doprinos razmotren ili ne. G. Guerrero također je predstavio primjere mehanizama sudjelovanja javnosti iz OBS-a 2017., uključujući pretproračunske rasprave u Kirgiskoj Republici i Ukrajini, pretproračunska savjetovanja u Rusiji i Gruziji, pretproračunske podneske u Ujedinjenoj Kraljevini i Gruziji, javna vijeća, politička savjetovanja o konkretnim pitanjima u Moldovi, Hrvatskoj, Češkoj i Bugarskoj, sektorske radne skupine u Kazahstanu i Rusiji, </w:t>
      </w:r>
      <w:r>
        <w:rPr>
          <w:rFonts w:ascii="Times New Roman" w:hAnsi="Times New Roman"/>
          <w:i/>
          <w:sz w:val="24"/>
          <w:szCs w:val="24"/>
        </w:rPr>
        <w:t>online</w:t>
      </w:r>
      <w:r>
        <w:rPr>
          <w:rFonts w:ascii="Times New Roman" w:hAnsi="Times New Roman"/>
          <w:sz w:val="24"/>
          <w:szCs w:val="24"/>
        </w:rPr>
        <w:t xml:space="preserve"> mehanizme izvještavanja u Gruziji i Meksiku te savjetodavni pristup od dna prema vrhu na Filipinima.  Potom je predao riječ sudionicima iz Kirgiske Republike, Bugarske i Moldove. Izlaganje je završilo primjerima iz Ujedinjene Kraljevine, o snažnom dijalogu za izradu proračuna, uključujući i odluke o poreznoj politici. Na kraju savjetovanja objavljuje se sažetak danih odgovara, uključujući popis onih koji su dali doprinos. </w:t>
      </w:r>
    </w:p>
    <w:p w14:paraId="13E45CDE" w14:textId="2EB9651F" w:rsidR="008B6ACD" w:rsidRDefault="008B6ACD" w:rsidP="00526BF0">
      <w:pPr>
        <w:shd w:val="clear" w:color="auto" w:fill="FFFFFF"/>
        <w:jc w:val="both"/>
        <w:rPr>
          <w:rFonts w:ascii="Times New Roman" w:eastAsia="Times New Roman" w:hAnsi="Times New Roman" w:cs="Times New Roman"/>
          <w:b/>
          <w:color w:val="000000" w:themeColor="text1"/>
          <w:sz w:val="24"/>
          <w:szCs w:val="24"/>
        </w:rPr>
      </w:pPr>
      <w:r>
        <w:rPr>
          <w:rFonts w:ascii="Times New Roman" w:hAnsi="Times New Roman"/>
          <w:b/>
          <w:color w:val="000000" w:themeColor="text1"/>
          <w:sz w:val="24"/>
          <w:szCs w:val="24"/>
        </w:rPr>
        <w:t>Potom su Gruzija i Hrvatska, dvije zemlje za koje je IBP i/ili GIFT utvrdio da imaju neke od najboljih praksi u pogledu sudjelovanja javnosti, izvijestile o svojim mehanizmima sudjelovanja javnosti.</w:t>
      </w:r>
    </w:p>
    <w:p w14:paraId="4C0A4803" w14:textId="491DD7E5" w:rsidR="00C020C4" w:rsidRDefault="00C020C4" w:rsidP="00264A4A">
      <w:pPr>
        <w:pStyle w:val="ListParagraph"/>
        <w:spacing w:after="0" w:line="240" w:lineRule="auto"/>
        <w:ind w:left="0"/>
        <w:jc w:val="both"/>
        <w:rPr>
          <w:rFonts w:ascii="Times New Roman" w:hAnsi="Times New Roman" w:cs="Times New Roman"/>
          <w:sz w:val="24"/>
          <w:szCs w:val="24"/>
        </w:rPr>
      </w:pPr>
      <w:r>
        <w:rPr>
          <w:rFonts w:ascii="Times New Roman" w:hAnsi="Times New Roman"/>
          <w:sz w:val="24"/>
          <w:szCs w:val="24"/>
        </w:rPr>
        <w:t>I</w:t>
      </w:r>
      <w:r>
        <w:rPr>
          <w:rFonts w:ascii="Times New Roman" w:hAnsi="Times New Roman"/>
          <w:b/>
          <w:sz w:val="24"/>
          <w:szCs w:val="24"/>
        </w:rPr>
        <w:t>nga Gurgenidze, voditeljica Odjela za izradu državnog i konsolidiranog proračuna, Odjel za proračun, Ministarstvo financija Gruzije, održala je izlaganje na temu mehanizama sudjelovanja javnosti u Gruziji.</w:t>
      </w:r>
      <w:r>
        <w:rPr>
          <w:rFonts w:ascii="Times New Roman" w:hAnsi="Times New Roman"/>
          <w:sz w:val="24"/>
          <w:szCs w:val="24"/>
        </w:rPr>
        <w:t xml:space="preserve"> Gruzija je provela reforme koje su unaprijedile poziciju te države na ljestvici OBS-a, i to s 34 boda 2006. na 82 boda 2017. te je Gruzija danas na petom mjestu OBS-a. Unaprijeđena su ključna područja javne dostupnosti proračunskih dokumenata; sveobuhvatnost, korisnost i transparentnost proračunskih dokumenata; kao i transparentnost i dostupnost u proračunskom procesu (poput besplatnih sudjelovanja na proračunskim raspravama, emitiranja rasprava uživo, te izrade proračuna za građane u fazama pripreme i donošenja proračuna, koji su dostupni putem interneta i o kojima se raspravlja na televiziji). Poboljšan je i angažman i komunikacija, što uključuje Vijeće za koordinaciju PFM-om, uz predstavnike civilnog društva i sastanke s javnim i lokalnim vlastima. Prilikom proračunskog izvještavanja, polugodišnji proračunski izvještaj se sada izrađuje zajedno s polugodišnjim proračunskim pregledom. Državna revizorska služba izradila je inovativnu interaktivnu </w:t>
      </w:r>
      <w:r>
        <w:rPr>
          <w:rFonts w:ascii="Times New Roman" w:hAnsi="Times New Roman"/>
          <w:i/>
          <w:sz w:val="24"/>
          <w:szCs w:val="24"/>
        </w:rPr>
        <w:t>web</w:t>
      </w:r>
      <w:r>
        <w:rPr>
          <w:rFonts w:ascii="Times New Roman" w:hAnsi="Times New Roman"/>
          <w:sz w:val="24"/>
          <w:szCs w:val="24"/>
        </w:rPr>
        <w:t xml:space="preserve"> platformu </w:t>
      </w:r>
      <w:r>
        <w:rPr>
          <w:rFonts w:ascii="Times New Roman" w:hAnsi="Times New Roman"/>
          <w:i/>
          <w:sz w:val="24"/>
          <w:szCs w:val="24"/>
        </w:rPr>
        <w:t>Budget Monitor</w:t>
      </w:r>
      <w:r>
        <w:rPr>
          <w:rFonts w:ascii="Times New Roman" w:hAnsi="Times New Roman"/>
          <w:sz w:val="24"/>
          <w:szCs w:val="24"/>
        </w:rPr>
        <w:t xml:space="preserve"> (budgetmonitor.ge). </w:t>
      </w:r>
      <w:r>
        <w:rPr>
          <w:rFonts w:ascii="Times New Roman" w:hAnsi="Times New Roman"/>
          <w:i/>
          <w:sz w:val="24"/>
          <w:szCs w:val="24"/>
        </w:rPr>
        <w:t>Web</w:t>
      </w:r>
      <w:r>
        <w:rPr>
          <w:rFonts w:ascii="Times New Roman" w:hAnsi="Times New Roman"/>
          <w:sz w:val="24"/>
          <w:szCs w:val="24"/>
        </w:rPr>
        <w:t xml:space="preserve"> stranica je namijenjena građanima, nevladinim udrugama i medijima. Korisnici su mogli usporediti različite podatke, obraditi ih i izraditi projekcije. Ova je platforma dobila nekoliko nagrada, uključujući jednu od GIFT-a. Gđa Gurgenidze detaljno je predstavila interaktivnu </w:t>
      </w:r>
      <w:r>
        <w:rPr>
          <w:rFonts w:ascii="Times New Roman" w:hAnsi="Times New Roman"/>
          <w:i/>
          <w:sz w:val="24"/>
          <w:szCs w:val="24"/>
        </w:rPr>
        <w:t>online</w:t>
      </w:r>
      <w:r>
        <w:rPr>
          <w:rFonts w:ascii="Times New Roman" w:hAnsi="Times New Roman"/>
          <w:sz w:val="24"/>
          <w:szCs w:val="24"/>
        </w:rPr>
        <w:t xml:space="preserve"> platformu sudionicima te pokazala kako omogućuje dvosmjernu komunikaciju te mogućnost unošenja podataka putem sučelja koje je vizualno atraktivno i lako upotrebljivo te uključuje financijske informacije i pokazatelje učinka. Platforma se sastoji od četiri razine, sa stranicama posvećenim državnom proračunu, općinskim proračunima, reviziji i građanima. Stranica za građane ima preko 8.500 jedinstvenih korisnika te uključuje tri modula: </w:t>
      </w:r>
      <w:r>
        <w:rPr>
          <w:rFonts w:ascii="Times New Roman" w:hAnsi="Times New Roman"/>
          <w:i/>
          <w:sz w:val="24"/>
          <w:szCs w:val="24"/>
        </w:rPr>
        <w:t>Plan with Us</w:t>
      </w:r>
      <w:r>
        <w:rPr>
          <w:rFonts w:ascii="Times New Roman" w:hAnsi="Times New Roman"/>
          <w:sz w:val="24"/>
          <w:szCs w:val="24"/>
        </w:rPr>
        <w:t xml:space="preserve"> („Planirajte s nama“, modul kojim se angažiraju građani u provođenje </w:t>
      </w:r>
      <w:r w:rsidR="00647F42">
        <w:rPr>
          <w:rFonts w:ascii="Times New Roman" w:hAnsi="Times New Roman"/>
          <w:sz w:val="24"/>
          <w:szCs w:val="24"/>
        </w:rPr>
        <w:t>revizijskog</w:t>
      </w:r>
      <w:r>
        <w:rPr>
          <w:rFonts w:ascii="Times New Roman" w:hAnsi="Times New Roman"/>
          <w:sz w:val="24"/>
          <w:szCs w:val="24"/>
        </w:rPr>
        <w:t xml:space="preserve"> plana putem peticija građana), </w:t>
      </w:r>
      <w:r>
        <w:rPr>
          <w:rFonts w:ascii="Times New Roman" w:hAnsi="Times New Roman"/>
          <w:i/>
          <w:sz w:val="24"/>
          <w:szCs w:val="24"/>
        </w:rPr>
        <w:t>Fight Corruption</w:t>
      </w:r>
      <w:r>
        <w:rPr>
          <w:rFonts w:ascii="Times New Roman" w:hAnsi="Times New Roman"/>
          <w:sz w:val="24"/>
          <w:szCs w:val="24"/>
        </w:rPr>
        <w:t xml:space="preserve"> („Suzbijanje korupcije“) te </w:t>
      </w:r>
      <w:r>
        <w:rPr>
          <w:rFonts w:ascii="Times New Roman" w:hAnsi="Times New Roman"/>
          <w:i/>
          <w:sz w:val="24"/>
          <w:szCs w:val="24"/>
        </w:rPr>
        <w:t xml:space="preserve">Vote for Priority </w:t>
      </w:r>
      <w:r>
        <w:rPr>
          <w:rFonts w:ascii="Times New Roman" w:hAnsi="Times New Roman"/>
          <w:sz w:val="24"/>
          <w:szCs w:val="24"/>
        </w:rPr>
        <w:t xml:space="preserve">(„Glasujte za prioritete“, modul kojim se uzimaju u obzir interesi građana prilikom utvrđivanja prioriteta revizije). </w:t>
      </w:r>
    </w:p>
    <w:p w14:paraId="5939A5B3" w14:textId="0336C836" w:rsidR="00264A4A" w:rsidRPr="004F6580" w:rsidRDefault="00264A4A" w:rsidP="00264A4A">
      <w:pPr>
        <w:pStyle w:val="ListParagraph"/>
        <w:spacing w:after="0" w:line="240" w:lineRule="auto"/>
        <w:ind w:left="0"/>
        <w:jc w:val="both"/>
        <w:rPr>
          <w:rFonts w:ascii="Times New Roman" w:hAnsi="Times New Roman" w:cs="Times New Roman"/>
          <w:b/>
          <w:sz w:val="24"/>
          <w:szCs w:val="24"/>
        </w:rPr>
      </w:pPr>
    </w:p>
    <w:p w14:paraId="55F92D69" w14:textId="410CFA2C" w:rsidR="00540D27" w:rsidRPr="00264A4A" w:rsidRDefault="004F6580" w:rsidP="002C3A23">
      <w:pPr>
        <w:jc w:val="both"/>
        <w:rPr>
          <w:rFonts w:ascii="Times New Roman" w:hAnsi="Times New Roman" w:cs="Times New Roman"/>
          <w:sz w:val="24"/>
          <w:szCs w:val="24"/>
        </w:rPr>
      </w:pPr>
      <w:r>
        <w:rPr>
          <w:rFonts w:ascii="Times New Roman" w:hAnsi="Times New Roman"/>
          <w:b/>
          <w:sz w:val="24"/>
          <w:szCs w:val="24"/>
        </w:rPr>
        <w:t>Mladenka Karačić, voditeljica sektora u Odjelu za državnu riznicu Ministarstva financija Hrvatske, predstavila je mehanizme sudjelovanja javnosti u Hrvatskoj.</w:t>
      </w:r>
      <w:r>
        <w:rPr>
          <w:rFonts w:ascii="Times New Roman" w:hAnsi="Times New Roman"/>
          <w:sz w:val="24"/>
          <w:szCs w:val="24"/>
        </w:rPr>
        <w:t xml:space="preserve"> Dok su odredbe o </w:t>
      </w:r>
      <w:r>
        <w:rPr>
          <w:rFonts w:ascii="Times New Roman" w:hAnsi="Times New Roman"/>
          <w:sz w:val="24"/>
          <w:szCs w:val="24"/>
        </w:rPr>
        <w:lastRenderedPageBreak/>
        <w:t xml:space="preserve">transparentnosti uključene u postojeći proračunski zakonodavni okvir u Hrvatskoj, isto se ne može reći i za sudjelovanje javnosti. Unatoč tome, u proračunskim uputama Ministarstvo financija daje preporuku da se uključe i građani. Međutim radi se na izmjenama i dopunama proračunskog zakonodavstva te će se uključiti odredbe o sudjelovanju građana. Sudjelovanje građana razvijenije je na lokalnoj razini nego na nacionalnoj razini i postoji nekoliko izvrsnih primjera iz par hrvatskih gradova. Zakonom o pravu na pristup informacijama nalaže se obveza javnih vlasti da objavljuju informacije na svojim </w:t>
      </w:r>
      <w:r>
        <w:rPr>
          <w:rFonts w:ascii="Times New Roman" w:hAnsi="Times New Roman"/>
          <w:i/>
          <w:sz w:val="24"/>
          <w:szCs w:val="24"/>
        </w:rPr>
        <w:t>web</w:t>
      </w:r>
      <w:r>
        <w:rPr>
          <w:rFonts w:ascii="Times New Roman" w:hAnsi="Times New Roman"/>
          <w:sz w:val="24"/>
          <w:szCs w:val="24"/>
        </w:rPr>
        <w:t xml:space="preserve"> stranicama i da te informacije budu lako pretražive i u računalno čitljivom formatu te da sadržavaju cjelokupno zakonodavstvo i propise relevantne za obuhvat njihovih aktivnosti, registar i bazu podataka, informacije o pruženim javnim uslugama, financijske informacije, informacije o subvencijama, bespovratnim sredstvima, donacijama i drugoj podršci koju pružaju. Također se navodi kako se javnost mora konzultirati prilikom donošenja zakona i podzakonskih akata te prilikom donošenja općeg zakonodavstva, tj. drugih strateških i planskih dokumenata, ako isti utječu na interese građana i pravnih osoba. Tijela državne uprave savjetuju se s javnošću putem središnjeg internetskog portala za javna savjetovanja, dok se ostala državna tijela, jedinice lokalne i regionalne samouprave te pravne osobe s javnom ovlašću služe </w:t>
      </w:r>
      <w:r>
        <w:rPr>
          <w:rFonts w:ascii="Times New Roman" w:hAnsi="Times New Roman"/>
          <w:i/>
          <w:sz w:val="24"/>
          <w:szCs w:val="24"/>
        </w:rPr>
        <w:t>web</w:t>
      </w:r>
      <w:r>
        <w:rPr>
          <w:rFonts w:ascii="Times New Roman" w:hAnsi="Times New Roman"/>
          <w:sz w:val="24"/>
          <w:szCs w:val="24"/>
        </w:rPr>
        <w:t xml:space="preserve"> mjestom ili središnjim državnim portalom za javna savjetovanja i to objavom nacrta zakona, općeg zakonodavstva ili drugih dokumenata, kojima se objašnjavaju razlozi i ciljevi donošenja zakona, podzakonskih akata i drugih dokumenata. Isto tako se pozivaju građani da podnesu svoje prijedloge i daju mišljenja. Ministarstvo financija objavljuje sve informacija i dokumentaciju relevantnu za javnost. Proračuni za građane također se objavljuju i postoji vodič za građane o proračunima jedinica lokalne i regionalne samouprave. Na lokalnoj razini se sudjelovanje javnosti značajno razvilo, iako građani i dalje nisu dovoljno upoznati sa svojim pravima i pristupom koji im je omogućen. U nekim slučajevima proračunske rasprave su otvorene za javnost, ali građani rijetko sudjeluju. Udruga gradova u Hrvatskoj prepoznala je važnost sudjelovanja javnosti u postupcima donošenja odluka na lokalnoj razini. „Vodič za lokalni proračun i uključivanje javnosti u proces njegovog donošenja“ namijenjen je stvaranju okružja u kojem se potiču lokalne vlasti da uključe građane u proces donošenja lokalnog proračuna. Gđa Karačić predstavila je dobre primjere sudjelovanja javnosti iz pet lokalnih jedinica vlasti u Hrvatskoj – Pazin (gdje građani predlažu komunalne akcije i glasuju za njih na javnim raspravama), Rijeka (koja ima male komunalne akcije, program lokalnog partnerstva i edukativnu proračunsku igru na internetu), Crikvenica (koja ima e-savjetovanja), Knin (koji ima e-referendum putem kojeg gradska uprava postavlja općenita pitanja, većinom vezana uz utvrđivanje glavnih razvojnih smjernica, nakon kojih slijede pitanja o strukturi i organizaciji određenih gradskih sustava, konkretnih događanja itd.) te Žminj (koji ima e-referendum i program za starije građane te socijalno osjetljive skupine).</w:t>
      </w:r>
    </w:p>
    <w:p w14:paraId="05F78C2D" w14:textId="29E63477" w:rsidR="000D61FB" w:rsidRDefault="00B1781F" w:rsidP="00F528EF">
      <w:pPr>
        <w:shd w:val="clear" w:color="auto" w:fill="FFFFFF"/>
        <w:spacing w:after="120" w:line="240" w:lineRule="auto"/>
        <w:jc w:val="both"/>
        <w:rPr>
          <w:rFonts w:ascii="Times New Roman" w:hAnsi="Times New Roman" w:cs="Times New Roman"/>
          <w:b/>
          <w:sz w:val="24"/>
          <w:szCs w:val="24"/>
        </w:rPr>
      </w:pPr>
      <w:r>
        <w:rPr>
          <w:rFonts w:ascii="Times New Roman" w:hAnsi="Times New Roman"/>
          <w:b/>
          <w:sz w:val="24"/>
          <w:szCs w:val="24"/>
        </w:rPr>
        <w:t xml:space="preserve">Tijekom poslijepodneva trećeg dana, organizirane su grupne rasprave za sudionike na temu iskustva, izazova i potencijalnih mjera vezanih uz motiviranje građana za sudjelovanje u proračunskom procesu i motiviranje državne vlasti da uključi građane. Grupne su se rasprave dotaknule i IT aplikacija kojima se omoguće i olakšava sudjelovanje javnosti u proračunskom procesu. </w:t>
      </w:r>
      <w:r>
        <w:rPr>
          <w:rFonts w:ascii="Times New Roman" w:hAnsi="Times New Roman"/>
          <w:sz w:val="24"/>
          <w:szCs w:val="24"/>
        </w:rPr>
        <w:t xml:space="preserve">Sudionici su priznali kako je u zemljama PEMPAL-a razina javne motivacije niska, dok je u drugim državama jača na lokalnoj razini, s obzirom da potrošnja na lokalnoj razini više ili izravno utječe na građane. Istovremeno, oni koji su upoznatiji s proračunskim pitanjima, poput znanstvenika i studenata, pokazuju i veću razinu interesa. Nevladine udruge su motiviranije od privatnih građana. Kako bi se povećala motivacija građana mora se unaprijediti proračunska pismenost i važno je upotrebljavati interaktivne alate kako bi informacije bile lako razumljive i zanimljivije. Kad je riječ o državi, motivacija trenutačno raste u zemljama PEMPAL-a, većinom zahvaljujući radu ministarstava </w:t>
      </w:r>
      <w:r>
        <w:rPr>
          <w:rFonts w:ascii="Times New Roman" w:hAnsi="Times New Roman"/>
          <w:sz w:val="24"/>
          <w:szCs w:val="24"/>
        </w:rPr>
        <w:lastRenderedPageBreak/>
        <w:t>financija. Politička volja državnih službenika je ključna. Neke od mjera kojima se potiče sudjelovanje javnosti potiču nadmetanje državnih tijela u pogledu angažmana građana, pružanja financijske pomoći nižim razinama vlasti za inicijative sudjelovanja, sudjelovanja i unaprjeđenja rezultata na međunarodnim rang ljestvicama (poput OBS-a) i razmjene znanja između vlada putem sudjelovanja na međunarodnim konferencijama i skupovima. Raspravljalo se o konkretnim alatima za uključenje javnosti, uključujući objavu proračuna za građane u različitim fazama proračunskog procesa, održavanje proračunskih rasprava, izradu portala za glasanje o projektima, održavanje TV emisija i debata te upotreba alata za proračunsku pismenost poput proračunskih dana, kurikuluma i edukacije. Naglašeno je kako je važno sudionicima dati mogućnost da izraze svoje mišljenje tijekom proračunskih rasprava i da zatim dobiju povratne informacije o donesenim odlukama. U pogledu IT portala, mnoge zemlje PEMPAL-a imaju otvorene proračunske portale (na središnjoj i lokalnoj razini), od kojih neki omogućuju interaktivno sudjelovanje građana u smislu glasanja za različite projekte koji će se financirati, na primjer. Sudionici su pohvalili gruzijski primjer koji je predstavljen na radionici i na temelju njihovih zahtjeva gruzijski će predstavnici podijeliti tehničke specifikacije o tom portalu sa svojim kolegama iz PEMPAL-a.</w:t>
      </w:r>
      <w:r>
        <w:rPr>
          <w:rFonts w:ascii="Times New Roman" w:hAnsi="Times New Roman"/>
          <w:b/>
          <w:sz w:val="24"/>
          <w:szCs w:val="24"/>
        </w:rPr>
        <w:t xml:space="preserve"> </w:t>
      </w:r>
    </w:p>
    <w:p w14:paraId="6D32980E" w14:textId="1A93D98D" w:rsidR="00224788" w:rsidRPr="000D61FB" w:rsidRDefault="00483FE8" w:rsidP="00F528EF">
      <w:pPr>
        <w:shd w:val="clear" w:color="auto" w:fill="FFFFFF"/>
        <w:spacing w:after="120" w:line="240" w:lineRule="auto"/>
        <w:jc w:val="both"/>
        <w:rPr>
          <w:rFonts w:ascii="Times New Roman" w:hAnsi="Times New Roman" w:cs="Times New Roman"/>
          <w:b/>
          <w:i/>
          <w:sz w:val="24"/>
          <w:szCs w:val="24"/>
        </w:rPr>
        <w:sectPr w:rsidR="00224788" w:rsidRPr="000D61FB" w:rsidSect="00AF2FBB">
          <w:headerReference w:type="default" r:id="rId9"/>
          <w:footerReference w:type="even" r:id="rId10"/>
          <w:footerReference w:type="default" r:id="rId11"/>
          <w:pgSz w:w="12240" w:h="15840"/>
          <w:pgMar w:top="1224" w:right="1224" w:bottom="1224" w:left="1224" w:header="288" w:footer="720" w:gutter="0"/>
          <w:cols w:space="720"/>
          <w:docGrid w:linePitch="360"/>
        </w:sectPr>
      </w:pPr>
      <w:r>
        <w:rPr>
          <w:rFonts w:ascii="Times New Roman" w:hAnsi="Times New Roman"/>
          <w:b/>
          <w:i/>
          <w:sz w:val="24"/>
          <w:szCs w:val="24"/>
        </w:rPr>
        <w:t>Ovom izvještaju sa skupa može se pristupiti na web-mjestu PEMPAL-a zajedno sa svim materijalima</w:t>
      </w:r>
      <w:r>
        <w:rPr>
          <w:rFonts w:ascii="Times New Roman" w:hAnsi="Times New Roman"/>
          <w:i/>
          <w:sz w:val="24"/>
          <w:szCs w:val="24"/>
        </w:rPr>
        <w:t xml:space="preserve"> s plenarne sjednice na jezicima mreže – engleskom, ruskom i BCS: </w:t>
      </w:r>
      <w:hyperlink r:id="rId12" w:history="1">
        <w:r>
          <w:rPr>
            <w:rStyle w:val="Hyperlink"/>
            <w:rFonts w:ascii="Times New Roman" w:hAnsi="Times New Roman"/>
            <w:i/>
            <w:sz w:val="24"/>
            <w:szCs w:val="24"/>
          </w:rPr>
          <w:t>https://www.pempal.org/events/bcop-plenary-meeting</w:t>
        </w:r>
      </w:hyperlink>
    </w:p>
    <w:p w14:paraId="1FB05467" w14:textId="77B9A4B7" w:rsidR="00E35D0B" w:rsidRDefault="009B445F" w:rsidP="001978F0">
      <w:pPr>
        <w:pStyle w:val="Heading1"/>
        <w:rPr>
          <w:rFonts w:ascii="Times New Roman" w:hAnsi="Times New Roman" w:cs="Times New Roman"/>
          <w:b/>
          <w:color w:val="000000" w:themeColor="text1"/>
          <w:sz w:val="24"/>
          <w:szCs w:val="24"/>
        </w:rPr>
      </w:pPr>
      <w:bookmarkStart w:id="11" w:name="_Toc514226013"/>
      <w:r>
        <w:rPr>
          <w:rFonts w:ascii="Times New Roman" w:hAnsi="Times New Roman"/>
          <w:b/>
          <w:color w:val="000000" w:themeColor="text1"/>
          <w:sz w:val="24"/>
          <w:szCs w:val="24"/>
        </w:rPr>
        <w:lastRenderedPageBreak/>
        <w:t>Prilog: Dnevni red skupa</w:t>
      </w:r>
      <w:bookmarkEnd w:id="11"/>
    </w:p>
    <w:p w14:paraId="03F3EE7B" w14:textId="77777777" w:rsidR="00055DD8" w:rsidRPr="00055DD8" w:rsidRDefault="00055DD8" w:rsidP="00055DD8">
      <w:pPr>
        <w:jc w:val="center"/>
        <w:outlineLvl w:val="0"/>
        <w:rPr>
          <w:rFonts w:ascii="Cambria" w:hAnsi="Cambria"/>
          <w:b/>
          <w:bCs/>
        </w:rPr>
      </w:pPr>
      <w:bookmarkStart w:id="12" w:name="_Toc511655356"/>
      <w:bookmarkStart w:id="13" w:name="_Toc514226014"/>
      <w:r>
        <w:rPr>
          <w:rFonts w:ascii="Cambria" w:hAnsi="Cambria"/>
          <w:b/>
          <w:bCs/>
        </w:rPr>
        <w:t>DNEVNI RED</w:t>
      </w:r>
      <w:bookmarkEnd w:id="12"/>
      <w:bookmarkEnd w:id="13"/>
    </w:p>
    <w:p w14:paraId="56627D4F" w14:textId="77777777" w:rsidR="00055DD8" w:rsidRPr="00055DD8" w:rsidRDefault="00055DD8" w:rsidP="00055DD8">
      <w:pPr>
        <w:jc w:val="center"/>
        <w:outlineLvl w:val="0"/>
        <w:rPr>
          <w:rFonts w:ascii="Cambria" w:hAnsi="Cambria"/>
          <w:b/>
          <w:bCs/>
        </w:rPr>
      </w:pPr>
      <w:bookmarkStart w:id="14" w:name="_Toc511655357"/>
      <w:bookmarkStart w:id="15" w:name="_Toc514226015"/>
      <w:r>
        <w:rPr>
          <w:rFonts w:ascii="Cambria" w:hAnsi="Cambria"/>
          <w:b/>
          <w:bCs/>
        </w:rPr>
        <w:t>PLENARNA SJEDNICA BCOP-a PEMPAL-a</w:t>
      </w:r>
      <w:bookmarkEnd w:id="14"/>
      <w:bookmarkEnd w:id="15"/>
      <w:r>
        <w:rPr>
          <w:rFonts w:ascii="Cambria" w:hAnsi="Cambria"/>
          <w:b/>
          <w:bCs/>
        </w:rPr>
        <w:t xml:space="preserve"> </w:t>
      </w:r>
    </w:p>
    <w:p w14:paraId="6B2F8549" w14:textId="77777777" w:rsidR="00055DD8" w:rsidRPr="00055DD8" w:rsidRDefault="00055DD8" w:rsidP="00055DD8">
      <w:pPr>
        <w:jc w:val="center"/>
        <w:rPr>
          <w:rFonts w:ascii="Cambria" w:hAnsi="Cambria"/>
          <w:b/>
          <w:bCs/>
        </w:rPr>
      </w:pPr>
      <w:r>
        <w:rPr>
          <w:rFonts w:ascii="Cambria" w:hAnsi="Cambria"/>
          <w:b/>
          <w:bCs/>
        </w:rPr>
        <w:t xml:space="preserve">Unaprjeđenje učinkovitosti i odgovornosti za javne rashode:  </w:t>
      </w:r>
    </w:p>
    <w:p w14:paraId="19191F1C" w14:textId="77777777" w:rsidR="00055DD8" w:rsidRPr="00055DD8" w:rsidRDefault="00055DD8" w:rsidP="00055DD8">
      <w:pPr>
        <w:jc w:val="center"/>
        <w:rPr>
          <w:rFonts w:ascii="Cambria" w:hAnsi="Cambria"/>
          <w:b/>
          <w:bCs/>
        </w:rPr>
      </w:pPr>
      <w:r>
        <w:rPr>
          <w:rFonts w:ascii="Cambria" w:hAnsi="Cambria"/>
          <w:b/>
          <w:bCs/>
        </w:rPr>
        <w:t>trendovi u međuvladinim fiskalnim odnosima, planiranju proračuna prema učinku i sudjelovanju u izradi proračuna</w:t>
      </w:r>
    </w:p>
    <w:p w14:paraId="53258283" w14:textId="77777777" w:rsidR="00055DD8" w:rsidRPr="00055DD8" w:rsidRDefault="00055DD8" w:rsidP="00055DD8">
      <w:pPr>
        <w:pStyle w:val="xmsonormal"/>
        <w:spacing w:before="0" w:beforeAutospacing="0" w:after="0" w:afterAutospacing="0"/>
        <w:jc w:val="center"/>
        <w:rPr>
          <w:rFonts w:ascii="Cambria" w:eastAsia="Times New Roman" w:hAnsi="Cambria"/>
          <w:b/>
          <w:bCs/>
        </w:rPr>
      </w:pPr>
      <w:r>
        <w:rPr>
          <w:rFonts w:ascii="Cambria" w:hAnsi="Cambria"/>
          <w:b/>
          <w:bCs/>
        </w:rPr>
        <w:t>14.-16. OŽUJKA 2018.</w:t>
      </w:r>
    </w:p>
    <w:p w14:paraId="610CB86D" w14:textId="77777777" w:rsidR="00055DD8" w:rsidRPr="00055DD8" w:rsidRDefault="00055DD8" w:rsidP="00055DD8">
      <w:pPr>
        <w:pStyle w:val="xmsonormal"/>
        <w:spacing w:before="0" w:beforeAutospacing="0" w:after="0" w:afterAutospacing="0"/>
        <w:jc w:val="center"/>
        <w:rPr>
          <w:rFonts w:ascii="Cambria" w:eastAsia="Times New Roman" w:hAnsi="Cambria"/>
          <w:b/>
        </w:rPr>
      </w:pPr>
      <w:r>
        <w:rPr>
          <w:rFonts w:ascii="Cambria" w:hAnsi="Cambria"/>
          <w:b/>
        </w:rPr>
        <w:t xml:space="preserve"> </w:t>
      </w:r>
    </w:p>
    <w:p w14:paraId="400C0976" w14:textId="77777777" w:rsidR="00055DD8" w:rsidRPr="00055DD8" w:rsidRDefault="00055DD8" w:rsidP="00055DD8">
      <w:pPr>
        <w:pStyle w:val="xaddress"/>
        <w:shd w:val="clear" w:color="auto" w:fill="FFFFFF" w:themeFill="background1"/>
        <w:spacing w:before="0" w:beforeAutospacing="0" w:after="0" w:afterAutospacing="0" w:line="225" w:lineRule="atLeast"/>
        <w:jc w:val="center"/>
        <w:rPr>
          <w:rFonts w:ascii="Cambria" w:eastAsia="Times New Roman" w:hAnsi="Cambria"/>
          <w:b/>
          <w:bCs/>
        </w:rPr>
      </w:pPr>
      <w:r>
        <w:rPr>
          <w:rFonts w:ascii="Cambria" w:hAnsi="Cambria"/>
          <w:b/>
          <w:bCs/>
        </w:rPr>
        <w:t>BEČ, AUSTRIJA</w:t>
      </w:r>
    </w:p>
    <w:p w14:paraId="28D3C1DF" w14:textId="77777777" w:rsidR="00055DD8" w:rsidRPr="00055DD8" w:rsidRDefault="00055DD8" w:rsidP="00055DD8">
      <w:pPr>
        <w:outlineLvl w:val="0"/>
        <w:rPr>
          <w:rFonts w:ascii="Cambria" w:hAnsi="Cambria"/>
        </w:rPr>
      </w:pPr>
    </w:p>
    <w:p w14:paraId="36955643" w14:textId="77777777" w:rsidR="00055DD8" w:rsidRPr="00055DD8" w:rsidRDefault="00055DD8" w:rsidP="00055DD8">
      <w:pPr>
        <w:jc w:val="both"/>
        <w:outlineLvl w:val="0"/>
        <w:rPr>
          <w:rFonts w:ascii="Cambria" w:hAnsi="Cambria"/>
          <w:b/>
          <w:bCs/>
          <w:u w:val="single"/>
        </w:rPr>
      </w:pPr>
      <w:bookmarkStart w:id="16" w:name="_Toc511655358"/>
      <w:bookmarkStart w:id="17" w:name="_Toc514226016"/>
      <w:r>
        <w:rPr>
          <w:rFonts w:ascii="Cambria" w:hAnsi="Cambria"/>
          <w:b/>
          <w:bCs/>
          <w:u w:val="single"/>
        </w:rPr>
        <w:t>Ciljevi</w:t>
      </w:r>
      <w:bookmarkEnd w:id="16"/>
      <w:bookmarkEnd w:id="17"/>
    </w:p>
    <w:p w14:paraId="1EDE262B" w14:textId="77777777" w:rsidR="00055DD8" w:rsidRPr="00055DD8" w:rsidRDefault="00055DD8" w:rsidP="00055DD8">
      <w:pPr>
        <w:jc w:val="both"/>
        <w:rPr>
          <w:rFonts w:ascii="Cambria" w:hAnsi="Cambria"/>
        </w:rPr>
      </w:pPr>
      <w:r>
        <w:rPr>
          <w:rFonts w:ascii="Cambria" w:hAnsi="Cambria"/>
          <w:b/>
        </w:rPr>
        <w:t xml:space="preserve">Ključni ciljevi sastanka su: </w:t>
      </w:r>
    </w:p>
    <w:p w14:paraId="63DF9684" w14:textId="77777777" w:rsidR="00055DD8" w:rsidRPr="00055DD8" w:rsidRDefault="00055DD8" w:rsidP="00055DD8">
      <w:pPr>
        <w:numPr>
          <w:ilvl w:val="0"/>
          <w:numId w:val="38"/>
        </w:numPr>
        <w:spacing w:after="0" w:line="240" w:lineRule="auto"/>
        <w:jc w:val="both"/>
        <w:rPr>
          <w:rFonts w:ascii="Cambria" w:hAnsi="Cambria"/>
        </w:rPr>
      </w:pPr>
      <w:r>
        <w:rPr>
          <w:rFonts w:ascii="Cambria" w:hAnsi="Cambria"/>
        </w:rPr>
        <w:t xml:space="preserve">Pružiti mogućnost da zemlje članice BCOP-a </w:t>
      </w:r>
      <w:r>
        <w:rPr>
          <w:rFonts w:ascii="Cambria" w:hAnsi="Cambria"/>
          <w:b/>
          <w:i/>
        </w:rPr>
        <w:t>pregledaju pristupe i trendove u međuvladinim fiskalnim odnosima,</w:t>
      </w:r>
      <w:r>
        <w:rPr>
          <w:rFonts w:ascii="Cambria" w:hAnsi="Cambria"/>
        </w:rPr>
        <w:t xml:space="preserve"> upoznaju se s najnovijim događanjima u zemljama OECD-a i rasprave o mogućim pristupima i opcijama za zemlje PEMPAL-a</w:t>
      </w:r>
    </w:p>
    <w:p w14:paraId="139E2E68" w14:textId="77777777" w:rsidR="00055DD8" w:rsidRPr="00055DD8" w:rsidRDefault="00055DD8" w:rsidP="00055DD8">
      <w:pPr>
        <w:numPr>
          <w:ilvl w:val="0"/>
          <w:numId w:val="38"/>
        </w:numPr>
        <w:spacing w:after="0" w:line="240" w:lineRule="auto"/>
        <w:jc w:val="both"/>
        <w:rPr>
          <w:rFonts w:ascii="Cambria" w:hAnsi="Cambria"/>
        </w:rPr>
      </w:pPr>
      <w:r>
        <w:rPr>
          <w:rFonts w:ascii="Cambria" w:hAnsi="Cambria"/>
        </w:rPr>
        <w:t xml:space="preserve">Pružiti priliku širem članstvu BCOP-a da pregleda prakse i pristupe iz područja s kojima su se radne skupina BCOP-a bavile protekle godine – </w:t>
      </w:r>
      <w:r>
        <w:rPr>
          <w:rFonts w:ascii="Cambria" w:hAnsi="Cambria"/>
          <w:b/>
          <w:i/>
        </w:rPr>
        <w:t>upotreba informacija o učinku u planiranju proračuna prema učinku</w:t>
      </w:r>
      <w:r>
        <w:rPr>
          <w:rFonts w:ascii="Cambria" w:hAnsi="Cambria"/>
        </w:rPr>
        <w:t xml:space="preserve"> i </w:t>
      </w:r>
      <w:r>
        <w:rPr>
          <w:rFonts w:ascii="Cambria" w:hAnsi="Cambria"/>
          <w:b/>
          <w:i/>
        </w:rPr>
        <w:t>sudjelovanje javnosti</w:t>
      </w:r>
      <w:r>
        <w:rPr>
          <w:rFonts w:ascii="Cambria" w:hAnsi="Cambria"/>
        </w:rPr>
        <w:t>.</w:t>
      </w:r>
      <w:r>
        <w:rPr>
          <w:rFonts w:ascii="Cambria" w:hAnsi="Cambria"/>
          <w:b/>
          <w:bCs/>
        </w:rPr>
        <w:t xml:space="preserve"> </w:t>
      </w:r>
      <w:r>
        <w:rPr>
          <w:rFonts w:ascii="Cambria" w:hAnsi="Cambria"/>
        </w:rPr>
        <w:t>Prikupiti povratne informacije od članova BCOP-a o najnovijem radu na proizvodima znanja radnih skupina BCOP-a:</w:t>
      </w:r>
    </w:p>
    <w:p w14:paraId="36670733" w14:textId="77777777" w:rsidR="00055DD8" w:rsidRPr="00055DD8" w:rsidRDefault="00055DD8" w:rsidP="00055DD8">
      <w:pPr>
        <w:pStyle w:val="ListParagraph"/>
        <w:numPr>
          <w:ilvl w:val="1"/>
          <w:numId w:val="40"/>
        </w:numPr>
        <w:spacing w:after="0" w:line="240" w:lineRule="auto"/>
        <w:jc w:val="both"/>
        <w:rPr>
          <w:rFonts w:ascii="Cambria" w:hAnsi="Cambria"/>
        </w:rPr>
      </w:pPr>
      <w:r>
        <w:rPr>
          <w:rFonts w:ascii="Cambria" w:hAnsi="Cambria"/>
        </w:rPr>
        <w:t xml:space="preserve">Pokazatelji učinka u zemljama PEMPAL-a: trendovi i izazovi (pripremila Radna skupina BCOP-a za programsko planiranje i planiranje proračuna prema učinku)  </w:t>
      </w:r>
    </w:p>
    <w:p w14:paraId="298C0AF1" w14:textId="77777777" w:rsidR="00055DD8" w:rsidRPr="00055DD8" w:rsidRDefault="00055DD8" w:rsidP="00055DD8">
      <w:pPr>
        <w:pStyle w:val="ListParagraph"/>
        <w:numPr>
          <w:ilvl w:val="1"/>
          <w:numId w:val="40"/>
        </w:numPr>
        <w:spacing w:after="0" w:line="240" w:lineRule="auto"/>
        <w:jc w:val="both"/>
        <w:rPr>
          <w:rFonts w:ascii="Cambria" w:hAnsi="Cambria"/>
        </w:rPr>
      </w:pPr>
      <w:r>
        <w:rPr>
          <w:rFonts w:ascii="Cambria" w:hAnsi="Cambria"/>
        </w:rPr>
        <w:t>Sudjelovanje javnosti u fiskalnoj politici i proračunskom procesu – Kako uspostaviti i/ili ojačati mehanizme u zemljama PEMPAL-a? (pripremila Radna skupina BCOP-a za proračunsku transparentnost i pismenost).</w:t>
      </w:r>
    </w:p>
    <w:p w14:paraId="7C8C8A1A" w14:textId="77777777" w:rsidR="00055DD8" w:rsidRPr="00055DD8" w:rsidRDefault="00055DD8" w:rsidP="00055DD8">
      <w:pPr>
        <w:numPr>
          <w:ilvl w:val="0"/>
          <w:numId w:val="39"/>
        </w:numPr>
        <w:spacing w:after="0" w:line="240" w:lineRule="auto"/>
        <w:jc w:val="both"/>
        <w:rPr>
          <w:rFonts w:ascii="Cambria" w:hAnsi="Cambria"/>
        </w:rPr>
      </w:pPr>
      <w:r>
        <w:rPr>
          <w:rFonts w:ascii="Cambria" w:hAnsi="Cambria"/>
        </w:rPr>
        <w:t>Pružiti članovima najnovije informacije o radu BCOP-a dostupne nakon zadnje plenarne sjednice i anketirati ih prije same sjednice o prioritetima, kako bi te informacije služile kao podloga za razvoj Akcijskog plana BCOP-a za razdoblje 2018.-2019.</w:t>
      </w:r>
    </w:p>
    <w:p w14:paraId="72F76ED7" w14:textId="77777777" w:rsidR="00055DD8" w:rsidRPr="00055DD8" w:rsidRDefault="00055DD8" w:rsidP="00055DD8">
      <w:pPr>
        <w:jc w:val="both"/>
        <w:rPr>
          <w:rFonts w:ascii="Cambria" w:hAnsi="Cambria"/>
          <w:b/>
          <w:u w:val="single"/>
        </w:rPr>
      </w:pPr>
    </w:p>
    <w:p w14:paraId="196430EF" w14:textId="77777777" w:rsidR="00055DD8" w:rsidRPr="00055DD8" w:rsidRDefault="00055DD8" w:rsidP="00055DD8">
      <w:pPr>
        <w:jc w:val="both"/>
        <w:outlineLvl w:val="0"/>
        <w:rPr>
          <w:rFonts w:ascii="Cambria" w:hAnsi="Cambria"/>
          <w:b/>
          <w:bCs/>
          <w:u w:val="single"/>
        </w:rPr>
      </w:pPr>
      <w:bookmarkStart w:id="18" w:name="_Toc511655359"/>
      <w:bookmarkStart w:id="19" w:name="_Toc514226017"/>
      <w:r>
        <w:rPr>
          <w:rFonts w:ascii="Cambria" w:hAnsi="Cambria"/>
          <w:b/>
          <w:bCs/>
          <w:u w:val="single"/>
        </w:rPr>
        <w:t>Nulti dan, utorak, 13. ožujka – Izvršni odbor</w:t>
      </w:r>
      <w:bookmarkEnd w:id="18"/>
      <w:bookmarkEnd w:id="19"/>
    </w:p>
    <w:p w14:paraId="674475D0" w14:textId="77777777" w:rsidR="00055DD8" w:rsidRPr="00055DD8" w:rsidRDefault="00055DD8" w:rsidP="00055DD8">
      <w:pPr>
        <w:jc w:val="both"/>
        <w:outlineLvl w:val="0"/>
        <w:rPr>
          <w:rFonts w:ascii="Cambria" w:eastAsia="PMingLiU" w:hAnsi="Cambria"/>
        </w:rPr>
      </w:pPr>
      <w:bookmarkStart w:id="20" w:name="_Toc511655360"/>
      <w:bookmarkStart w:id="21" w:name="_Toc514226018"/>
      <w:r>
        <w:rPr>
          <w:rFonts w:ascii="Cambria" w:hAnsi="Cambria"/>
        </w:rPr>
        <w:t>Dolasci članova Izvršnog odbora BCOP-a i resursnog tima</w:t>
      </w:r>
      <w:bookmarkEnd w:id="20"/>
      <w:bookmarkEnd w:id="21"/>
    </w:p>
    <w:p w14:paraId="4868A605" w14:textId="77777777" w:rsidR="00055DD8" w:rsidRPr="00055DD8" w:rsidRDefault="00055DD8" w:rsidP="00055DD8">
      <w:pPr>
        <w:ind w:left="1410" w:hanging="1410"/>
        <w:jc w:val="both"/>
        <w:rPr>
          <w:rFonts w:ascii="Cambria" w:eastAsia="PMingLiU" w:hAnsi="Cambria"/>
        </w:rPr>
      </w:pPr>
    </w:p>
    <w:p w14:paraId="71B5F883" w14:textId="77777777" w:rsidR="00055DD8" w:rsidRPr="00055DD8" w:rsidRDefault="00055DD8" w:rsidP="00055DD8">
      <w:pPr>
        <w:ind w:left="1410" w:hanging="1410"/>
        <w:jc w:val="both"/>
        <w:rPr>
          <w:rFonts w:ascii="Cambria" w:eastAsia="PMingLiU" w:hAnsi="Cambria"/>
        </w:rPr>
      </w:pPr>
      <w:r>
        <w:rPr>
          <w:rFonts w:ascii="Cambria" w:hAnsi="Cambria"/>
        </w:rPr>
        <w:t>12.30 – 14.00</w:t>
      </w:r>
      <w:r>
        <w:rPr>
          <w:rFonts w:ascii="Cambria" w:hAnsi="Cambria"/>
        </w:rPr>
        <w:tab/>
      </w:r>
      <w:r>
        <w:rPr>
          <w:rFonts w:ascii="Cambria" w:hAnsi="Cambria"/>
          <w:b/>
        </w:rPr>
        <w:t>Ručak u hotelu</w:t>
      </w:r>
      <w:r>
        <w:rPr>
          <w:rFonts w:ascii="Cambria" w:hAnsi="Cambria"/>
          <w:b/>
          <w:bCs/>
        </w:rPr>
        <w:t xml:space="preserve"> </w:t>
      </w:r>
    </w:p>
    <w:p w14:paraId="6D0BAC9A" w14:textId="77777777" w:rsidR="00055DD8" w:rsidRPr="00055DD8" w:rsidRDefault="00055DD8" w:rsidP="00055DD8">
      <w:pPr>
        <w:pStyle w:val="ListParagraph"/>
        <w:ind w:left="0"/>
        <w:jc w:val="both"/>
        <w:rPr>
          <w:rFonts w:ascii="Cambria" w:hAnsi="Cambria"/>
        </w:rPr>
      </w:pPr>
    </w:p>
    <w:p w14:paraId="73E98940" w14:textId="77777777" w:rsidR="00055DD8" w:rsidRPr="00055DD8" w:rsidRDefault="00055DD8" w:rsidP="00055DD8">
      <w:pPr>
        <w:pStyle w:val="ListParagraph"/>
        <w:ind w:left="0"/>
        <w:jc w:val="both"/>
        <w:rPr>
          <w:rFonts w:ascii="Cambria" w:hAnsi="Cambria"/>
        </w:rPr>
      </w:pPr>
      <w:r>
        <w:rPr>
          <w:rFonts w:ascii="Cambria" w:hAnsi="Cambria"/>
        </w:rPr>
        <w:t xml:space="preserve">18.00      </w:t>
      </w:r>
      <w:r>
        <w:rPr>
          <w:rFonts w:ascii="Cambria" w:hAnsi="Cambria"/>
        </w:rPr>
        <w:tab/>
      </w:r>
      <w:r>
        <w:rPr>
          <w:rFonts w:ascii="Cambria" w:hAnsi="Cambria"/>
          <w:b/>
          <w:bCs/>
        </w:rPr>
        <w:t>Sastanak tehničkog resursnog tima</w:t>
      </w:r>
      <w:r>
        <w:rPr>
          <w:rFonts w:ascii="Cambria" w:hAnsi="Cambria"/>
        </w:rPr>
        <w:t xml:space="preserve"> </w:t>
      </w:r>
    </w:p>
    <w:p w14:paraId="61435F73" w14:textId="77777777" w:rsidR="00055DD8" w:rsidRPr="00055DD8" w:rsidRDefault="00055DD8" w:rsidP="00055DD8">
      <w:pPr>
        <w:pStyle w:val="ListParagraph"/>
        <w:ind w:left="0"/>
        <w:jc w:val="both"/>
        <w:rPr>
          <w:rFonts w:ascii="Cambria" w:hAnsi="Cambria"/>
        </w:rPr>
      </w:pPr>
    </w:p>
    <w:p w14:paraId="70B19AB6" w14:textId="77777777" w:rsidR="00055DD8" w:rsidRPr="00055DD8" w:rsidRDefault="00055DD8" w:rsidP="00055DD8">
      <w:pPr>
        <w:pStyle w:val="ListParagraph"/>
        <w:ind w:left="1416" w:hanging="1416"/>
        <w:jc w:val="both"/>
        <w:rPr>
          <w:rFonts w:ascii="Cambria" w:hAnsi="Cambria"/>
          <w:b/>
          <w:bCs/>
        </w:rPr>
      </w:pPr>
      <w:r>
        <w:rPr>
          <w:rFonts w:ascii="Cambria" w:hAnsi="Cambria"/>
        </w:rPr>
        <w:t>19.00</w:t>
      </w:r>
      <w:r>
        <w:rPr>
          <w:rFonts w:ascii="Cambria" w:hAnsi="Cambria"/>
        </w:rPr>
        <w:tab/>
      </w:r>
      <w:r>
        <w:rPr>
          <w:rFonts w:ascii="Cambria" w:hAnsi="Cambria"/>
          <w:b/>
          <w:bCs/>
        </w:rPr>
        <w:t xml:space="preserve">Večera Izvršnog odbora BCOP-a s gostima iz austrijskog Ministarstva financija </w:t>
      </w:r>
    </w:p>
    <w:p w14:paraId="68893372" w14:textId="77777777" w:rsidR="00055DD8" w:rsidRPr="00055DD8" w:rsidRDefault="00055DD8" w:rsidP="00055DD8">
      <w:pPr>
        <w:pStyle w:val="ListParagraph"/>
        <w:ind w:left="360"/>
        <w:jc w:val="both"/>
        <w:rPr>
          <w:rFonts w:ascii="Cambria" w:hAnsi="Cambria"/>
        </w:rPr>
      </w:pPr>
    </w:p>
    <w:p w14:paraId="72879C04" w14:textId="77777777" w:rsidR="00055DD8" w:rsidRPr="00055DD8" w:rsidRDefault="00055DD8" w:rsidP="00055DD8">
      <w:pPr>
        <w:rPr>
          <w:rFonts w:ascii="Cambria" w:hAnsi="Cambria"/>
          <w:b/>
          <w:bCs/>
          <w:u w:val="single"/>
        </w:rPr>
      </w:pPr>
      <w:r>
        <w:br w:type="page"/>
      </w:r>
      <w:r>
        <w:rPr>
          <w:rFonts w:ascii="Cambria" w:hAnsi="Cambria"/>
          <w:b/>
          <w:bCs/>
          <w:u w:val="single"/>
        </w:rPr>
        <w:lastRenderedPageBreak/>
        <w:t xml:space="preserve"> Srijeda, 14. ožujka </w:t>
      </w:r>
    </w:p>
    <w:p w14:paraId="5E9DDBF4" w14:textId="0EEC9DE8" w:rsidR="00055DD8" w:rsidRPr="00055DD8" w:rsidRDefault="00055DD8" w:rsidP="00055DD8">
      <w:pPr>
        <w:pStyle w:val="ListParagraph"/>
        <w:ind w:left="0"/>
        <w:jc w:val="both"/>
        <w:rPr>
          <w:rFonts w:ascii="Cambria" w:hAnsi="Cambria"/>
          <w:b/>
          <w:bCs/>
        </w:rPr>
      </w:pPr>
      <w:r>
        <w:rPr>
          <w:rFonts w:ascii="Cambria" w:hAnsi="Cambria"/>
        </w:rPr>
        <w:t xml:space="preserve">10.30      </w:t>
      </w:r>
      <w:r>
        <w:rPr>
          <w:rFonts w:ascii="Cambria" w:hAnsi="Cambria"/>
        </w:rPr>
        <w:tab/>
      </w:r>
      <w:r>
        <w:rPr>
          <w:rFonts w:ascii="Cambria" w:hAnsi="Cambria"/>
          <w:b/>
          <w:bCs/>
        </w:rPr>
        <w:t>Sastanak Izvršnog odbora BCOP-a</w:t>
      </w:r>
    </w:p>
    <w:p w14:paraId="4B3A1741" w14:textId="77777777" w:rsidR="00AA75CD" w:rsidRDefault="00AA75CD" w:rsidP="00055DD8">
      <w:pPr>
        <w:jc w:val="both"/>
        <w:rPr>
          <w:rFonts w:ascii="Cambria" w:hAnsi="Cambria"/>
          <w:b/>
          <w:bCs/>
          <w:u w:val="single"/>
        </w:rPr>
      </w:pPr>
    </w:p>
    <w:p w14:paraId="690BF8CE" w14:textId="10EF6673" w:rsidR="00055DD8" w:rsidRPr="00055DD8" w:rsidRDefault="00055DD8" w:rsidP="00055DD8">
      <w:pPr>
        <w:jc w:val="both"/>
        <w:rPr>
          <w:rFonts w:ascii="Cambria" w:hAnsi="Cambria"/>
          <w:b/>
          <w:bCs/>
          <w:u w:val="single"/>
        </w:rPr>
      </w:pPr>
      <w:r>
        <w:rPr>
          <w:rFonts w:ascii="Cambria" w:hAnsi="Cambria"/>
          <w:b/>
          <w:bCs/>
          <w:u w:val="single"/>
        </w:rPr>
        <w:t>Prvi dan – Međuvladini fiskalni odnosi</w:t>
      </w:r>
    </w:p>
    <w:p w14:paraId="50B6846E" w14:textId="77777777" w:rsidR="00055DD8" w:rsidRPr="00055DD8" w:rsidRDefault="00055DD8" w:rsidP="00055DD8">
      <w:pPr>
        <w:jc w:val="both"/>
        <w:rPr>
          <w:rFonts w:ascii="Cambria" w:hAnsi="Cambria"/>
        </w:rPr>
      </w:pPr>
      <w:r>
        <w:rPr>
          <w:rFonts w:ascii="Cambria" w:hAnsi="Cambria"/>
        </w:rPr>
        <w:t>Moderatori:  Alija Aljović (Izvršni odbor BCOP-a, zamjenik ministra za proračun, Federalno ministarstvo financija Bosne i Hercegovine), Maya Gusarova (vodeća koordinatorica resursnog tima BCOP-a, viša stručnjakinja za javni sektor, Svjetska banka)</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055DD8" w:rsidRPr="00055DD8" w14:paraId="75DE93F0" w14:textId="77777777" w:rsidTr="00DE4BE5">
        <w:trPr>
          <w:trHeight w:val="436"/>
        </w:trPr>
        <w:tc>
          <w:tcPr>
            <w:tcW w:w="1507" w:type="dxa"/>
            <w:shd w:val="clear" w:color="auto" w:fill="D0CECE"/>
          </w:tcPr>
          <w:p w14:paraId="6DB3E6CB" w14:textId="77777777" w:rsidR="00055DD8" w:rsidRPr="00055DD8" w:rsidRDefault="00055DD8" w:rsidP="00DE4BE5">
            <w:pPr>
              <w:spacing w:after="200" w:line="276" w:lineRule="auto"/>
              <w:jc w:val="center"/>
              <w:rPr>
                <w:rFonts w:ascii="Cambria" w:hAnsi="Cambria"/>
              </w:rPr>
            </w:pPr>
            <w:r>
              <w:rPr>
                <w:rFonts w:ascii="Cambria" w:hAnsi="Cambria"/>
              </w:rPr>
              <w:t>Vrijeme</w:t>
            </w:r>
          </w:p>
        </w:tc>
        <w:tc>
          <w:tcPr>
            <w:tcW w:w="8303" w:type="dxa"/>
            <w:shd w:val="clear" w:color="auto" w:fill="D0CECE"/>
          </w:tcPr>
          <w:p w14:paraId="29A9E5B8" w14:textId="77777777" w:rsidR="00055DD8" w:rsidRPr="00055DD8" w:rsidRDefault="00055DD8" w:rsidP="00DE4BE5">
            <w:pPr>
              <w:spacing w:after="200" w:line="276" w:lineRule="auto"/>
              <w:jc w:val="center"/>
              <w:rPr>
                <w:rFonts w:ascii="Cambria" w:hAnsi="Cambria"/>
              </w:rPr>
            </w:pPr>
            <w:r>
              <w:rPr>
                <w:rFonts w:ascii="Cambria" w:hAnsi="Cambria"/>
              </w:rPr>
              <w:t>Aktivnost</w:t>
            </w:r>
          </w:p>
        </w:tc>
      </w:tr>
      <w:tr w:rsidR="00055DD8" w:rsidRPr="00055DD8" w14:paraId="0D334DBD" w14:textId="77777777" w:rsidTr="00DE4BE5">
        <w:trPr>
          <w:trHeight w:val="355"/>
        </w:trPr>
        <w:tc>
          <w:tcPr>
            <w:tcW w:w="1507" w:type="dxa"/>
            <w:shd w:val="clear" w:color="auto" w:fill="auto"/>
          </w:tcPr>
          <w:p w14:paraId="76DE650E" w14:textId="77777777" w:rsidR="00055DD8" w:rsidRPr="00055DD8" w:rsidRDefault="00055DD8" w:rsidP="00DE4BE5">
            <w:pPr>
              <w:spacing w:after="200" w:line="276" w:lineRule="auto"/>
              <w:jc w:val="both"/>
              <w:rPr>
                <w:rFonts w:ascii="Cambria" w:hAnsi="Cambria"/>
              </w:rPr>
            </w:pPr>
          </w:p>
        </w:tc>
        <w:tc>
          <w:tcPr>
            <w:tcW w:w="8303" w:type="dxa"/>
            <w:shd w:val="clear" w:color="auto" w:fill="auto"/>
          </w:tcPr>
          <w:p w14:paraId="4CD7C87D" w14:textId="77777777" w:rsidR="00055DD8" w:rsidRPr="00055DD8" w:rsidRDefault="00055DD8" w:rsidP="00DE4BE5">
            <w:pPr>
              <w:spacing w:after="200" w:line="276" w:lineRule="auto"/>
              <w:jc w:val="both"/>
              <w:rPr>
                <w:rFonts w:ascii="Cambria" w:hAnsi="Cambria"/>
                <w:b/>
                <w:bCs/>
              </w:rPr>
            </w:pPr>
            <w:r>
              <w:rPr>
                <w:rFonts w:ascii="Cambria" w:hAnsi="Cambria"/>
                <w:b/>
                <w:bCs/>
              </w:rPr>
              <w:t>Dolasci članova BCOP-a</w:t>
            </w:r>
          </w:p>
        </w:tc>
      </w:tr>
      <w:tr w:rsidR="00055DD8" w:rsidRPr="00055DD8" w14:paraId="715C5A75" w14:textId="77777777" w:rsidTr="00DE4BE5">
        <w:trPr>
          <w:trHeight w:val="355"/>
        </w:trPr>
        <w:tc>
          <w:tcPr>
            <w:tcW w:w="1507" w:type="dxa"/>
            <w:shd w:val="clear" w:color="auto" w:fill="auto"/>
          </w:tcPr>
          <w:p w14:paraId="0439F579" w14:textId="77777777" w:rsidR="00055DD8" w:rsidRPr="00055DD8" w:rsidRDefault="00055DD8" w:rsidP="00DE4BE5">
            <w:pPr>
              <w:spacing w:after="200" w:line="276" w:lineRule="auto"/>
              <w:jc w:val="both"/>
              <w:rPr>
                <w:rFonts w:ascii="Cambria" w:hAnsi="Cambria"/>
              </w:rPr>
            </w:pPr>
            <w:r>
              <w:rPr>
                <w:rFonts w:ascii="Cambria" w:hAnsi="Cambria"/>
              </w:rPr>
              <w:t>12.00 – 13.00</w:t>
            </w:r>
          </w:p>
        </w:tc>
        <w:tc>
          <w:tcPr>
            <w:tcW w:w="8303" w:type="dxa"/>
            <w:shd w:val="clear" w:color="auto" w:fill="auto"/>
          </w:tcPr>
          <w:p w14:paraId="3E8AE412" w14:textId="77777777" w:rsidR="00055DD8" w:rsidRPr="00055DD8" w:rsidRDefault="00055DD8" w:rsidP="00DE4BE5">
            <w:pPr>
              <w:spacing w:after="200" w:line="276" w:lineRule="auto"/>
              <w:jc w:val="both"/>
              <w:rPr>
                <w:rFonts w:ascii="Cambria" w:hAnsi="Cambria"/>
                <w:b/>
                <w:bCs/>
              </w:rPr>
            </w:pPr>
            <w:r>
              <w:rPr>
                <w:rFonts w:ascii="Cambria" w:hAnsi="Cambria"/>
                <w:b/>
                <w:bCs/>
              </w:rPr>
              <w:t xml:space="preserve">Ručak </w:t>
            </w:r>
          </w:p>
        </w:tc>
      </w:tr>
      <w:tr w:rsidR="00055DD8" w:rsidRPr="00055DD8" w14:paraId="2FB0056C" w14:textId="77777777" w:rsidTr="00DE4BE5">
        <w:trPr>
          <w:trHeight w:val="355"/>
        </w:trPr>
        <w:tc>
          <w:tcPr>
            <w:tcW w:w="1507" w:type="dxa"/>
            <w:shd w:val="clear" w:color="auto" w:fill="auto"/>
          </w:tcPr>
          <w:p w14:paraId="7F072520" w14:textId="77777777" w:rsidR="00055DD8" w:rsidRPr="00055DD8" w:rsidRDefault="00055DD8" w:rsidP="00DE4BE5">
            <w:pPr>
              <w:spacing w:after="200" w:line="276" w:lineRule="auto"/>
              <w:jc w:val="both"/>
              <w:rPr>
                <w:rFonts w:ascii="Cambria" w:hAnsi="Cambria"/>
              </w:rPr>
            </w:pPr>
            <w:r>
              <w:rPr>
                <w:rFonts w:ascii="Cambria" w:hAnsi="Cambria"/>
              </w:rPr>
              <w:t>13.00 – 13.30</w:t>
            </w:r>
          </w:p>
        </w:tc>
        <w:tc>
          <w:tcPr>
            <w:tcW w:w="8303" w:type="dxa"/>
            <w:shd w:val="clear" w:color="auto" w:fill="auto"/>
          </w:tcPr>
          <w:p w14:paraId="502828BF" w14:textId="77777777" w:rsidR="00055DD8" w:rsidRPr="00055DD8" w:rsidRDefault="00055DD8" w:rsidP="00DE4BE5">
            <w:pPr>
              <w:spacing w:after="200" w:line="276" w:lineRule="auto"/>
              <w:jc w:val="both"/>
              <w:rPr>
                <w:rFonts w:ascii="Cambria" w:hAnsi="Cambria"/>
                <w:b/>
                <w:bCs/>
              </w:rPr>
            </w:pPr>
            <w:r>
              <w:rPr>
                <w:rFonts w:ascii="Cambria" w:hAnsi="Cambria"/>
                <w:b/>
                <w:bCs/>
              </w:rPr>
              <w:t>Prijava</w:t>
            </w:r>
          </w:p>
        </w:tc>
      </w:tr>
      <w:tr w:rsidR="00055DD8" w:rsidRPr="00055DD8" w14:paraId="662F00DB" w14:textId="77777777" w:rsidTr="00DE4BE5">
        <w:trPr>
          <w:trHeight w:val="395"/>
        </w:trPr>
        <w:tc>
          <w:tcPr>
            <w:tcW w:w="1507" w:type="dxa"/>
            <w:shd w:val="clear" w:color="auto" w:fill="auto"/>
          </w:tcPr>
          <w:p w14:paraId="0ECCD881" w14:textId="77777777" w:rsidR="00055DD8" w:rsidRPr="00055DD8" w:rsidRDefault="00055DD8" w:rsidP="00DE4BE5">
            <w:pPr>
              <w:spacing w:after="200" w:line="276" w:lineRule="auto"/>
              <w:jc w:val="both"/>
              <w:rPr>
                <w:rFonts w:ascii="Cambria" w:hAnsi="Cambria"/>
              </w:rPr>
            </w:pPr>
            <w:r>
              <w:rPr>
                <w:rFonts w:ascii="Cambria" w:hAnsi="Cambria"/>
              </w:rPr>
              <w:t>13.30 – 14.00</w:t>
            </w:r>
          </w:p>
        </w:tc>
        <w:tc>
          <w:tcPr>
            <w:tcW w:w="8303" w:type="dxa"/>
            <w:shd w:val="clear" w:color="auto" w:fill="auto"/>
          </w:tcPr>
          <w:p w14:paraId="639A7F4A" w14:textId="77777777" w:rsidR="00055DD8" w:rsidRPr="00055DD8" w:rsidRDefault="00055DD8" w:rsidP="00DE4BE5">
            <w:pPr>
              <w:jc w:val="both"/>
              <w:rPr>
                <w:rFonts w:ascii="Cambria" w:hAnsi="Cambria"/>
              </w:rPr>
            </w:pPr>
            <w:r>
              <w:rPr>
                <w:rFonts w:ascii="Cambria" w:hAnsi="Cambria"/>
                <w:b/>
                <w:bCs/>
              </w:rPr>
              <w:t xml:space="preserve">Dobrodošlica </w:t>
            </w:r>
            <w:r>
              <w:rPr>
                <w:rFonts w:ascii="Cambria" w:hAnsi="Cambria"/>
              </w:rPr>
              <w:t>i otvaranje sjednice:</w:t>
            </w:r>
          </w:p>
          <w:p w14:paraId="39121D17" w14:textId="77777777" w:rsidR="00055DD8" w:rsidRPr="00055DD8" w:rsidRDefault="008D4169" w:rsidP="00055DD8">
            <w:pPr>
              <w:numPr>
                <w:ilvl w:val="0"/>
                <w:numId w:val="2"/>
              </w:numPr>
              <w:spacing w:after="0" w:line="240" w:lineRule="auto"/>
              <w:jc w:val="both"/>
              <w:rPr>
                <w:rFonts w:ascii="Cambria" w:hAnsi="Cambria"/>
              </w:rPr>
            </w:pPr>
            <w:hyperlink r:id="rId13">
              <w:r w:rsidR="009105EE">
                <w:rPr>
                  <w:rFonts w:ascii="Cambria" w:hAnsi="Cambria"/>
                </w:rPr>
                <w:t>Linda Van Gelder</w:t>
              </w:r>
            </w:hyperlink>
            <w:r w:rsidR="009105EE">
              <w:rPr>
                <w:rFonts w:ascii="Cambria" w:hAnsi="Cambria"/>
              </w:rPr>
              <w:t>, voditeljica ureda Svjetske banke za Europu i zapadni Balkan, Svjetska banka</w:t>
            </w:r>
          </w:p>
          <w:p w14:paraId="06F2C1B8" w14:textId="77777777" w:rsidR="00055DD8" w:rsidRPr="00055DD8" w:rsidRDefault="00055DD8" w:rsidP="00055DD8">
            <w:pPr>
              <w:numPr>
                <w:ilvl w:val="0"/>
                <w:numId w:val="2"/>
              </w:numPr>
              <w:spacing w:after="0" w:line="240" w:lineRule="auto"/>
              <w:jc w:val="both"/>
              <w:rPr>
                <w:rFonts w:ascii="Cambria" w:hAnsi="Cambria"/>
              </w:rPr>
            </w:pPr>
            <w:r>
              <w:rPr>
                <w:rFonts w:ascii="Cambria" w:hAnsi="Cambria"/>
              </w:rPr>
              <w:t xml:space="preserve">Dan Boyce, predsjednik Upravnog odbora PEMPAL-a i voditelj prakse, Uprava – istočna Europa i srednja Azija, Svjetska banka </w:t>
            </w:r>
          </w:p>
          <w:p w14:paraId="29FE5276" w14:textId="77777777" w:rsidR="00055DD8" w:rsidRPr="00055DD8" w:rsidRDefault="00055DD8" w:rsidP="00055DD8">
            <w:pPr>
              <w:numPr>
                <w:ilvl w:val="0"/>
                <w:numId w:val="2"/>
              </w:numPr>
              <w:spacing w:after="0" w:line="240" w:lineRule="auto"/>
              <w:jc w:val="both"/>
              <w:rPr>
                <w:rFonts w:ascii="Cambria" w:hAnsi="Cambria"/>
              </w:rPr>
            </w:pPr>
            <w:r>
              <w:rPr>
                <w:rFonts w:ascii="Cambria" w:hAnsi="Cambria"/>
              </w:rPr>
              <w:t>Anna Belenchuk, predsjednica BCOP-a, Ministarstvo financija Ruske Federacije</w:t>
            </w:r>
          </w:p>
          <w:p w14:paraId="1CAE4F90" w14:textId="77777777" w:rsidR="00055DD8" w:rsidRPr="00055DD8" w:rsidRDefault="00055DD8" w:rsidP="00055DD8">
            <w:pPr>
              <w:numPr>
                <w:ilvl w:val="0"/>
                <w:numId w:val="2"/>
              </w:numPr>
              <w:spacing w:after="0" w:line="240" w:lineRule="auto"/>
              <w:jc w:val="both"/>
              <w:rPr>
                <w:rFonts w:ascii="Cambria" w:hAnsi="Cambria"/>
              </w:rPr>
            </w:pPr>
            <w:r>
              <w:rPr>
                <w:rFonts w:ascii="Cambria" w:hAnsi="Cambria"/>
              </w:rPr>
              <w:t>Predstavljanje po stolovima (10 – 15 minuta), uključujući predstavljanje novih sudionika</w:t>
            </w:r>
          </w:p>
        </w:tc>
      </w:tr>
      <w:tr w:rsidR="00055DD8" w:rsidRPr="00055DD8" w14:paraId="40A951F8" w14:textId="77777777" w:rsidTr="00DE4BE5">
        <w:trPr>
          <w:trHeight w:val="395"/>
        </w:trPr>
        <w:tc>
          <w:tcPr>
            <w:tcW w:w="1507" w:type="dxa"/>
            <w:shd w:val="clear" w:color="auto" w:fill="auto"/>
          </w:tcPr>
          <w:p w14:paraId="3440BE95" w14:textId="77777777" w:rsidR="00055DD8" w:rsidRPr="00055DD8" w:rsidRDefault="00055DD8" w:rsidP="00DE4BE5">
            <w:pPr>
              <w:spacing w:after="200" w:line="276" w:lineRule="auto"/>
              <w:jc w:val="both"/>
              <w:rPr>
                <w:rFonts w:ascii="Cambria" w:hAnsi="Cambria"/>
              </w:rPr>
            </w:pPr>
            <w:r>
              <w:rPr>
                <w:rFonts w:ascii="Cambria" w:hAnsi="Cambria"/>
              </w:rPr>
              <w:t>14.00 – 14.15</w:t>
            </w:r>
          </w:p>
        </w:tc>
        <w:tc>
          <w:tcPr>
            <w:tcW w:w="8303" w:type="dxa"/>
            <w:shd w:val="clear" w:color="auto" w:fill="auto"/>
          </w:tcPr>
          <w:p w14:paraId="32DC189F" w14:textId="77777777" w:rsidR="00055DD8" w:rsidRPr="00055DD8" w:rsidRDefault="00055DD8" w:rsidP="00DE4BE5">
            <w:pPr>
              <w:snapToGrid w:val="0"/>
              <w:jc w:val="both"/>
              <w:rPr>
                <w:rFonts w:ascii="Cambria" w:hAnsi="Cambria"/>
                <w:b/>
                <w:bCs/>
              </w:rPr>
            </w:pPr>
            <w:r>
              <w:rPr>
                <w:rFonts w:ascii="Cambria" w:hAnsi="Cambria"/>
                <w:b/>
                <w:bCs/>
              </w:rPr>
              <w:t xml:space="preserve">1. izlaganje: </w:t>
            </w:r>
            <w:r>
              <w:rPr>
                <w:rFonts w:ascii="Cambria" w:hAnsi="Cambria"/>
                <w:b/>
              </w:rPr>
              <w:t xml:space="preserve">Izvršni odbor BCOP-a – najnovije informacije o aktivnostima BCOP-a, uključujući razvoj BCOP-ova akcijskog plana za 2018. – 2019. </w:t>
            </w:r>
            <w:r>
              <w:rPr>
                <w:rFonts w:ascii="Cambria" w:hAnsi="Cambria"/>
              </w:rPr>
              <w:t>Kanat Asangulov, Izvršni odbor BCOP-a, voditelj Odjela za proračunsku politiku, Kirgiska Republika, Ministarstvo financija</w:t>
            </w:r>
          </w:p>
        </w:tc>
      </w:tr>
      <w:tr w:rsidR="00055DD8" w:rsidRPr="00055DD8" w14:paraId="3A24CCC0" w14:textId="77777777" w:rsidTr="00DE4BE5">
        <w:trPr>
          <w:trHeight w:val="557"/>
        </w:trPr>
        <w:tc>
          <w:tcPr>
            <w:tcW w:w="1507" w:type="dxa"/>
            <w:shd w:val="clear" w:color="auto" w:fill="auto"/>
          </w:tcPr>
          <w:p w14:paraId="3ABA7880" w14:textId="77777777" w:rsidR="00055DD8" w:rsidRPr="00055DD8" w:rsidRDefault="00055DD8" w:rsidP="00DE4BE5">
            <w:pPr>
              <w:jc w:val="both"/>
              <w:rPr>
                <w:rFonts w:ascii="Cambria" w:hAnsi="Cambria"/>
              </w:rPr>
            </w:pPr>
            <w:r>
              <w:rPr>
                <w:rFonts w:ascii="Cambria" w:hAnsi="Cambria"/>
              </w:rPr>
              <w:t>14.15 – 14.45</w:t>
            </w:r>
          </w:p>
        </w:tc>
        <w:tc>
          <w:tcPr>
            <w:tcW w:w="8303" w:type="dxa"/>
            <w:shd w:val="clear" w:color="auto" w:fill="auto"/>
          </w:tcPr>
          <w:p w14:paraId="06B0727D" w14:textId="14408771" w:rsidR="00055DD8" w:rsidRPr="00055DD8" w:rsidRDefault="00055DD8" w:rsidP="00055DD8">
            <w:pPr>
              <w:jc w:val="both"/>
              <w:rPr>
                <w:rFonts w:ascii="Cambria" w:eastAsia="PMingLiU" w:hAnsi="Cambria" w:cstheme="majorBidi"/>
                <w:i/>
                <w:iCs/>
                <w:color w:val="404040" w:themeColor="text1" w:themeTint="BF"/>
              </w:rPr>
            </w:pPr>
            <w:r>
              <w:rPr>
                <w:rFonts w:ascii="Cambria" w:hAnsi="Cambria"/>
                <w:b/>
                <w:bCs/>
              </w:rPr>
              <w:t xml:space="preserve">2. izlaganje: Svjetska banka – </w:t>
            </w:r>
            <w:r>
              <w:rPr>
                <w:rFonts w:ascii="Cambria" w:hAnsi="Cambria"/>
                <w:b/>
                <w:bCs/>
                <w:u w:val="single"/>
              </w:rPr>
              <w:t xml:space="preserve">Pregled međuvladinih fiskalnih odnosa i rezultati ankete prije skupa provedene na zemljama PEMPAL-a </w:t>
            </w:r>
            <w:r>
              <w:rPr>
                <w:rFonts w:ascii="Cambria" w:hAnsi="Cambria"/>
              </w:rPr>
              <w:t>Iryna Shcherbyna, viša stručnjakinja za javni sektor, Svjetska banka</w:t>
            </w:r>
          </w:p>
        </w:tc>
      </w:tr>
      <w:tr w:rsidR="00055DD8" w:rsidRPr="00055DD8" w14:paraId="13250F30" w14:textId="77777777" w:rsidTr="00DE4BE5">
        <w:trPr>
          <w:trHeight w:val="557"/>
        </w:trPr>
        <w:tc>
          <w:tcPr>
            <w:tcW w:w="1507" w:type="dxa"/>
            <w:shd w:val="clear" w:color="auto" w:fill="auto"/>
          </w:tcPr>
          <w:p w14:paraId="30CFA317" w14:textId="77777777" w:rsidR="00055DD8" w:rsidRPr="00055DD8" w:rsidRDefault="00055DD8" w:rsidP="00DE4BE5">
            <w:pPr>
              <w:jc w:val="both"/>
              <w:rPr>
                <w:rFonts w:ascii="Cambria" w:hAnsi="Cambria"/>
              </w:rPr>
            </w:pPr>
            <w:r>
              <w:rPr>
                <w:rFonts w:ascii="Cambria" w:hAnsi="Cambria"/>
              </w:rPr>
              <w:t>14.45 – 15.15</w:t>
            </w:r>
          </w:p>
        </w:tc>
        <w:tc>
          <w:tcPr>
            <w:tcW w:w="8303" w:type="dxa"/>
            <w:shd w:val="clear" w:color="auto" w:fill="auto"/>
          </w:tcPr>
          <w:p w14:paraId="28B06BD2" w14:textId="77777777" w:rsidR="00055DD8" w:rsidRPr="00055DD8" w:rsidRDefault="00055DD8" w:rsidP="00DE4BE5">
            <w:pPr>
              <w:widowControl w:val="0"/>
              <w:autoSpaceDE w:val="0"/>
              <w:autoSpaceDN w:val="0"/>
              <w:adjustRightInd w:val="0"/>
              <w:jc w:val="both"/>
              <w:rPr>
                <w:rFonts w:ascii="Cambria" w:hAnsi="Cambria"/>
                <w:b/>
                <w:bCs/>
              </w:rPr>
            </w:pPr>
            <w:r>
              <w:rPr>
                <w:rFonts w:ascii="Cambria" w:hAnsi="Cambria"/>
                <w:b/>
                <w:bCs/>
              </w:rPr>
              <w:t xml:space="preserve">3. izlaganje: </w:t>
            </w:r>
            <w:r>
              <w:rPr>
                <w:rFonts w:ascii="Cambria" w:hAnsi="Cambria"/>
                <w:b/>
                <w:u w:val="single"/>
              </w:rPr>
              <w:t>Tajništvo PEFA-e – Međuvladini fiskalni odnosi u okviru javnih rashoda i financijske odgovornosti (PEFA)</w:t>
            </w:r>
            <w:r>
              <w:rPr>
                <w:rFonts w:ascii="Cambria" w:hAnsi="Cambria"/>
              </w:rPr>
              <w:t>, Jens Kromann Kristensen, glavni voditelj Tajništva PEFA-e</w:t>
            </w:r>
          </w:p>
        </w:tc>
      </w:tr>
      <w:tr w:rsidR="00055DD8" w:rsidRPr="00055DD8" w14:paraId="78720D63" w14:textId="77777777" w:rsidTr="00DE4BE5">
        <w:trPr>
          <w:trHeight w:val="305"/>
        </w:trPr>
        <w:tc>
          <w:tcPr>
            <w:tcW w:w="1507" w:type="dxa"/>
            <w:tcBorders>
              <w:bottom w:val="single" w:sz="4" w:space="0" w:color="auto"/>
            </w:tcBorders>
            <w:shd w:val="clear" w:color="auto" w:fill="E7E6E6"/>
          </w:tcPr>
          <w:p w14:paraId="0FC46B3F" w14:textId="77777777" w:rsidR="00055DD8" w:rsidRPr="00055DD8" w:rsidRDefault="00055DD8" w:rsidP="00DE4BE5">
            <w:pPr>
              <w:spacing w:after="200" w:line="276" w:lineRule="auto"/>
              <w:jc w:val="both"/>
              <w:rPr>
                <w:rFonts w:ascii="Cambria" w:hAnsi="Cambria"/>
              </w:rPr>
            </w:pPr>
            <w:r>
              <w:rPr>
                <w:rFonts w:ascii="Cambria" w:hAnsi="Cambria"/>
              </w:rPr>
              <w:t>15.15 - 15.45</w:t>
            </w:r>
          </w:p>
        </w:tc>
        <w:tc>
          <w:tcPr>
            <w:tcW w:w="8303" w:type="dxa"/>
            <w:tcBorders>
              <w:bottom w:val="single" w:sz="4" w:space="0" w:color="auto"/>
            </w:tcBorders>
            <w:shd w:val="clear" w:color="auto" w:fill="E7E6E6"/>
          </w:tcPr>
          <w:p w14:paraId="7D531C4F" w14:textId="77777777" w:rsidR="00055DD8" w:rsidRPr="00055DD8" w:rsidRDefault="00055DD8" w:rsidP="00DE4BE5">
            <w:pPr>
              <w:spacing w:after="200" w:line="276" w:lineRule="auto"/>
              <w:jc w:val="both"/>
              <w:rPr>
                <w:rFonts w:ascii="Cambria" w:hAnsi="Cambria"/>
              </w:rPr>
            </w:pPr>
            <w:r>
              <w:rPr>
                <w:rFonts w:ascii="Cambria" w:hAnsi="Cambria"/>
              </w:rPr>
              <w:t>Zajednička fotografija i stanka za kavu</w:t>
            </w:r>
          </w:p>
        </w:tc>
      </w:tr>
      <w:tr w:rsidR="00055DD8" w:rsidRPr="00055DD8" w14:paraId="3715E843" w14:textId="77777777" w:rsidTr="00DE4BE5">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978F" w14:textId="77777777" w:rsidR="00055DD8" w:rsidRPr="00055DD8" w:rsidRDefault="00055DD8" w:rsidP="00DE4BE5">
            <w:pPr>
              <w:spacing w:after="200" w:line="276" w:lineRule="auto"/>
              <w:jc w:val="both"/>
              <w:rPr>
                <w:rFonts w:ascii="Cambria" w:hAnsi="Cambria"/>
              </w:rPr>
            </w:pPr>
            <w:r>
              <w:rPr>
                <w:rFonts w:ascii="Cambria" w:hAnsi="Cambria"/>
              </w:rPr>
              <w:t>15.45 – 16.15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5B27E3" w14:textId="77777777" w:rsidR="00055DD8" w:rsidRPr="00055DD8" w:rsidRDefault="00055DD8" w:rsidP="00DE4BE5">
            <w:pPr>
              <w:spacing w:after="200"/>
              <w:jc w:val="both"/>
              <w:rPr>
                <w:rFonts w:ascii="Cambria" w:hAnsi="Cambria"/>
              </w:rPr>
            </w:pPr>
            <w:r>
              <w:rPr>
                <w:rFonts w:ascii="Cambria" w:hAnsi="Cambria"/>
                <w:b/>
                <w:bCs/>
              </w:rPr>
              <w:t xml:space="preserve">4. izlaganje: </w:t>
            </w:r>
            <w:r>
              <w:rPr>
                <w:rFonts w:ascii="Cambria" w:hAnsi="Cambria"/>
                <w:b/>
              </w:rPr>
              <w:t xml:space="preserve">OECD – </w:t>
            </w:r>
            <w:r>
              <w:rPr>
                <w:rFonts w:ascii="Cambria" w:hAnsi="Cambria"/>
                <w:b/>
                <w:u w:val="single"/>
              </w:rPr>
              <w:t>Fiskalna decentralizacija u zemljama OECD-a</w:t>
            </w:r>
            <w:r>
              <w:rPr>
                <w:rFonts w:ascii="Cambria" w:hAnsi="Cambria"/>
              </w:rPr>
              <w:t>, Sean Dougherty, Mreža za fiskalnu decentralizaciju, Odjel za javne rashode, Uprava za javno upravljanje, OECD</w:t>
            </w:r>
            <w:r>
              <w:rPr>
                <w:rFonts w:ascii="Cambria" w:hAnsi="Cambria"/>
                <w:b/>
                <w:bCs/>
              </w:rPr>
              <w:t xml:space="preserve"> </w:t>
            </w:r>
          </w:p>
        </w:tc>
      </w:tr>
      <w:tr w:rsidR="00055DD8" w:rsidRPr="00055DD8" w14:paraId="45B430B4" w14:textId="77777777" w:rsidTr="00DE4BE5">
        <w:trPr>
          <w:trHeight w:val="549"/>
        </w:trPr>
        <w:tc>
          <w:tcPr>
            <w:tcW w:w="1507" w:type="dxa"/>
            <w:tcBorders>
              <w:bottom w:val="single" w:sz="4" w:space="0" w:color="auto"/>
            </w:tcBorders>
            <w:shd w:val="clear" w:color="auto" w:fill="auto"/>
          </w:tcPr>
          <w:p w14:paraId="5E7C200A" w14:textId="77777777" w:rsidR="00055DD8" w:rsidRPr="00055DD8" w:rsidRDefault="00055DD8" w:rsidP="00DE4BE5">
            <w:pPr>
              <w:spacing w:after="200" w:line="276" w:lineRule="auto"/>
              <w:jc w:val="both"/>
              <w:rPr>
                <w:rFonts w:ascii="Cambria" w:hAnsi="Cambria"/>
              </w:rPr>
            </w:pPr>
            <w:r>
              <w:rPr>
                <w:rFonts w:ascii="Cambria" w:hAnsi="Cambria"/>
              </w:rPr>
              <w:t>16.15 – 16.45</w:t>
            </w:r>
          </w:p>
        </w:tc>
        <w:tc>
          <w:tcPr>
            <w:tcW w:w="8303" w:type="dxa"/>
            <w:tcBorders>
              <w:bottom w:val="single" w:sz="4" w:space="0" w:color="auto"/>
            </w:tcBorders>
            <w:shd w:val="clear" w:color="auto" w:fill="auto"/>
          </w:tcPr>
          <w:p w14:paraId="5AE60755" w14:textId="77777777" w:rsidR="00055DD8" w:rsidRPr="00055DD8" w:rsidRDefault="00055DD8" w:rsidP="00DE4BE5">
            <w:pPr>
              <w:rPr>
                <w:rFonts w:ascii="Cambria" w:hAnsi="Cambria"/>
                <w:b/>
                <w:bCs/>
              </w:rPr>
            </w:pPr>
            <w:r>
              <w:rPr>
                <w:rFonts w:ascii="Cambria" w:hAnsi="Cambria"/>
                <w:b/>
                <w:bCs/>
              </w:rPr>
              <w:t xml:space="preserve">5. izlaganje: </w:t>
            </w:r>
            <w:r>
              <w:rPr>
                <w:rFonts w:ascii="Cambria" w:hAnsi="Cambria"/>
                <w:b/>
              </w:rPr>
              <w:t xml:space="preserve">Međunarodni slučaj zemlje – </w:t>
            </w:r>
            <w:r>
              <w:rPr>
                <w:rFonts w:ascii="Cambria" w:hAnsi="Cambria"/>
                <w:b/>
                <w:u w:val="single"/>
              </w:rPr>
              <w:t>Međuvladini fiskalni odnosi u Austriji</w:t>
            </w:r>
            <w:r>
              <w:rPr>
                <w:rFonts w:ascii="Cambria" w:hAnsi="Cambria"/>
              </w:rPr>
              <w:t xml:space="preserve"> – Gerlinde Zimmer, druga zamjenica voditelja, Odjel za međuvladine fiskalne odnose, </w:t>
            </w:r>
            <w:r>
              <w:rPr>
                <w:rFonts w:ascii="Cambria" w:hAnsi="Cambria"/>
              </w:rPr>
              <w:lastRenderedPageBreak/>
              <w:t>Philipp Päcklar, savjetnik, Odjel za međuvladine fiskalne odnose, Ministarstvo financija Austrije</w:t>
            </w:r>
          </w:p>
        </w:tc>
      </w:tr>
      <w:tr w:rsidR="00055DD8" w:rsidRPr="00055DD8" w14:paraId="6B504CBF" w14:textId="77777777" w:rsidTr="00DE4BE5">
        <w:trPr>
          <w:trHeight w:val="562"/>
        </w:trPr>
        <w:tc>
          <w:tcPr>
            <w:tcW w:w="1507" w:type="dxa"/>
            <w:tcBorders>
              <w:bottom w:val="single" w:sz="4" w:space="0" w:color="auto"/>
            </w:tcBorders>
            <w:shd w:val="clear" w:color="auto" w:fill="auto"/>
          </w:tcPr>
          <w:p w14:paraId="2CBD47A7" w14:textId="77777777" w:rsidR="00055DD8" w:rsidRPr="00055DD8" w:rsidRDefault="00055DD8" w:rsidP="00DE4BE5">
            <w:pPr>
              <w:spacing w:after="200" w:line="276" w:lineRule="auto"/>
              <w:jc w:val="both"/>
              <w:rPr>
                <w:rFonts w:ascii="Cambria" w:hAnsi="Cambria"/>
              </w:rPr>
            </w:pPr>
            <w:r>
              <w:rPr>
                <w:rFonts w:ascii="Cambria" w:hAnsi="Cambria"/>
              </w:rPr>
              <w:lastRenderedPageBreak/>
              <w:t>16.45 – 17.45</w:t>
            </w:r>
          </w:p>
        </w:tc>
        <w:tc>
          <w:tcPr>
            <w:tcW w:w="8303" w:type="dxa"/>
            <w:tcBorders>
              <w:bottom w:val="single" w:sz="4" w:space="0" w:color="auto"/>
            </w:tcBorders>
            <w:shd w:val="clear" w:color="auto" w:fill="auto"/>
          </w:tcPr>
          <w:p w14:paraId="74729879" w14:textId="77777777" w:rsidR="00055DD8" w:rsidRPr="00055DD8" w:rsidRDefault="00055DD8" w:rsidP="00DE4BE5">
            <w:pPr>
              <w:rPr>
                <w:rFonts w:ascii="Cambria" w:hAnsi="Cambria"/>
              </w:rPr>
            </w:pPr>
            <w:r>
              <w:rPr>
                <w:rFonts w:ascii="Cambria" w:hAnsi="Cambria"/>
                <w:b/>
                <w:bCs/>
              </w:rPr>
              <w:t>Pitanja za govornike panela</w:t>
            </w:r>
            <w:r>
              <w:rPr>
                <w:rFonts w:ascii="Cambria" w:hAnsi="Cambria"/>
              </w:rPr>
              <w:t xml:space="preserve"> </w:t>
            </w:r>
          </w:p>
        </w:tc>
      </w:tr>
      <w:tr w:rsidR="00055DD8" w:rsidRPr="00055DD8" w14:paraId="22A0D1FB" w14:textId="77777777" w:rsidTr="00DE4BE5">
        <w:trPr>
          <w:trHeight w:val="332"/>
        </w:trPr>
        <w:tc>
          <w:tcPr>
            <w:tcW w:w="1507" w:type="dxa"/>
            <w:shd w:val="clear" w:color="auto" w:fill="D0CECE"/>
          </w:tcPr>
          <w:p w14:paraId="029D1FB8" w14:textId="77777777" w:rsidR="00055DD8" w:rsidRPr="00055DD8" w:rsidRDefault="00055DD8" w:rsidP="00DE4BE5">
            <w:pPr>
              <w:rPr>
                <w:rFonts w:ascii="Cambria" w:hAnsi="Cambria"/>
              </w:rPr>
            </w:pPr>
            <w:r>
              <w:rPr>
                <w:rFonts w:ascii="Cambria" w:hAnsi="Cambria"/>
              </w:rPr>
              <w:t>19.30</w:t>
            </w:r>
          </w:p>
        </w:tc>
        <w:tc>
          <w:tcPr>
            <w:tcW w:w="8303" w:type="dxa"/>
            <w:shd w:val="clear" w:color="auto" w:fill="D0CECE"/>
          </w:tcPr>
          <w:p w14:paraId="60D691B6" w14:textId="77777777" w:rsidR="00055DD8" w:rsidRPr="00055DD8" w:rsidRDefault="00055DD8" w:rsidP="00DE4BE5">
            <w:pPr>
              <w:jc w:val="both"/>
              <w:rPr>
                <w:rFonts w:ascii="Cambria" w:hAnsi="Cambria"/>
              </w:rPr>
            </w:pPr>
            <w:r>
              <w:rPr>
                <w:rFonts w:ascii="Cambria" w:hAnsi="Cambria"/>
              </w:rPr>
              <w:t xml:space="preserve">Večera dobrodošlice u hotelu </w:t>
            </w:r>
          </w:p>
        </w:tc>
      </w:tr>
    </w:tbl>
    <w:p w14:paraId="0EA45304" w14:textId="77777777" w:rsidR="00055DD8" w:rsidRPr="00055DD8" w:rsidRDefault="00055DD8" w:rsidP="00055DD8">
      <w:pPr>
        <w:rPr>
          <w:rFonts w:ascii="Cambria" w:hAnsi="Cambria"/>
          <w:b/>
          <w:u w:val="single"/>
        </w:rPr>
      </w:pPr>
    </w:p>
    <w:p w14:paraId="28C99E68" w14:textId="6662101E" w:rsidR="00055DD8" w:rsidRPr="00055DD8" w:rsidRDefault="00055DD8" w:rsidP="00055DD8">
      <w:pPr>
        <w:rPr>
          <w:rFonts w:ascii="Cambria" w:hAnsi="Cambria"/>
          <w:b/>
          <w:bCs/>
        </w:rPr>
      </w:pPr>
      <w:r>
        <w:rPr>
          <w:rFonts w:ascii="Cambria" w:hAnsi="Cambria"/>
          <w:b/>
          <w:bCs/>
          <w:u w:val="single"/>
        </w:rPr>
        <w:t>Drugi dan – četvrtak, 15. ožujka – Upotreba pokazatelja učinka u planiranju proračuna</w:t>
      </w:r>
      <w:r>
        <w:rPr>
          <w:rFonts w:ascii="Cambria" w:hAnsi="Cambria"/>
          <w:b/>
          <w:bCs/>
        </w:rPr>
        <w:t xml:space="preserve"> – domaćin Radna skupina BCOP-a za programsko planiranje i planiranje proračuna prema učinku</w:t>
      </w:r>
    </w:p>
    <w:p w14:paraId="6BE968D5" w14:textId="77777777" w:rsidR="00055DD8" w:rsidRPr="00055DD8" w:rsidRDefault="00055DD8" w:rsidP="00055DD8">
      <w:pPr>
        <w:jc w:val="both"/>
        <w:rPr>
          <w:rFonts w:ascii="Cambria" w:hAnsi="Cambria"/>
        </w:rPr>
      </w:pPr>
      <w:r>
        <w:rPr>
          <w:rFonts w:ascii="Cambria" w:hAnsi="Cambria"/>
        </w:rPr>
        <w:t>Moderatori:  Nicolay Begchin (Izvršni odbor BCOP-a, Ministarstvo financija, Ruska Federacija), Naida Čaršimamović Vukotić (Savjetnica za upravljanje javnim financijama, resursni tim BCOP-a, Svjetska banka).</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2BD241DA" w14:textId="77777777" w:rsidTr="00DE4BE5">
        <w:tc>
          <w:tcPr>
            <w:tcW w:w="1530" w:type="dxa"/>
            <w:shd w:val="clear" w:color="auto" w:fill="D0CECE"/>
          </w:tcPr>
          <w:p w14:paraId="46DD49D8" w14:textId="77777777" w:rsidR="00055DD8" w:rsidRPr="00055DD8" w:rsidRDefault="00055DD8" w:rsidP="00DE4BE5">
            <w:pPr>
              <w:spacing w:after="200" w:line="276" w:lineRule="auto"/>
              <w:jc w:val="center"/>
              <w:rPr>
                <w:rFonts w:ascii="Cambria" w:hAnsi="Cambria"/>
              </w:rPr>
            </w:pPr>
            <w:r>
              <w:rPr>
                <w:rFonts w:ascii="Cambria" w:hAnsi="Cambria"/>
              </w:rPr>
              <w:t>Vrijeme</w:t>
            </w:r>
          </w:p>
        </w:tc>
        <w:tc>
          <w:tcPr>
            <w:tcW w:w="8280" w:type="dxa"/>
            <w:shd w:val="clear" w:color="auto" w:fill="D0CECE"/>
          </w:tcPr>
          <w:p w14:paraId="3266C64D" w14:textId="77777777" w:rsidR="00055DD8" w:rsidRPr="00055DD8" w:rsidRDefault="00055DD8" w:rsidP="00DE4BE5">
            <w:pPr>
              <w:spacing w:after="200" w:line="276" w:lineRule="auto"/>
              <w:jc w:val="center"/>
              <w:rPr>
                <w:rFonts w:ascii="Cambria" w:hAnsi="Cambria"/>
              </w:rPr>
            </w:pPr>
            <w:r>
              <w:rPr>
                <w:rFonts w:ascii="Cambria" w:hAnsi="Cambria"/>
              </w:rPr>
              <w:t>Aktivnost</w:t>
            </w:r>
          </w:p>
        </w:tc>
      </w:tr>
      <w:tr w:rsidR="00055DD8" w:rsidRPr="00055DD8" w14:paraId="1170C7A6" w14:textId="77777777" w:rsidTr="00DE4BE5">
        <w:trPr>
          <w:trHeight w:val="467"/>
        </w:trPr>
        <w:tc>
          <w:tcPr>
            <w:tcW w:w="1530" w:type="dxa"/>
            <w:tcBorders>
              <w:bottom w:val="single" w:sz="4" w:space="0" w:color="auto"/>
            </w:tcBorders>
            <w:shd w:val="clear" w:color="auto" w:fill="auto"/>
          </w:tcPr>
          <w:p w14:paraId="3C3525C8" w14:textId="77777777" w:rsidR="00055DD8" w:rsidRPr="00055DD8" w:rsidRDefault="00055DD8" w:rsidP="00DE4BE5">
            <w:pPr>
              <w:jc w:val="both"/>
              <w:rPr>
                <w:rFonts w:ascii="Cambria" w:hAnsi="Cambria"/>
              </w:rPr>
            </w:pPr>
            <w:r>
              <w:rPr>
                <w:rFonts w:ascii="Cambria" w:hAnsi="Cambria"/>
              </w:rPr>
              <w:t>8.30 – 9.00</w:t>
            </w:r>
          </w:p>
          <w:p w14:paraId="5DF73E79" w14:textId="77777777" w:rsidR="00055DD8" w:rsidRPr="00055DD8" w:rsidRDefault="00055DD8" w:rsidP="00DE4BE5">
            <w:pPr>
              <w:jc w:val="both"/>
              <w:rPr>
                <w:rFonts w:ascii="Cambria" w:hAnsi="Cambria"/>
              </w:rPr>
            </w:pPr>
          </w:p>
        </w:tc>
        <w:tc>
          <w:tcPr>
            <w:tcW w:w="8280" w:type="dxa"/>
            <w:tcBorders>
              <w:bottom w:val="single" w:sz="4" w:space="0" w:color="auto"/>
            </w:tcBorders>
            <w:shd w:val="clear" w:color="auto" w:fill="auto"/>
          </w:tcPr>
          <w:p w14:paraId="71249979" w14:textId="77777777" w:rsidR="00055DD8" w:rsidRPr="00055DD8" w:rsidRDefault="00055DD8" w:rsidP="00DE4BE5">
            <w:pPr>
              <w:jc w:val="both"/>
              <w:rPr>
                <w:rFonts w:ascii="Cambria" w:hAnsi="Cambria"/>
                <w:b/>
                <w:bCs/>
              </w:rPr>
            </w:pPr>
            <w:r>
              <w:rPr>
                <w:rFonts w:ascii="Cambria" w:hAnsi="Cambria"/>
                <w:b/>
                <w:bCs/>
              </w:rPr>
              <w:t xml:space="preserve">Uvod u dnevni red dana </w:t>
            </w:r>
          </w:p>
          <w:p w14:paraId="242097EB" w14:textId="77777777" w:rsidR="00055DD8" w:rsidRPr="00055DD8" w:rsidRDefault="00055DD8" w:rsidP="00DE4BE5">
            <w:pPr>
              <w:jc w:val="both"/>
              <w:rPr>
                <w:rFonts w:ascii="Cambria" w:hAnsi="Cambria"/>
                <w:sz w:val="28"/>
                <w:szCs w:val="28"/>
              </w:rPr>
            </w:pPr>
            <w:r>
              <w:rPr>
                <w:rFonts w:ascii="Cambria" w:hAnsi="Cambria"/>
                <w:b/>
                <w:bCs/>
              </w:rPr>
              <w:t xml:space="preserve">6. izlaganje: </w:t>
            </w:r>
            <w:r>
              <w:rPr>
                <w:rFonts w:ascii="Cambria" w:hAnsi="Cambria"/>
                <w:b/>
              </w:rPr>
              <w:t xml:space="preserve">PPBWG </w:t>
            </w:r>
            <w:r>
              <w:rPr>
                <w:rFonts w:ascii="Cambria" w:hAnsi="Cambria"/>
              </w:rPr>
              <w:t xml:space="preserve">– </w:t>
            </w:r>
            <w:r>
              <w:rPr>
                <w:rFonts w:ascii="Cambria" w:hAnsi="Cambria"/>
                <w:b/>
                <w:u w:val="single"/>
              </w:rPr>
              <w:t>Najnovije informacije o napretku Radne skupine za programsko planiranje i planiranje proračuna prema učinku te budući planovi,</w:t>
            </w:r>
            <w:r>
              <w:rPr>
                <w:rFonts w:ascii="Cambria" w:hAnsi="Cambria"/>
              </w:rPr>
              <w:t xml:space="preserve"> Nicolay Begchin, Izvršni odbor BCOP-a, zamjenik direktora, Odjel za proračunsku metodologiju i financijsko izvještavanje. Ministarstvo financija, Ruska Federacija</w:t>
            </w:r>
          </w:p>
        </w:tc>
      </w:tr>
      <w:tr w:rsidR="00055DD8" w:rsidRPr="00055DD8" w14:paraId="54F525B4" w14:textId="77777777" w:rsidTr="00DE4BE5">
        <w:trPr>
          <w:trHeight w:val="476"/>
        </w:trPr>
        <w:tc>
          <w:tcPr>
            <w:tcW w:w="1530" w:type="dxa"/>
            <w:tcBorders>
              <w:bottom w:val="single" w:sz="4" w:space="0" w:color="auto"/>
            </w:tcBorders>
            <w:shd w:val="clear" w:color="auto" w:fill="auto"/>
          </w:tcPr>
          <w:p w14:paraId="2EA7E467" w14:textId="77777777" w:rsidR="00055DD8" w:rsidRPr="00055DD8" w:rsidRDefault="00055DD8" w:rsidP="00DE4BE5">
            <w:pPr>
              <w:spacing w:after="200" w:line="276" w:lineRule="auto"/>
              <w:jc w:val="both"/>
              <w:rPr>
                <w:rFonts w:ascii="Cambria" w:hAnsi="Cambria"/>
              </w:rPr>
            </w:pPr>
            <w:r>
              <w:rPr>
                <w:rFonts w:ascii="Cambria" w:hAnsi="Cambria"/>
              </w:rPr>
              <w:t>9.00 – 9.30</w:t>
            </w:r>
          </w:p>
        </w:tc>
        <w:tc>
          <w:tcPr>
            <w:tcW w:w="8280" w:type="dxa"/>
            <w:tcBorders>
              <w:bottom w:val="single" w:sz="4" w:space="0" w:color="auto"/>
            </w:tcBorders>
            <w:shd w:val="clear" w:color="auto" w:fill="auto"/>
          </w:tcPr>
          <w:p w14:paraId="79F206A0" w14:textId="77777777" w:rsidR="00055DD8" w:rsidRPr="00055DD8" w:rsidRDefault="00055DD8" w:rsidP="00DE4BE5">
            <w:pPr>
              <w:pStyle w:val="ListParagraph"/>
              <w:spacing w:after="0" w:line="240" w:lineRule="auto"/>
              <w:ind w:left="0"/>
              <w:jc w:val="both"/>
              <w:rPr>
                <w:rFonts w:ascii="Cambria" w:eastAsia="Times New Roman" w:hAnsi="Cambria"/>
                <w:b/>
                <w:bCs/>
              </w:rPr>
            </w:pPr>
            <w:r>
              <w:rPr>
                <w:rFonts w:ascii="Cambria" w:hAnsi="Cambria"/>
                <w:b/>
                <w:bCs/>
              </w:rPr>
              <w:t>7. izlaganje: PPBWG – Predstavljanje nacrta proizvoda znanja Radne skupine za programsko planiranje i planiranje proračuna prema učinku o pokazateljima učinka u zemljama PEMPAL-a:</w:t>
            </w:r>
            <w:r>
              <w:rPr>
                <w:rFonts w:ascii="Cambria" w:hAnsi="Cambria"/>
                <w:b/>
                <w:bCs/>
                <w:u w:val="single"/>
              </w:rPr>
              <w:t xml:space="preserve"> </w:t>
            </w:r>
            <w:r>
              <w:rPr>
                <w:rFonts w:ascii="Cambria" w:hAnsi="Cambria"/>
                <w:b/>
                <w:u w:val="single"/>
              </w:rPr>
              <w:t>trendovi i izazovi</w:t>
            </w:r>
            <w:r>
              <w:rPr>
                <w:rFonts w:ascii="Cambria" w:hAnsi="Cambria"/>
              </w:rPr>
              <w:t xml:space="preserve"> – Naida Čaršimamović Vukotić, savjetnica za upravljanje javnim financijama, resursni tim BCOP-a, Svjetska banka</w:t>
            </w:r>
          </w:p>
        </w:tc>
      </w:tr>
      <w:tr w:rsidR="00055DD8" w:rsidRPr="00055DD8" w14:paraId="4045AE25" w14:textId="77777777" w:rsidTr="00DE4BE5">
        <w:trPr>
          <w:trHeight w:val="476"/>
        </w:trPr>
        <w:tc>
          <w:tcPr>
            <w:tcW w:w="1530" w:type="dxa"/>
            <w:tcBorders>
              <w:bottom w:val="single" w:sz="4" w:space="0" w:color="auto"/>
            </w:tcBorders>
            <w:shd w:val="clear" w:color="auto" w:fill="auto"/>
          </w:tcPr>
          <w:p w14:paraId="5BB454B6" w14:textId="77777777" w:rsidR="00055DD8" w:rsidRPr="00055DD8" w:rsidRDefault="00055DD8" w:rsidP="00DE4BE5">
            <w:pPr>
              <w:spacing w:after="200" w:line="276" w:lineRule="auto"/>
              <w:jc w:val="both"/>
              <w:rPr>
                <w:rFonts w:ascii="Cambria" w:hAnsi="Cambria"/>
              </w:rPr>
            </w:pPr>
            <w:r>
              <w:rPr>
                <w:rFonts w:ascii="Cambria" w:hAnsi="Cambria"/>
              </w:rPr>
              <w:t>9.30 – 10.00</w:t>
            </w:r>
          </w:p>
        </w:tc>
        <w:tc>
          <w:tcPr>
            <w:tcW w:w="8280" w:type="dxa"/>
            <w:tcBorders>
              <w:bottom w:val="single" w:sz="4" w:space="0" w:color="auto"/>
            </w:tcBorders>
            <w:shd w:val="clear" w:color="auto" w:fill="auto"/>
          </w:tcPr>
          <w:p w14:paraId="3022C0A8" w14:textId="77777777" w:rsidR="00055DD8" w:rsidRPr="00055DD8" w:rsidRDefault="00055DD8" w:rsidP="00DE4BE5">
            <w:pPr>
              <w:pStyle w:val="ListParagraph"/>
              <w:spacing w:after="0" w:line="240" w:lineRule="auto"/>
              <w:ind w:left="0"/>
              <w:jc w:val="both"/>
              <w:rPr>
                <w:rFonts w:ascii="Cambria" w:eastAsia="Times New Roman" w:hAnsi="Cambria"/>
                <w:b/>
                <w:bCs/>
              </w:rPr>
            </w:pPr>
            <w:r>
              <w:rPr>
                <w:rFonts w:ascii="Cambria" w:hAnsi="Cambria"/>
                <w:b/>
                <w:bCs/>
              </w:rPr>
              <w:t xml:space="preserve">8. izlaganje: OECD – </w:t>
            </w:r>
            <w:r>
              <w:rPr>
                <w:rFonts w:ascii="Cambria" w:hAnsi="Cambria"/>
                <w:b/>
                <w:bCs/>
                <w:u w:val="single"/>
              </w:rPr>
              <w:t xml:space="preserve">OECD-ove najbolje prakse za planiranje proračuna prema učinku, </w:t>
            </w:r>
            <w:r>
              <w:rPr>
                <w:rFonts w:ascii="Cambria" w:hAnsi="Cambria"/>
                <w:u w:val="single"/>
              </w:rPr>
              <w:t xml:space="preserve">Ivor Beazley, </w:t>
            </w:r>
            <w:r>
              <w:rPr>
                <w:rFonts w:ascii="Cambria" w:hAnsi="Cambria"/>
              </w:rPr>
              <w:t>viši politički analitičar, Uprava za javno upravljanje i područni razvoj, Odjel za planiranje proračuna i javne rashode, OECD</w:t>
            </w:r>
          </w:p>
        </w:tc>
      </w:tr>
      <w:tr w:rsidR="00055DD8" w:rsidRPr="00055DD8" w14:paraId="3855F30B" w14:textId="77777777" w:rsidTr="00DE4BE5">
        <w:trPr>
          <w:trHeight w:val="476"/>
        </w:trPr>
        <w:tc>
          <w:tcPr>
            <w:tcW w:w="1530" w:type="dxa"/>
            <w:tcBorders>
              <w:bottom w:val="single" w:sz="4" w:space="0" w:color="auto"/>
            </w:tcBorders>
            <w:shd w:val="clear" w:color="auto" w:fill="auto"/>
          </w:tcPr>
          <w:p w14:paraId="4C36955C" w14:textId="77777777" w:rsidR="00055DD8" w:rsidRPr="00055DD8" w:rsidRDefault="00055DD8" w:rsidP="00DE4BE5">
            <w:pPr>
              <w:spacing w:after="200" w:line="276" w:lineRule="auto"/>
              <w:jc w:val="both"/>
              <w:rPr>
                <w:rFonts w:ascii="Cambria" w:hAnsi="Cambria"/>
              </w:rPr>
            </w:pPr>
            <w:r>
              <w:rPr>
                <w:rFonts w:ascii="Cambria" w:hAnsi="Cambria"/>
              </w:rPr>
              <w:t>10.00 – 10.30</w:t>
            </w:r>
          </w:p>
        </w:tc>
        <w:tc>
          <w:tcPr>
            <w:tcW w:w="8280" w:type="dxa"/>
            <w:tcBorders>
              <w:bottom w:val="single" w:sz="4" w:space="0" w:color="auto"/>
            </w:tcBorders>
            <w:shd w:val="clear" w:color="auto" w:fill="auto"/>
          </w:tcPr>
          <w:p w14:paraId="650CD50B" w14:textId="77777777" w:rsidR="00055DD8" w:rsidRPr="00055DD8" w:rsidRDefault="00055DD8" w:rsidP="00DE4BE5">
            <w:pPr>
              <w:pStyle w:val="ListParagraph"/>
              <w:spacing w:after="0" w:line="240" w:lineRule="auto"/>
              <w:ind w:left="0"/>
              <w:jc w:val="both"/>
              <w:rPr>
                <w:rFonts w:ascii="Cambria" w:eastAsia="Times New Roman" w:hAnsi="Cambria"/>
                <w:b/>
                <w:bCs/>
              </w:rPr>
            </w:pPr>
            <w:r>
              <w:rPr>
                <w:rFonts w:ascii="Cambria" w:hAnsi="Cambria"/>
                <w:b/>
                <w:bCs/>
              </w:rPr>
              <w:t>Pitanja za govornike panela</w:t>
            </w:r>
          </w:p>
        </w:tc>
      </w:tr>
      <w:tr w:rsidR="00055DD8" w:rsidRPr="00055DD8" w14:paraId="0153F10E" w14:textId="77777777" w:rsidTr="00DE4BE5">
        <w:trPr>
          <w:trHeight w:val="503"/>
        </w:trPr>
        <w:tc>
          <w:tcPr>
            <w:tcW w:w="1530" w:type="dxa"/>
            <w:tcBorders>
              <w:bottom w:val="single" w:sz="4" w:space="0" w:color="auto"/>
            </w:tcBorders>
            <w:shd w:val="clear" w:color="auto" w:fill="auto"/>
          </w:tcPr>
          <w:p w14:paraId="5459C3FD"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rPr>
              <w:t>10.30 – 11.00</w:t>
            </w:r>
          </w:p>
        </w:tc>
        <w:tc>
          <w:tcPr>
            <w:tcW w:w="8280" w:type="dxa"/>
            <w:tcBorders>
              <w:bottom w:val="single" w:sz="4" w:space="0" w:color="auto"/>
            </w:tcBorders>
            <w:shd w:val="clear" w:color="auto" w:fill="auto"/>
          </w:tcPr>
          <w:p w14:paraId="12C09655"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rPr>
              <w:t xml:space="preserve"> Stanka za kavu</w:t>
            </w:r>
          </w:p>
        </w:tc>
      </w:tr>
      <w:tr w:rsidR="00055DD8" w:rsidRPr="00055DD8" w14:paraId="66322C15" w14:textId="77777777" w:rsidTr="00DE4BE5">
        <w:trPr>
          <w:trHeight w:val="512"/>
        </w:trPr>
        <w:tc>
          <w:tcPr>
            <w:tcW w:w="1530" w:type="dxa"/>
            <w:tcBorders>
              <w:bottom w:val="single" w:sz="4" w:space="0" w:color="auto"/>
            </w:tcBorders>
            <w:shd w:val="clear" w:color="auto" w:fill="auto"/>
          </w:tcPr>
          <w:p w14:paraId="0C536614"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rPr>
              <w:t>11.00 – 12.30</w:t>
            </w:r>
          </w:p>
        </w:tc>
        <w:tc>
          <w:tcPr>
            <w:tcW w:w="8280" w:type="dxa"/>
            <w:tcBorders>
              <w:bottom w:val="single" w:sz="4" w:space="0" w:color="auto"/>
            </w:tcBorders>
            <w:shd w:val="clear" w:color="auto" w:fill="auto"/>
          </w:tcPr>
          <w:p w14:paraId="767FC563" w14:textId="77777777" w:rsidR="00055DD8" w:rsidRPr="00055DD8" w:rsidRDefault="00055DD8" w:rsidP="00DE4BE5">
            <w:pPr>
              <w:pStyle w:val="ListParagraph"/>
              <w:spacing w:after="0" w:line="240" w:lineRule="auto"/>
              <w:ind w:left="0"/>
              <w:jc w:val="both"/>
              <w:rPr>
                <w:rFonts w:ascii="Cambria" w:hAnsi="Cambria"/>
                <w:b/>
                <w:bCs/>
                <w:u w:val="single"/>
              </w:rPr>
            </w:pPr>
            <w:r>
              <w:rPr>
                <w:rFonts w:ascii="Cambria" w:hAnsi="Cambria"/>
                <w:b/>
                <w:bCs/>
              </w:rPr>
              <w:t xml:space="preserve">9. i 10. izlaganje: Analize PEMPAL-ovih slučajeva zemalja: </w:t>
            </w:r>
          </w:p>
          <w:p w14:paraId="1EC44E2E" w14:textId="77777777" w:rsidR="00055DD8" w:rsidRPr="00055DD8" w:rsidRDefault="00055DD8" w:rsidP="00DE4BE5">
            <w:pPr>
              <w:pStyle w:val="ListParagraph"/>
              <w:spacing w:after="0" w:line="240" w:lineRule="auto"/>
              <w:ind w:left="0"/>
              <w:jc w:val="both"/>
              <w:rPr>
                <w:rFonts w:ascii="Cambria" w:hAnsi="Cambria"/>
                <w:b/>
              </w:rPr>
            </w:pPr>
          </w:p>
          <w:p w14:paraId="6BF80975"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b/>
                <w:bCs/>
                <w:u w:val="single"/>
              </w:rPr>
              <w:t xml:space="preserve">Pokazatelji učinka u Rusiji </w:t>
            </w:r>
            <w:r>
              <w:rPr>
                <w:rFonts w:ascii="Cambria" w:hAnsi="Cambria"/>
                <w:b/>
                <w:bCs/>
              </w:rPr>
              <w:t xml:space="preserve">– </w:t>
            </w:r>
            <w:r>
              <w:rPr>
                <w:rFonts w:ascii="Cambria" w:hAnsi="Cambria"/>
              </w:rPr>
              <w:t>Nicolay Begchin, zamjenik direktora, Odjel za proračunsku metodologiju i financijsko izvještavanje. Ministarstvo financija, Ruska Federacija</w:t>
            </w:r>
          </w:p>
          <w:p w14:paraId="258FCA09" w14:textId="77777777" w:rsidR="00055DD8" w:rsidRPr="00055DD8" w:rsidRDefault="00055DD8" w:rsidP="00DE4BE5">
            <w:pPr>
              <w:pStyle w:val="ListParagraph"/>
              <w:spacing w:after="0" w:line="240" w:lineRule="auto"/>
              <w:ind w:left="0"/>
              <w:jc w:val="both"/>
              <w:rPr>
                <w:rFonts w:ascii="Cambria" w:hAnsi="Cambria"/>
              </w:rPr>
            </w:pPr>
          </w:p>
          <w:p w14:paraId="184690EA"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b/>
                <w:bCs/>
                <w:u w:val="single"/>
              </w:rPr>
              <w:t xml:space="preserve">Pokazatelji učinka u Srbiji </w:t>
            </w:r>
            <w:r>
              <w:rPr>
                <w:rFonts w:ascii="Cambria" w:hAnsi="Cambria"/>
                <w:b/>
                <w:bCs/>
              </w:rPr>
              <w:t xml:space="preserve">– </w:t>
            </w:r>
            <w:r>
              <w:rPr>
                <w:rFonts w:ascii="Cambria" w:hAnsi="Cambria"/>
              </w:rPr>
              <w:t>Mirjana Ćojbašić, državna tajnica, Odjel za proračun, Ministarstvo financija Srbije</w:t>
            </w:r>
          </w:p>
        </w:tc>
      </w:tr>
      <w:tr w:rsidR="00055DD8" w:rsidRPr="00055DD8" w14:paraId="364331E5" w14:textId="77777777" w:rsidTr="00DE4BE5">
        <w:trPr>
          <w:trHeight w:val="341"/>
        </w:trPr>
        <w:tc>
          <w:tcPr>
            <w:tcW w:w="1530" w:type="dxa"/>
            <w:shd w:val="clear" w:color="auto" w:fill="auto"/>
          </w:tcPr>
          <w:p w14:paraId="2DD221FC" w14:textId="77777777" w:rsidR="00055DD8" w:rsidRPr="00055DD8" w:rsidRDefault="00055DD8" w:rsidP="00DE4BE5">
            <w:pPr>
              <w:jc w:val="both"/>
              <w:rPr>
                <w:rFonts w:ascii="Cambria" w:hAnsi="Cambria"/>
              </w:rPr>
            </w:pPr>
            <w:r>
              <w:rPr>
                <w:rFonts w:ascii="Cambria" w:hAnsi="Cambria"/>
              </w:rPr>
              <w:t>12.30 – 13.00</w:t>
            </w:r>
          </w:p>
        </w:tc>
        <w:tc>
          <w:tcPr>
            <w:tcW w:w="8280" w:type="dxa"/>
            <w:shd w:val="clear" w:color="auto" w:fill="auto"/>
          </w:tcPr>
          <w:p w14:paraId="716E79CA" w14:textId="77777777" w:rsidR="00055DD8" w:rsidRPr="00055DD8" w:rsidRDefault="00055DD8" w:rsidP="00DE4BE5">
            <w:pPr>
              <w:jc w:val="both"/>
              <w:rPr>
                <w:rFonts w:ascii="Cambria" w:hAnsi="Cambria"/>
              </w:rPr>
            </w:pPr>
            <w:r>
              <w:rPr>
                <w:rFonts w:ascii="Cambria" w:hAnsi="Cambria"/>
                <w:b/>
                <w:bCs/>
              </w:rPr>
              <w:t>Pitanja za govornike panela</w:t>
            </w:r>
          </w:p>
        </w:tc>
      </w:tr>
      <w:tr w:rsidR="00055DD8" w:rsidRPr="00055DD8" w14:paraId="2C96A2E7" w14:textId="77777777" w:rsidTr="00DE4BE5">
        <w:tc>
          <w:tcPr>
            <w:tcW w:w="1530" w:type="dxa"/>
            <w:tcBorders>
              <w:bottom w:val="single" w:sz="4" w:space="0" w:color="auto"/>
            </w:tcBorders>
            <w:shd w:val="clear" w:color="auto" w:fill="D0CECE"/>
          </w:tcPr>
          <w:p w14:paraId="4ADDED3E" w14:textId="77777777" w:rsidR="00055DD8" w:rsidRPr="00055DD8" w:rsidRDefault="00055DD8" w:rsidP="00DE4BE5">
            <w:pPr>
              <w:spacing w:after="200" w:line="276" w:lineRule="auto"/>
              <w:jc w:val="both"/>
              <w:rPr>
                <w:rFonts w:ascii="Cambria" w:hAnsi="Cambria"/>
              </w:rPr>
            </w:pPr>
            <w:r>
              <w:rPr>
                <w:rFonts w:ascii="Cambria" w:hAnsi="Cambria"/>
              </w:rPr>
              <w:t>13.00 – 14.30</w:t>
            </w:r>
          </w:p>
        </w:tc>
        <w:tc>
          <w:tcPr>
            <w:tcW w:w="8280" w:type="dxa"/>
            <w:tcBorders>
              <w:bottom w:val="single" w:sz="4" w:space="0" w:color="auto"/>
            </w:tcBorders>
            <w:shd w:val="clear" w:color="auto" w:fill="D0CECE"/>
          </w:tcPr>
          <w:p w14:paraId="3EE32F34" w14:textId="77777777" w:rsidR="00055DD8" w:rsidRPr="00055DD8" w:rsidRDefault="00055DD8" w:rsidP="00DE4BE5">
            <w:pPr>
              <w:spacing w:after="200" w:line="276" w:lineRule="auto"/>
              <w:jc w:val="both"/>
              <w:rPr>
                <w:rFonts w:ascii="Cambria" w:hAnsi="Cambria"/>
              </w:rPr>
            </w:pPr>
            <w:r>
              <w:rPr>
                <w:rFonts w:ascii="Cambria" w:hAnsi="Cambria"/>
              </w:rPr>
              <w:t>Ručak u hotelu</w:t>
            </w:r>
          </w:p>
        </w:tc>
      </w:tr>
      <w:tr w:rsidR="00055DD8" w:rsidRPr="00055DD8" w14:paraId="10DEB923" w14:textId="77777777" w:rsidTr="00DE4BE5">
        <w:trPr>
          <w:trHeight w:val="2058"/>
        </w:trPr>
        <w:tc>
          <w:tcPr>
            <w:tcW w:w="1530" w:type="dxa"/>
            <w:shd w:val="clear" w:color="auto" w:fill="auto"/>
          </w:tcPr>
          <w:p w14:paraId="29F4368F" w14:textId="77777777" w:rsidR="00055DD8" w:rsidRPr="00055DD8" w:rsidRDefault="00055DD8" w:rsidP="00DE4BE5">
            <w:pPr>
              <w:jc w:val="both"/>
              <w:rPr>
                <w:rFonts w:ascii="Cambria" w:hAnsi="Cambria"/>
              </w:rPr>
            </w:pPr>
            <w:r>
              <w:rPr>
                <w:rFonts w:ascii="Cambria" w:hAnsi="Cambria"/>
              </w:rPr>
              <w:lastRenderedPageBreak/>
              <w:t>14.30 – 16.30</w:t>
            </w:r>
          </w:p>
        </w:tc>
        <w:tc>
          <w:tcPr>
            <w:tcW w:w="8280" w:type="dxa"/>
            <w:shd w:val="clear" w:color="auto" w:fill="auto"/>
          </w:tcPr>
          <w:p w14:paraId="18DDE019" w14:textId="77777777" w:rsidR="00055DD8" w:rsidRPr="00055DD8" w:rsidRDefault="00055DD8" w:rsidP="00DE4BE5">
            <w:pPr>
              <w:jc w:val="both"/>
              <w:rPr>
                <w:rFonts w:ascii="Cambria" w:hAnsi="Cambria"/>
              </w:rPr>
            </w:pPr>
            <w:r>
              <w:rPr>
                <w:rFonts w:ascii="Cambria" w:hAnsi="Cambria"/>
                <w:b/>
                <w:bCs/>
              </w:rPr>
              <w:t xml:space="preserve">Rasprava o pitanjima i izazovima u reformi </w:t>
            </w:r>
            <w:r>
              <w:rPr>
                <w:rFonts w:ascii="Cambria" w:hAnsi="Cambria"/>
              </w:rPr>
              <w:t xml:space="preserve">(paralelne rasprave na temu koju predlože sudionici podijeljeni u skupine prema zajedničkom jeziku ako je moguće) </w:t>
            </w:r>
          </w:p>
          <w:p w14:paraId="12EAD1E3" w14:textId="77777777" w:rsidR="00055DD8" w:rsidRPr="00055DD8" w:rsidRDefault="00055DD8" w:rsidP="00055DD8">
            <w:pPr>
              <w:pStyle w:val="ListParagraph"/>
              <w:numPr>
                <w:ilvl w:val="0"/>
                <w:numId w:val="3"/>
              </w:numPr>
              <w:spacing w:after="0" w:line="240" w:lineRule="auto"/>
              <w:jc w:val="both"/>
              <w:rPr>
                <w:rFonts w:ascii="Cambria" w:hAnsi="Cambria"/>
              </w:rPr>
            </w:pPr>
            <w:r>
              <w:rPr>
                <w:rFonts w:ascii="Cambria" w:hAnsi="Cambria"/>
                <w:b/>
              </w:rPr>
              <w:t>Rasprava o dva pitanja:</w:t>
            </w:r>
            <w:r>
              <w:rPr>
                <w:rFonts w:ascii="Cambria" w:hAnsi="Cambria"/>
              </w:rPr>
              <w:t xml:space="preserve"> Sudionici će se podijeliti u skupine na temelju zajedničkog jezika kako bi raspravili o dvama pitanjima (koja će biti podijeljena e-poštom nekoliko dana prije sjednice i temeljena na povratnim informacijama iz ankete prije sastanka).  Na početku rasprava trebaju se odrediti zapisničar i izlagač.  </w:t>
            </w:r>
          </w:p>
          <w:p w14:paraId="5582AAC9" w14:textId="77777777" w:rsidR="00055DD8" w:rsidRPr="00055DD8" w:rsidRDefault="00055DD8" w:rsidP="00DE4BE5">
            <w:pPr>
              <w:jc w:val="both"/>
              <w:rPr>
                <w:rFonts w:ascii="Cambria" w:hAnsi="Cambria"/>
                <w:b/>
                <w:bCs/>
              </w:rPr>
            </w:pPr>
            <w:r>
              <w:rPr>
                <w:rFonts w:ascii="Cambria" w:hAnsi="Cambria"/>
                <w:b/>
                <w:bCs/>
              </w:rPr>
              <w:t>Stanka za kavu u 15.30 (kava će se posluživati u prostoriji za raspravu ili pokrajnjim prostorijama)</w:t>
            </w:r>
          </w:p>
        </w:tc>
      </w:tr>
      <w:tr w:rsidR="00055DD8" w:rsidRPr="00055DD8" w14:paraId="33FB8D3C" w14:textId="77777777" w:rsidTr="00DE4BE5">
        <w:trPr>
          <w:trHeight w:val="353"/>
        </w:trPr>
        <w:tc>
          <w:tcPr>
            <w:tcW w:w="1530" w:type="dxa"/>
            <w:shd w:val="clear" w:color="auto" w:fill="BFBFBF" w:themeFill="background1" w:themeFillShade="BF"/>
          </w:tcPr>
          <w:p w14:paraId="4B713E91" w14:textId="77777777" w:rsidR="00055DD8" w:rsidRPr="00055DD8" w:rsidRDefault="00055DD8" w:rsidP="00DE4BE5">
            <w:pPr>
              <w:rPr>
                <w:rFonts w:ascii="Cambria" w:hAnsi="Cambria"/>
              </w:rPr>
            </w:pPr>
            <w:r>
              <w:rPr>
                <w:rFonts w:ascii="Cambria" w:hAnsi="Cambria"/>
              </w:rPr>
              <w:t>16.30 – 17.00</w:t>
            </w:r>
          </w:p>
        </w:tc>
        <w:tc>
          <w:tcPr>
            <w:tcW w:w="8280" w:type="dxa"/>
            <w:shd w:val="clear" w:color="auto" w:fill="BFBFBF" w:themeFill="background1" w:themeFillShade="BF"/>
          </w:tcPr>
          <w:p w14:paraId="527A2C1F" w14:textId="77777777" w:rsidR="00055DD8" w:rsidRPr="00055DD8" w:rsidRDefault="00055DD8" w:rsidP="00DE4BE5">
            <w:pPr>
              <w:jc w:val="both"/>
              <w:rPr>
                <w:rFonts w:ascii="Cambria" w:hAnsi="Cambria"/>
              </w:rPr>
            </w:pPr>
            <w:r>
              <w:rPr>
                <w:rFonts w:ascii="Cambria" w:hAnsi="Cambria"/>
                <w:b/>
                <w:bCs/>
              </w:rPr>
              <w:t>Izlaganja članova PEMPAL-a po grupama</w:t>
            </w:r>
            <w:r>
              <w:rPr>
                <w:rFonts w:ascii="Cambria" w:hAnsi="Cambria"/>
              </w:rPr>
              <w:t xml:space="preserve"> iz prve, druge i treće grupe (5-8 minuta svatko)</w:t>
            </w:r>
          </w:p>
        </w:tc>
      </w:tr>
      <w:tr w:rsidR="00055DD8" w:rsidRPr="00055DD8" w14:paraId="1ED4C42E" w14:textId="77777777" w:rsidTr="00DE4BE5">
        <w:trPr>
          <w:trHeight w:val="353"/>
        </w:trPr>
        <w:tc>
          <w:tcPr>
            <w:tcW w:w="1530" w:type="dxa"/>
            <w:shd w:val="clear" w:color="auto" w:fill="BFBFBF" w:themeFill="background1" w:themeFillShade="BF"/>
          </w:tcPr>
          <w:p w14:paraId="546606D2" w14:textId="77777777" w:rsidR="00055DD8" w:rsidRPr="00055DD8" w:rsidRDefault="00055DD8" w:rsidP="00DE4BE5">
            <w:pPr>
              <w:rPr>
                <w:rFonts w:ascii="Cambria" w:hAnsi="Cambria"/>
              </w:rPr>
            </w:pPr>
            <w:r>
              <w:rPr>
                <w:rFonts w:ascii="Cambria" w:hAnsi="Cambria"/>
              </w:rPr>
              <w:t>19.00</w:t>
            </w:r>
          </w:p>
        </w:tc>
        <w:tc>
          <w:tcPr>
            <w:tcW w:w="8280" w:type="dxa"/>
            <w:shd w:val="clear" w:color="auto" w:fill="BFBFBF" w:themeFill="background1" w:themeFillShade="BF"/>
          </w:tcPr>
          <w:p w14:paraId="69207FD4" w14:textId="77777777" w:rsidR="00055DD8" w:rsidRPr="00055DD8" w:rsidRDefault="00055DD8" w:rsidP="00DE4BE5">
            <w:pPr>
              <w:jc w:val="both"/>
              <w:rPr>
                <w:rFonts w:ascii="Cambria" w:hAnsi="Cambria"/>
                <w:b/>
                <w:bCs/>
              </w:rPr>
            </w:pPr>
            <w:r>
              <w:rPr>
                <w:rFonts w:ascii="Cambria" w:hAnsi="Cambria"/>
              </w:rPr>
              <w:t xml:space="preserve">Večera u hotelu </w:t>
            </w:r>
          </w:p>
        </w:tc>
      </w:tr>
    </w:tbl>
    <w:p w14:paraId="6376DC38" w14:textId="77777777" w:rsidR="00055DD8" w:rsidRPr="00055DD8" w:rsidRDefault="00055DD8" w:rsidP="00055DD8">
      <w:pPr>
        <w:jc w:val="both"/>
        <w:rPr>
          <w:rFonts w:ascii="Cambria" w:hAnsi="Cambria"/>
          <w:b/>
          <w:u w:val="single"/>
        </w:rPr>
      </w:pPr>
    </w:p>
    <w:p w14:paraId="209C99FD" w14:textId="77777777" w:rsidR="00055DD8" w:rsidRPr="00055DD8" w:rsidRDefault="00055DD8" w:rsidP="00055DD8">
      <w:pPr>
        <w:jc w:val="both"/>
        <w:rPr>
          <w:rFonts w:ascii="Cambria" w:hAnsi="Cambria"/>
          <w:b/>
          <w:bCs/>
        </w:rPr>
      </w:pPr>
      <w:r>
        <w:rPr>
          <w:rFonts w:ascii="Cambria" w:hAnsi="Cambria"/>
          <w:b/>
          <w:bCs/>
          <w:u w:val="single"/>
        </w:rPr>
        <w:t>Treći dan - petak, 16. ožujka – Sudjelovanje javnosti</w:t>
      </w:r>
      <w:r>
        <w:rPr>
          <w:rFonts w:ascii="Cambria" w:hAnsi="Cambria"/>
          <w:b/>
          <w:bCs/>
        </w:rPr>
        <w:t xml:space="preserve"> – domaćin Radna skupina BCOP-a za proračunsku pismenost i transparentnost</w:t>
      </w:r>
    </w:p>
    <w:p w14:paraId="32CC4AE3" w14:textId="77777777" w:rsidR="00055DD8" w:rsidRPr="00055DD8" w:rsidRDefault="00055DD8" w:rsidP="00055DD8">
      <w:pPr>
        <w:jc w:val="both"/>
        <w:rPr>
          <w:rFonts w:ascii="Cambria" w:hAnsi="Cambria"/>
        </w:rPr>
      </w:pPr>
      <w:r>
        <w:rPr>
          <w:rFonts w:ascii="Cambria" w:hAnsi="Cambria"/>
        </w:rPr>
        <w:t>Moderatori: Anna Belenchuk (predsjednica BCOP-a, Ministarstvo financija, Ruska Federacija), Maya Gusarova (glavna koordinatorica resursnog tima BCOP-a, viša stručnjakinja za javni sektor, Svjetska banka)</w:t>
      </w: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055DD8" w:rsidRPr="00055DD8" w14:paraId="7EA2602E" w14:textId="77777777" w:rsidTr="00DE4BE5">
        <w:tc>
          <w:tcPr>
            <w:tcW w:w="1530" w:type="dxa"/>
            <w:shd w:val="clear" w:color="auto" w:fill="D0CECE"/>
          </w:tcPr>
          <w:p w14:paraId="5C2975DA" w14:textId="77777777" w:rsidR="00055DD8" w:rsidRPr="00055DD8" w:rsidRDefault="00055DD8" w:rsidP="00DE4BE5">
            <w:pPr>
              <w:spacing w:after="200" w:line="276" w:lineRule="auto"/>
              <w:jc w:val="center"/>
              <w:rPr>
                <w:rFonts w:ascii="Cambria" w:hAnsi="Cambria"/>
              </w:rPr>
            </w:pPr>
            <w:r>
              <w:rPr>
                <w:rFonts w:ascii="Cambria" w:hAnsi="Cambria"/>
              </w:rPr>
              <w:t>Vrijeme</w:t>
            </w:r>
          </w:p>
        </w:tc>
        <w:tc>
          <w:tcPr>
            <w:tcW w:w="8280" w:type="dxa"/>
            <w:shd w:val="clear" w:color="auto" w:fill="D0CECE"/>
          </w:tcPr>
          <w:p w14:paraId="3D9B01D7" w14:textId="77777777" w:rsidR="00055DD8" w:rsidRPr="00055DD8" w:rsidRDefault="00055DD8" w:rsidP="00DE4BE5">
            <w:pPr>
              <w:spacing w:after="200" w:line="276" w:lineRule="auto"/>
              <w:jc w:val="center"/>
              <w:rPr>
                <w:rFonts w:ascii="Cambria" w:hAnsi="Cambria"/>
              </w:rPr>
            </w:pPr>
            <w:r>
              <w:rPr>
                <w:rFonts w:ascii="Cambria" w:hAnsi="Cambria"/>
              </w:rPr>
              <w:t>Aktivnost</w:t>
            </w:r>
          </w:p>
        </w:tc>
      </w:tr>
      <w:tr w:rsidR="00055DD8" w:rsidRPr="00055DD8" w14:paraId="75C59E40" w14:textId="77777777" w:rsidTr="00DE4BE5">
        <w:trPr>
          <w:trHeight w:val="467"/>
        </w:trPr>
        <w:tc>
          <w:tcPr>
            <w:tcW w:w="1530" w:type="dxa"/>
            <w:tcBorders>
              <w:bottom w:val="single" w:sz="4" w:space="0" w:color="auto"/>
            </w:tcBorders>
            <w:shd w:val="clear" w:color="auto" w:fill="auto"/>
          </w:tcPr>
          <w:p w14:paraId="3650C510" w14:textId="77777777" w:rsidR="00055DD8" w:rsidRPr="00055DD8" w:rsidRDefault="00055DD8" w:rsidP="00DE4BE5">
            <w:pPr>
              <w:jc w:val="both"/>
              <w:rPr>
                <w:rFonts w:ascii="Cambria" w:hAnsi="Cambria"/>
              </w:rPr>
            </w:pPr>
            <w:r>
              <w:rPr>
                <w:rFonts w:ascii="Cambria" w:hAnsi="Cambria"/>
              </w:rPr>
              <w:t>8.30 – 9.00</w:t>
            </w:r>
          </w:p>
        </w:tc>
        <w:tc>
          <w:tcPr>
            <w:tcW w:w="8280" w:type="dxa"/>
            <w:tcBorders>
              <w:bottom w:val="single" w:sz="4" w:space="0" w:color="auto"/>
            </w:tcBorders>
            <w:shd w:val="clear" w:color="auto" w:fill="auto"/>
          </w:tcPr>
          <w:p w14:paraId="53A4D67F" w14:textId="77777777" w:rsidR="00055DD8" w:rsidRPr="00055DD8" w:rsidRDefault="00055DD8" w:rsidP="00DE4BE5">
            <w:pPr>
              <w:jc w:val="both"/>
              <w:rPr>
                <w:rFonts w:ascii="Cambria" w:hAnsi="Cambria"/>
                <w:b/>
                <w:bCs/>
              </w:rPr>
            </w:pPr>
            <w:r>
              <w:rPr>
                <w:rFonts w:ascii="Cambria" w:hAnsi="Cambria"/>
                <w:b/>
                <w:bCs/>
              </w:rPr>
              <w:t xml:space="preserve">11. izlaganje: </w:t>
            </w:r>
            <w:r>
              <w:rPr>
                <w:rFonts w:ascii="Cambria" w:hAnsi="Cambria"/>
                <w:b/>
              </w:rPr>
              <w:t>BLTWG</w:t>
            </w:r>
            <w:r>
              <w:rPr>
                <w:rFonts w:ascii="Cambria" w:hAnsi="Cambria"/>
              </w:rPr>
              <w:t xml:space="preserve"> – </w:t>
            </w:r>
            <w:r>
              <w:rPr>
                <w:rFonts w:ascii="Cambria" w:hAnsi="Cambria"/>
                <w:b/>
                <w:u w:val="single"/>
              </w:rPr>
              <w:t>Uvod u dnevni red i pregled Radne skupine za proračunsku pismenost i transparentnost</w:t>
            </w:r>
            <w:r>
              <w:rPr>
                <w:rFonts w:ascii="Cambria" w:hAnsi="Cambria"/>
              </w:rPr>
              <w:t xml:space="preserve"> – Anna Belenchuk, Izvršni odbor BCOP-a, voditeljica jedinice za proračunsku analizu i razvoj, Odjel za proračunsku metodologiju i financijsko izvještavanje, Ministarstvo financija, Ruska Federacija</w:t>
            </w:r>
          </w:p>
        </w:tc>
      </w:tr>
      <w:tr w:rsidR="00055DD8" w:rsidRPr="00055DD8" w14:paraId="0C1C9035" w14:textId="77777777" w:rsidTr="00DE4BE5">
        <w:trPr>
          <w:trHeight w:val="580"/>
        </w:trPr>
        <w:tc>
          <w:tcPr>
            <w:tcW w:w="1530" w:type="dxa"/>
            <w:tcBorders>
              <w:bottom w:val="single" w:sz="4" w:space="0" w:color="auto"/>
            </w:tcBorders>
            <w:shd w:val="clear" w:color="auto" w:fill="auto"/>
          </w:tcPr>
          <w:p w14:paraId="3954EE78" w14:textId="77777777" w:rsidR="00055DD8" w:rsidRPr="00055DD8" w:rsidRDefault="00055DD8" w:rsidP="00DE4BE5">
            <w:pPr>
              <w:spacing w:after="200" w:line="276" w:lineRule="auto"/>
              <w:jc w:val="both"/>
              <w:rPr>
                <w:rFonts w:ascii="Cambria" w:hAnsi="Cambria"/>
              </w:rPr>
            </w:pPr>
            <w:r>
              <w:rPr>
                <w:rFonts w:ascii="Cambria" w:hAnsi="Cambria"/>
              </w:rPr>
              <w:t>9.00 – 9.30</w:t>
            </w:r>
          </w:p>
        </w:tc>
        <w:tc>
          <w:tcPr>
            <w:tcW w:w="8280" w:type="dxa"/>
            <w:tcBorders>
              <w:bottom w:val="single" w:sz="4" w:space="0" w:color="auto"/>
            </w:tcBorders>
            <w:shd w:val="clear" w:color="auto" w:fill="auto"/>
          </w:tcPr>
          <w:p w14:paraId="0A4D36C2" w14:textId="77777777" w:rsidR="00055DD8" w:rsidRPr="00055DD8" w:rsidRDefault="00055DD8" w:rsidP="00DE4BE5">
            <w:pPr>
              <w:jc w:val="both"/>
              <w:rPr>
                <w:rFonts w:ascii="Cambria" w:hAnsi="Cambria"/>
              </w:rPr>
            </w:pPr>
            <w:r>
              <w:rPr>
                <w:rFonts w:ascii="Cambria" w:hAnsi="Cambria"/>
                <w:b/>
                <w:bCs/>
              </w:rPr>
              <w:t xml:space="preserve">12. izlaganje: </w:t>
            </w:r>
            <w:r>
              <w:rPr>
                <w:rFonts w:ascii="Cambria" w:hAnsi="Cambria"/>
                <w:b/>
              </w:rPr>
              <w:t xml:space="preserve">BLTWG </w:t>
            </w:r>
            <w:r>
              <w:rPr>
                <w:rFonts w:ascii="Cambria" w:hAnsi="Cambria"/>
              </w:rPr>
              <w:t xml:space="preserve">– </w:t>
            </w:r>
            <w:r>
              <w:rPr>
                <w:rFonts w:ascii="Cambria" w:hAnsi="Cambria"/>
                <w:b/>
                <w:u w:val="single"/>
              </w:rPr>
              <w:t>Predstavljanje napretka u radu na proizvodu znanja Radne skupine za proračunsku pismenost i transparentnost o sudjelovanju javnosti u fiskalnoj politici i proračunskom procesu:</w:t>
            </w:r>
            <w:r>
              <w:rPr>
                <w:rFonts w:ascii="Cambria" w:hAnsi="Cambria"/>
                <w:b/>
                <w:bCs/>
                <w:u w:val="single"/>
              </w:rPr>
              <w:t xml:space="preserve"> </w:t>
            </w:r>
            <w:r>
              <w:rPr>
                <w:rFonts w:ascii="Cambria" w:hAnsi="Cambria"/>
                <w:b/>
                <w:u w:val="single"/>
              </w:rPr>
              <w:t>Kako uspostaviti i/ili ojačati mehanizme u zemljama PEMPAL-a</w:t>
            </w:r>
            <w:r>
              <w:rPr>
                <w:rFonts w:ascii="Cambria" w:hAnsi="Cambria"/>
              </w:rPr>
              <w:t xml:space="preserve"> – Harika Masud, stručnjakinja za društveni razvoj, Svjetska banka</w:t>
            </w:r>
          </w:p>
          <w:p w14:paraId="4F3A56B0" w14:textId="77777777" w:rsidR="00055DD8" w:rsidRPr="00055DD8" w:rsidRDefault="00055DD8" w:rsidP="00DE4BE5">
            <w:pPr>
              <w:jc w:val="both"/>
              <w:rPr>
                <w:rFonts w:ascii="Cambria" w:hAnsi="Cambria"/>
                <w:b/>
                <w:lang w:eastAsia="sl-SI"/>
              </w:rPr>
            </w:pPr>
          </w:p>
        </w:tc>
      </w:tr>
      <w:tr w:rsidR="00055DD8" w:rsidRPr="00055DD8" w14:paraId="10822C98" w14:textId="77777777" w:rsidTr="00DE4BE5">
        <w:trPr>
          <w:trHeight w:val="366"/>
        </w:trPr>
        <w:tc>
          <w:tcPr>
            <w:tcW w:w="1530" w:type="dxa"/>
            <w:tcBorders>
              <w:bottom w:val="single" w:sz="4" w:space="0" w:color="auto"/>
            </w:tcBorders>
            <w:shd w:val="clear" w:color="auto" w:fill="auto"/>
          </w:tcPr>
          <w:p w14:paraId="3ED4F4CE" w14:textId="77777777" w:rsidR="00055DD8" w:rsidRPr="00055DD8" w:rsidRDefault="00055DD8" w:rsidP="00DE4BE5">
            <w:pPr>
              <w:spacing w:after="200" w:line="276" w:lineRule="auto"/>
              <w:jc w:val="both"/>
              <w:rPr>
                <w:rFonts w:ascii="Cambria" w:hAnsi="Cambria"/>
              </w:rPr>
            </w:pPr>
            <w:r>
              <w:rPr>
                <w:rFonts w:ascii="Cambria" w:hAnsi="Cambria"/>
              </w:rPr>
              <w:t>9.30 – 10.00</w:t>
            </w:r>
          </w:p>
        </w:tc>
        <w:tc>
          <w:tcPr>
            <w:tcW w:w="8280" w:type="dxa"/>
            <w:tcBorders>
              <w:bottom w:val="single" w:sz="4" w:space="0" w:color="auto"/>
            </w:tcBorders>
            <w:shd w:val="clear" w:color="auto" w:fill="auto"/>
          </w:tcPr>
          <w:p w14:paraId="0AC05B7B" w14:textId="77777777" w:rsidR="00055DD8" w:rsidRPr="00055DD8" w:rsidRDefault="00055DD8" w:rsidP="00DE4BE5">
            <w:pPr>
              <w:jc w:val="both"/>
              <w:rPr>
                <w:rFonts w:ascii="Cambria" w:hAnsi="Cambria"/>
                <w:b/>
                <w:bCs/>
              </w:rPr>
            </w:pPr>
            <w:r>
              <w:rPr>
                <w:rFonts w:ascii="Cambria" w:hAnsi="Cambria"/>
                <w:b/>
                <w:bCs/>
              </w:rPr>
              <w:t xml:space="preserve">13. izlaganje: IBP – </w:t>
            </w:r>
            <w:r>
              <w:rPr>
                <w:rFonts w:ascii="Cambria" w:hAnsi="Cambria"/>
                <w:b/>
                <w:bCs/>
                <w:u w:val="single"/>
              </w:rPr>
              <w:t xml:space="preserve">Rezultati sudjelovanja javnosti prema Anketi o otvorenom proračunu, Međunarodno partnerstvo za proračun </w:t>
            </w:r>
            <w:r>
              <w:rPr>
                <w:rFonts w:ascii="Cambria" w:hAnsi="Cambria"/>
                <w:u w:val="single"/>
              </w:rPr>
              <w:t>– Sally Torbert, voditeljica programa, IBP</w:t>
            </w:r>
          </w:p>
        </w:tc>
      </w:tr>
      <w:tr w:rsidR="00055DD8" w:rsidRPr="00055DD8" w14:paraId="06BC1D09" w14:textId="77777777" w:rsidTr="00DE4BE5">
        <w:trPr>
          <w:trHeight w:val="311"/>
        </w:trPr>
        <w:tc>
          <w:tcPr>
            <w:tcW w:w="1530" w:type="dxa"/>
            <w:tcBorders>
              <w:bottom w:val="single" w:sz="4" w:space="0" w:color="auto"/>
            </w:tcBorders>
            <w:shd w:val="clear" w:color="auto" w:fill="auto"/>
          </w:tcPr>
          <w:p w14:paraId="6CF56B74" w14:textId="77777777" w:rsidR="00055DD8" w:rsidRPr="00055DD8" w:rsidRDefault="00055DD8" w:rsidP="00DE4BE5">
            <w:pPr>
              <w:spacing w:after="200" w:line="276" w:lineRule="auto"/>
              <w:jc w:val="both"/>
              <w:rPr>
                <w:rFonts w:ascii="Cambria" w:hAnsi="Cambria"/>
              </w:rPr>
            </w:pPr>
            <w:r>
              <w:rPr>
                <w:rFonts w:ascii="Cambria" w:hAnsi="Cambria"/>
              </w:rPr>
              <w:t>10.00 – 10.30</w:t>
            </w:r>
          </w:p>
        </w:tc>
        <w:tc>
          <w:tcPr>
            <w:tcW w:w="8280" w:type="dxa"/>
            <w:tcBorders>
              <w:bottom w:val="single" w:sz="4" w:space="0" w:color="auto"/>
            </w:tcBorders>
            <w:shd w:val="clear" w:color="auto" w:fill="auto"/>
          </w:tcPr>
          <w:p w14:paraId="1E282FBD" w14:textId="77777777" w:rsidR="00055DD8" w:rsidRPr="00055DD8" w:rsidRDefault="00055DD8" w:rsidP="00DE4BE5">
            <w:pPr>
              <w:jc w:val="both"/>
              <w:rPr>
                <w:rFonts w:ascii="Cambria" w:hAnsi="Cambria"/>
                <w:b/>
                <w:bCs/>
              </w:rPr>
            </w:pPr>
            <w:r>
              <w:rPr>
                <w:rFonts w:ascii="Cambria" w:hAnsi="Cambria"/>
                <w:b/>
                <w:bCs/>
              </w:rPr>
              <w:t>Pitanja za govornike panela</w:t>
            </w:r>
          </w:p>
        </w:tc>
      </w:tr>
      <w:tr w:rsidR="00055DD8" w:rsidRPr="00055DD8" w14:paraId="72D65BE6" w14:textId="77777777" w:rsidTr="00DE4BE5">
        <w:trPr>
          <w:trHeight w:val="580"/>
        </w:trPr>
        <w:tc>
          <w:tcPr>
            <w:tcW w:w="1530" w:type="dxa"/>
            <w:tcBorders>
              <w:bottom w:val="single" w:sz="4" w:space="0" w:color="auto"/>
            </w:tcBorders>
            <w:shd w:val="clear" w:color="auto" w:fill="auto"/>
          </w:tcPr>
          <w:p w14:paraId="79B29EA9" w14:textId="77777777" w:rsidR="00055DD8" w:rsidRPr="00055DD8" w:rsidRDefault="00055DD8" w:rsidP="00DE4BE5">
            <w:pPr>
              <w:spacing w:after="200" w:line="276" w:lineRule="auto"/>
              <w:jc w:val="both"/>
              <w:rPr>
                <w:rFonts w:ascii="Cambria" w:hAnsi="Cambria"/>
              </w:rPr>
            </w:pPr>
            <w:r>
              <w:rPr>
                <w:rFonts w:ascii="Cambria" w:hAnsi="Cambria"/>
              </w:rPr>
              <w:t>10.30 – 11.00</w:t>
            </w:r>
          </w:p>
        </w:tc>
        <w:tc>
          <w:tcPr>
            <w:tcW w:w="8280" w:type="dxa"/>
            <w:tcBorders>
              <w:bottom w:val="single" w:sz="4" w:space="0" w:color="auto"/>
            </w:tcBorders>
            <w:shd w:val="clear" w:color="auto" w:fill="auto"/>
          </w:tcPr>
          <w:p w14:paraId="547DA2AB" w14:textId="77777777" w:rsidR="00055DD8" w:rsidRPr="00055DD8" w:rsidRDefault="00055DD8" w:rsidP="00DE4BE5">
            <w:pPr>
              <w:jc w:val="both"/>
              <w:rPr>
                <w:rFonts w:ascii="Cambria" w:hAnsi="Cambria"/>
                <w:b/>
                <w:bCs/>
              </w:rPr>
            </w:pPr>
            <w:r>
              <w:rPr>
                <w:rFonts w:ascii="Cambria" w:hAnsi="Cambria"/>
              </w:rPr>
              <w:t xml:space="preserve"> Stanka za kavu</w:t>
            </w:r>
          </w:p>
        </w:tc>
      </w:tr>
      <w:tr w:rsidR="00055DD8" w:rsidRPr="00055DD8" w14:paraId="657001A5" w14:textId="77777777" w:rsidTr="00DE4BE5">
        <w:trPr>
          <w:trHeight w:val="580"/>
        </w:trPr>
        <w:tc>
          <w:tcPr>
            <w:tcW w:w="1530" w:type="dxa"/>
            <w:tcBorders>
              <w:bottom w:val="single" w:sz="4" w:space="0" w:color="auto"/>
            </w:tcBorders>
            <w:shd w:val="clear" w:color="auto" w:fill="auto"/>
          </w:tcPr>
          <w:p w14:paraId="24908855" w14:textId="77777777" w:rsidR="00055DD8" w:rsidRPr="00055DD8" w:rsidRDefault="00055DD8" w:rsidP="00DE4BE5">
            <w:pPr>
              <w:spacing w:after="200" w:line="276" w:lineRule="auto"/>
              <w:jc w:val="both"/>
              <w:rPr>
                <w:rFonts w:ascii="Cambria" w:hAnsi="Cambria"/>
              </w:rPr>
            </w:pPr>
            <w:r>
              <w:rPr>
                <w:rFonts w:ascii="Cambria" w:hAnsi="Cambria"/>
              </w:rPr>
              <w:t>11.00 – 11.20</w:t>
            </w:r>
          </w:p>
        </w:tc>
        <w:tc>
          <w:tcPr>
            <w:tcW w:w="8280" w:type="dxa"/>
            <w:tcBorders>
              <w:bottom w:val="single" w:sz="4" w:space="0" w:color="auto"/>
            </w:tcBorders>
            <w:shd w:val="clear" w:color="auto" w:fill="auto"/>
          </w:tcPr>
          <w:p w14:paraId="1F5044E6" w14:textId="5B11340D" w:rsidR="00055DD8" w:rsidRPr="00055DD8" w:rsidRDefault="00055DD8" w:rsidP="00055DD8">
            <w:pPr>
              <w:ind w:left="-14" w:firstLine="14"/>
              <w:jc w:val="both"/>
              <w:rPr>
                <w:rFonts w:ascii="Cambria" w:hAnsi="Cambria"/>
              </w:rPr>
            </w:pPr>
            <w:r>
              <w:rPr>
                <w:rFonts w:ascii="Cambria" w:hAnsi="Cambria"/>
                <w:b/>
                <w:bCs/>
              </w:rPr>
              <w:t xml:space="preserve">14. izlaganje: </w:t>
            </w:r>
            <w:r>
              <w:rPr>
                <w:rFonts w:ascii="Cambria" w:hAnsi="Cambria"/>
                <w:b/>
                <w:u w:val="single"/>
              </w:rPr>
              <w:t>GIFT-ovi zaključci i uvidi o dobivenim rezultatima Ankete o otvorenosti proračuna iz 2017. na temu sudjelovanja javnosti i nedavno utvrđeni novi slučajevi u Vodiču za sudjelovanje javnosti</w:t>
            </w:r>
            <w:r>
              <w:rPr>
                <w:rFonts w:ascii="Cambria" w:hAnsi="Cambria"/>
                <w:b/>
              </w:rPr>
              <w:t xml:space="preserve"> </w:t>
            </w:r>
            <w:r>
              <w:rPr>
                <w:rFonts w:ascii="Cambria" w:hAnsi="Cambria"/>
              </w:rPr>
              <w:t xml:space="preserve">– Juan Pablo Guerrero, </w:t>
            </w:r>
            <w:r>
              <w:rPr>
                <w:rFonts w:ascii="Cambria" w:hAnsi="Cambria"/>
              </w:rPr>
              <w:lastRenderedPageBreak/>
              <w:t>direktor mreže GIFT-a</w:t>
            </w:r>
          </w:p>
        </w:tc>
      </w:tr>
      <w:tr w:rsidR="00055DD8" w:rsidRPr="00055DD8" w14:paraId="17037F0E" w14:textId="77777777" w:rsidTr="00DE4BE5">
        <w:trPr>
          <w:trHeight w:val="593"/>
        </w:trPr>
        <w:tc>
          <w:tcPr>
            <w:tcW w:w="1530" w:type="dxa"/>
            <w:tcBorders>
              <w:bottom w:val="single" w:sz="4" w:space="0" w:color="auto"/>
            </w:tcBorders>
            <w:shd w:val="clear" w:color="auto" w:fill="auto"/>
          </w:tcPr>
          <w:p w14:paraId="14FC0BD5" w14:textId="77777777" w:rsidR="00055DD8" w:rsidRPr="00055DD8" w:rsidRDefault="00055DD8" w:rsidP="00DE4BE5">
            <w:pPr>
              <w:spacing w:after="200" w:line="276" w:lineRule="auto"/>
              <w:jc w:val="both"/>
              <w:rPr>
                <w:rFonts w:ascii="Cambria" w:hAnsi="Cambria"/>
              </w:rPr>
            </w:pPr>
            <w:r>
              <w:rPr>
                <w:rFonts w:ascii="Cambria" w:hAnsi="Cambria"/>
              </w:rPr>
              <w:lastRenderedPageBreak/>
              <w:t>11.20 – 12.30</w:t>
            </w:r>
          </w:p>
        </w:tc>
        <w:tc>
          <w:tcPr>
            <w:tcW w:w="8280" w:type="dxa"/>
            <w:tcBorders>
              <w:bottom w:val="single" w:sz="4" w:space="0" w:color="auto"/>
            </w:tcBorders>
            <w:shd w:val="clear" w:color="auto" w:fill="auto"/>
          </w:tcPr>
          <w:p w14:paraId="245EABA5" w14:textId="77777777" w:rsidR="00055DD8" w:rsidRPr="00055DD8" w:rsidRDefault="00055DD8" w:rsidP="00DE4BE5">
            <w:pPr>
              <w:pStyle w:val="ListParagraph"/>
              <w:spacing w:after="0" w:line="240" w:lineRule="auto"/>
              <w:ind w:left="0"/>
              <w:jc w:val="both"/>
              <w:rPr>
                <w:rFonts w:ascii="Cambria" w:hAnsi="Cambria"/>
                <w:b/>
                <w:bCs/>
              </w:rPr>
            </w:pPr>
            <w:r>
              <w:rPr>
                <w:rFonts w:ascii="Cambria" w:hAnsi="Cambria"/>
                <w:b/>
                <w:bCs/>
              </w:rPr>
              <w:t>15. i 16. izlaganje: Analize PEMPAL-ovih slučajeva zemalja:</w:t>
            </w:r>
          </w:p>
          <w:p w14:paraId="5EEB946F" w14:textId="77777777" w:rsidR="00055DD8" w:rsidRPr="00055DD8" w:rsidRDefault="00055DD8" w:rsidP="00DE4BE5">
            <w:pPr>
              <w:pStyle w:val="ListParagraph"/>
              <w:spacing w:after="0" w:line="240" w:lineRule="auto"/>
              <w:ind w:left="0"/>
              <w:jc w:val="both"/>
              <w:rPr>
                <w:rFonts w:ascii="Cambria" w:hAnsi="Cambria"/>
                <w:b/>
              </w:rPr>
            </w:pPr>
          </w:p>
          <w:p w14:paraId="0EAA48B5"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b/>
                <w:bCs/>
                <w:u w:val="single"/>
              </w:rPr>
              <w:t>Mehanizmi sudjelovanja javnosti u Gruziji</w:t>
            </w:r>
            <w:r>
              <w:rPr>
                <w:rFonts w:ascii="Cambria" w:hAnsi="Cambria"/>
                <w:b/>
                <w:bCs/>
              </w:rPr>
              <w:t xml:space="preserve"> – </w:t>
            </w:r>
            <w:r>
              <w:rPr>
                <w:rFonts w:ascii="Cambria" w:hAnsi="Cambria"/>
              </w:rPr>
              <w:t>Inga Gurgenidze, voditeljica Odjela za izradu državnog i konsolidiranog proračuna, Odjel za proračun, Ministarstvo financija Gruzije</w:t>
            </w:r>
          </w:p>
          <w:p w14:paraId="35B40E30" w14:textId="77777777" w:rsidR="00055DD8" w:rsidRPr="00055DD8" w:rsidRDefault="00055DD8" w:rsidP="00DE4BE5">
            <w:pPr>
              <w:pStyle w:val="ListParagraph"/>
              <w:spacing w:after="0" w:line="240" w:lineRule="auto"/>
              <w:ind w:left="0"/>
              <w:jc w:val="both"/>
              <w:rPr>
                <w:rFonts w:ascii="Cambria" w:hAnsi="Cambria"/>
                <w:b/>
              </w:rPr>
            </w:pPr>
          </w:p>
          <w:p w14:paraId="57911763"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b/>
                <w:bCs/>
                <w:u w:val="single"/>
              </w:rPr>
              <w:t>Mehanizmi sudjelovanja javnosti u Hrvatskoj</w:t>
            </w:r>
            <w:r>
              <w:rPr>
                <w:rFonts w:ascii="Cambria" w:hAnsi="Cambria"/>
                <w:b/>
                <w:bCs/>
              </w:rPr>
              <w:t xml:space="preserve"> </w:t>
            </w:r>
            <w:r>
              <w:rPr>
                <w:rFonts w:ascii="Cambria" w:hAnsi="Cambria"/>
              </w:rPr>
              <w:t>– Mladenka Karačić, voditeljica sektora, Odjel za državnu riznicu, Ministarstvo financija Hrvatske</w:t>
            </w:r>
          </w:p>
          <w:p w14:paraId="743B0388" w14:textId="77777777" w:rsidR="00055DD8" w:rsidRPr="00055DD8" w:rsidRDefault="00055DD8" w:rsidP="00DE4BE5">
            <w:pPr>
              <w:pStyle w:val="p1"/>
              <w:jc w:val="both"/>
              <w:rPr>
                <w:rFonts w:ascii="Cambria" w:hAnsi="Cambria"/>
                <w:b/>
                <w:sz w:val="22"/>
                <w:szCs w:val="22"/>
              </w:rPr>
            </w:pPr>
          </w:p>
        </w:tc>
      </w:tr>
      <w:tr w:rsidR="00055DD8" w:rsidRPr="00055DD8" w14:paraId="41F5D1FA" w14:textId="77777777" w:rsidTr="00DE4BE5">
        <w:trPr>
          <w:trHeight w:val="337"/>
        </w:trPr>
        <w:tc>
          <w:tcPr>
            <w:tcW w:w="1530" w:type="dxa"/>
            <w:shd w:val="clear" w:color="auto" w:fill="auto"/>
          </w:tcPr>
          <w:p w14:paraId="7C2DFF4B" w14:textId="77777777" w:rsidR="00055DD8" w:rsidRPr="00055DD8" w:rsidRDefault="00055DD8" w:rsidP="00DE4BE5">
            <w:pPr>
              <w:spacing w:after="200" w:line="276" w:lineRule="auto"/>
              <w:jc w:val="both"/>
              <w:rPr>
                <w:rFonts w:ascii="Cambria" w:hAnsi="Cambria"/>
              </w:rPr>
            </w:pPr>
            <w:r>
              <w:rPr>
                <w:rFonts w:ascii="Cambria" w:hAnsi="Cambria"/>
              </w:rPr>
              <w:t>12.30 – 13.00</w:t>
            </w:r>
          </w:p>
        </w:tc>
        <w:tc>
          <w:tcPr>
            <w:tcW w:w="8280" w:type="dxa"/>
            <w:shd w:val="clear" w:color="auto" w:fill="auto"/>
          </w:tcPr>
          <w:p w14:paraId="0BA7DDD4" w14:textId="77777777" w:rsidR="00055DD8" w:rsidRPr="00055DD8" w:rsidRDefault="00055DD8" w:rsidP="00DE4BE5">
            <w:pPr>
              <w:pStyle w:val="ListParagraph"/>
              <w:spacing w:after="0" w:line="240" w:lineRule="auto"/>
              <w:ind w:left="0"/>
              <w:jc w:val="both"/>
              <w:rPr>
                <w:rFonts w:ascii="Cambria" w:hAnsi="Cambria"/>
                <w:b/>
                <w:bCs/>
              </w:rPr>
            </w:pPr>
            <w:r>
              <w:rPr>
                <w:rFonts w:ascii="Cambria" w:hAnsi="Cambria"/>
                <w:b/>
                <w:bCs/>
              </w:rPr>
              <w:t>Pitanja za govornike panela</w:t>
            </w:r>
          </w:p>
        </w:tc>
      </w:tr>
      <w:tr w:rsidR="00055DD8" w:rsidRPr="00055DD8" w14:paraId="57935FAB" w14:textId="77777777" w:rsidTr="00DE4BE5">
        <w:trPr>
          <w:trHeight w:val="432"/>
        </w:trPr>
        <w:tc>
          <w:tcPr>
            <w:tcW w:w="1530" w:type="dxa"/>
            <w:tcBorders>
              <w:bottom w:val="single" w:sz="4" w:space="0" w:color="auto"/>
            </w:tcBorders>
            <w:shd w:val="clear" w:color="auto" w:fill="D0CECE"/>
          </w:tcPr>
          <w:p w14:paraId="0E8533FF"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rPr>
              <w:t>13.00 –14.30</w:t>
            </w:r>
          </w:p>
        </w:tc>
        <w:tc>
          <w:tcPr>
            <w:tcW w:w="8280" w:type="dxa"/>
            <w:tcBorders>
              <w:bottom w:val="single" w:sz="4" w:space="0" w:color="auto"/>
            </w:tcBorders>
            <w:shd w:val="clear" w:color="auto" w:fill="D0CECE"/>
          </w:tcPr>
          <w:p w14:paraId="27287EC0" w14:textId="77777777" w:rsidR="00055DD8" w:rsidRPr="00055DD8" w:rsidRDefault="00055DD8" w:rsidP="00DE4BE5">
            <w:pPr>
              <w:pStyle w:val="ListParagraph"/>
              <w:spacing w:after="0" w:line="240" w:lineRule="auto"/>
              <w:ind w:left="0"/>
              <w:jc w:val="both"/>
              <w:rPr>
                <w:rFonts w:ascii="Cambria" w:hAnsi="Cambria"/>
              </w:rPr>
            </w:pPr>
            <w:r>
              <w:rPr>
                <w:rFonts w:ascii="Cambria" w:hAnsi="Cambria"/>
              </w:rPr>
              <w:t>Ručak u hotelu</w:t>
            </w:r>
          </w:p>
        </w:tc>
      </w:tr>
      <w:tr w:rsidR="00055DD8" w:rsidRPr="00055DD8" w14:paraId="3B7F4030" w14:textId="77777777" w:rsidTr="00DE4BE5">
        <w:trPr>
          <w:trHeight w:val="341"/>
        </w:trPr>
        <w:tc>
          <w:tcPr>
            <w:tcW w:w="1530" w:type="dxa"/>
            <w:tcBorders>
              <w:bottom w:val="single" w:sz="4" w:space="0" w:color="auto"/>
            </w:tcBorders>
            <w:shd w:val="clear" w:color="auto" w:fill="FFFFFF" w:themeFill="background1"/>
          </w:tcPr>
          <w:p w14:paraId="4BCA0DBE" w14:textId="77777777" w:rsidR="00055DD8" w:rsidRPr="00055DD8" w:rsidRDefault="00055DD8" w:rsidP="00DE4BE5">
            <w:pPr>
              <w:jc w:val="both"/>
              <w:rPr>
                <w:rFonts w:ascii="Cambria" w:hAnsi="Cambria"/>
              </w:rPr>
            </w:pPr>
            <w:r>
              <w:rPr>
                <w:rFonts w:ascii="Cambria" w:hAnsi="Cambria"/>
              </w:rPr>
              <w:t>14.30 – 16.30</w:t>
            </w:r>
          </w:p>
        </w:tc>
        <w:tc>
          <w:tcPr>
            <w:tcW w:w="8280" w:type="dxa"/>
            <w:tcBorders>
              <w:bottom w:val="single" w:sz="4" w:space="0" w:color="auto"/>
            </w:tcBorders>
            <w:shd w:val="clear" w:color="auto" w:fill="FFFFFF" w:themeFill="background1"/>
          </w:tcPr>
          <w:p w14:paraId="217E1E12" w14:textId="77777777" w:rsidR="00055DD8" w:rsidRPr="00055DD8" w:rsidRDefault="00055DD8" w:rsidP="00DE4BE5">
            <w:pPr>
              <w:jc w:val="both"/>
              <w:rPr>
                <w:rFonts w:ascii="Cambria" w:hAnsi="Cambria"/>
              </w:rPr>
            </w:pPr>
            <w:r>
              <w:rPr>
                <w:rFonts w:ascii="Cambria" w:hAnsi="Cambria"/>
                <w:b/>
                <w:bCs/>
              </w:rPr>
              <w:t xml:space="preserve">Rasprava o pitanjima i izazovima u reformi </w:t>
            </w:r>
            <w:r>
              <w:rPr>
                <w:rFonts w:ascii="Cambria" w:hAnsi="Cambria"/>
              </w:rPr>
              <w:t xml:space="preserve">(paralelne rasprave na temu koju predlože sudionici podijeljeni u skupine prema zajedničkom jeziku ako je moguće) </w:t>
            </w:r>
          </w:p>
          <w:p w14:paraId="7E546F87" w14:textId="77777777" w:rsidR="00055DD8" w:rsidRPr="00055DD8" w:rsidRDefault="00055DD8" w:rsidP="00055DD8">
            <w:pPr>
              <w:pStyle w:val="ListParagraph"/>
              <w:numPr>
                <w:ilvl w:val="0"/>
                <w:numId w:val="3"/>
              </w:numPr>
              <w:spacing w:after="0" w:line="240" w:lineRule="auto"/>
              <w:jc w:val="both"/>
              <w:rPr>
                <w:rFonts w:ascii="Cambria" w:hAnsi="Cambria"/>
              </w:rPr>
            </w:pPr>
            <w:r>
              <w:rPr>
                <w:rFonts w:ascii="Cambria" w:hAnsi="Cambria"/>
                <w:b/>
              </w:rPr>
              <w:t>Rasprava o dva pitanja:</w:t>
            </w:r>
            <w:r>
              <w:rPr>
                <w:rFonts w:ascii="Cambria" w:hAnsi="Cambria"/>
              </w:rPr>
              <w:t xml:space="preserve"> Sudionici će se podijeliti u skupine na temelju zajedničkog jezika kako bi raspravili o dvama pitanjima (koja će biti podijeljena e-poštom nekoliko dana prije sjednice i temeljena na povratnim informacijama iz ankete prije sastanka).  Na početku rasprava trebaju se odrediti zapisničar i izlagač.  </w:t>
            </w:r>
          </w:p>
          <w:p w14:paraId="084789D4" w14:textId="77777777" w:rsidR="00055DD8" w:rsidRPr="00055DD8" w:rsidRDefault="00055DD8" w:rsidP="00DE4BE5">
            <w:pPr>
              <w:jc w:val="both"/>
              <w:rPr>
                <w:rFonts w:ascii="Cambria" w:hAnsi="Cambria"/>
              </w:rPr>
            </w:pPr>
            <w:r>
              <w:rPr>
                <w:rFonts w:ascii="Cambria" w:hAnsi="Cambria"/>
                <w:b/>
                <w:bCs/>
              </w:rPr>
              <w:t>Stanka za kavu u 15</w:t>
            </w:r>
            <w:r>
              <w:rPr>
                <w:rFonts w:ascii="Cambria" w:hAnsi="Cambria"/>
              </w:rPr>
              <w:t>.</w:t>
            </w:r>
            <w:r>
              <w:rPr>
                <w:rFonts w:ascii="Cambria" w:hAnsi="Cambria"/>
                <w:b/>
                <w:bCs/>
              </w:rPr>
              <w:t>30 (kava će se posluživati u prostoriji za raspravu ili pokrajnjim prostorijama)</w:t>
            </w:r>
          </w:p>
        </w:tc>
      </w:tr>
      <w:tr w:rsidR="00055DD8" w:rsidRPr="00055DD8" w14:paraId="7549265C" w14:textId="77777777" w:rsidTr="00DE4BE5">
        <w:tc>
          <w:tcPr>
            <w:tcW w:w="1530" w:type="dxa"/>
            <w:shd w:val="clear" w:color="auto" w:fill="auto"/>
          </w:tcPr>
          <w:p w14:paraId="1BCE57CB" w14:textId="77777777" w:rsidR="00055DD8" w:rsidRPr="00055DD8" w:rsidRDefault="00055DD8" w:rsidP="00DE4BE5">
            <w:pPr>
              <w:spacing w:after="200" w:line="276" w:lineRule="auto"/>
              <w:jc w:val="both"/>
              <w:rPr>
                <w:rFonts w:ascii="Cambria" w:hAnsi="Cambria"/>
              </w:rPr>
            </w:pPr>
            <w:r>
              <w:rPr>
                <w:rFonts w:ascii="Cambria" w:hAnsi="Cambria"/>
              </w:rPr>
              <w:t>16.30 – 17.00</w:t>
            </w:r>
          </w:p>
        </w:tc>
        <w:tc>
          <w:tcPr>
            <w:tcW w:w="8280" w:type="dxa"/>
            <w:shd w:val="clear" w:color="auto" w:fill="auto"/>
          </w:tcPr>
          <w:p w14:paraId="560ABEDE" w14:textId="77777777" w:rsidR="00055DD8" w:rsidRPr="00055DD8" w:rsidRDefault="00055DD8" w:rsidP="00DE4BE5">
            <w:pPr>
              <w:spacing w:after="200" w:line="276" w:lineRule="auto"/>
              <w:jc w:val="both"/>
              <w:rPr>
                <w:rFonts w:ascii="Cambria" w:hAnsi="Cambria"/>
              </w:rPr>
            </w:pPr>
            <w:r>
              <w:rPr>
                <w:rFonts w:ascii="Cambria" w:hAnsi="Cambria"/>
                <w:b/>
                <w:bCs/>
              </w:rPr>
              <w:t>Izlaganja članova PEMPAL-a po grupama</w:t>
            </w:r>
            <w:r>
              <w:rPr>
                <w:rFonts w:ascii="Cambria" w:hAnsi="Cambria"/>
              </w:rPr>
              <w:t xml:space="preserve"> iz prve, druge i treće grupe (5-8 minuta svatko)</w:t>
            </w:r>
          </w:p>
        </w:tc>
      </w:tr>
      <w:tr w:rsidR="00055DD8" w:rsidRPr="00055DD8" w14:paraId="2A35C3AF" w14:textId="77777777" w:rsidTr="00DE4BE5">
        <w:tc>
          <w:tcPr>
            <w:tcW w:w="1530" w:type="dxa"/>
            <w:shd w:val="clear" w:color="auto" w:fill="auto"/>
          </w:tcPr>
          <w:p w14:paraId="12517DDA" w14:textId="77777777" w:rsidR="00055DD8" w:rsidRPr="00055DD8" w:rsidRDefault="00055DD8" w:rsidP="00DE4BE5">
            <w:pPr>
              <w:jc w:val="both"/>
              <w:rPr>
                <w:rFonts w:ascii="Cambria" w:hAnsi="Cambria"/>
              </w:rPr>
            </w:pPr>
            <w:r>
              <w:rPr>
                <w:rFonts w:ascii="Cambria" w:hAnsi="Cambria"/>
              </w:rPr>
              <w:t>17.00 – 18.00</w:t>
            </w:r>
          </w:p>
        </w:tc>
        <w:tc>
          <w:tcPr>
            <w:tcW w:w="8280" w:type="dxa"/>
            <w:shd w:val="clear" w:color="auto" w:fill="auto"/>
          </w:tcPr>
          <w:p w14:paraId="5B55D35C" w14:textId="77777777" w:rsidR="00055DD8" w:rsidRPr="00055DD8" w:rsidRDefault="00055DD8" w:rsidP="00DE4BE5">
            <w:pPr>
              <w:jc w:val="both"/>
              <w:rPr>
                <w:rFonts w:ascii="Cambria" w:hAnsi="Cambria"/>
              </w:rPr>
            </w:pPr>
            <w:r>
              <w:rPr>
                <w:rFonts w:ascii="Cambria" w:hAnsi="Cambria"/>
                <w:b/>
                <w:bCs/>
              </w:rPr>
              <w:t>Izgradnja zajednice</w:t>
            </w:r>
            <w:r>
              <w:rPr>
                <w:rFonts w:ascii="Cambria" w:hAnsi="Cambria"/>
              </w:rPr>
              <w:t xml:space="preserve">  Vodi i moderira Izvršni odbor BCOP-a. </w:t>
            </w:r>
          </w:p>
          <w:p w14:paraId="069A4EFC" w14:textId="77777777" w:rsidR="00055DD8" w:rsidRPr="00055DD8" w:rsidRDefault="00055DD8" w:rsidP="00DE4BE5">
            <w:pPr>
              <w:jc w:val="both"/>
              <w:rPr>
                <w:rFonts w:ascii="Cambria" w:hAnsi="Cambria"/>
              </w:rPr>
            </w:pPr>
            <w:r>
              <w:rPr>
                <w:rFonts w:ascii="Cambria" w:hAnsi="Cambria"/>
              </w:rPr>
              <w:t xml:space="preserve">– </w:t>
            </w:r>
            <w:r>
              <w:rPr>
                <w:rFonts w:ascii="Cambria" w:hAnsi="Cambria"/>
                <w:b/>
              </w:rPr>
              <w:t>Naučeno u pogledu teme sastanka:</w:t>
            </w:r>
            <w:r>
              <w:rPr>
                <w:rFonts w:ascii="Cambria" w:hAnsi="Cambria"/>
              </w:rPr>
              <w:t xml:space="preserve"> Svaki stol imat će 10 minuta da izloži naučeno i iznese povratne informacije o načinu na koji možemo poboljšati sjednice BCOP-a PEMPAL-a.</w:t>
            </w:r>
          </w:p>
          <w:p w14:paraId="481D6197" w14:textId="77777777" w:rsidR="00055DD8" w:rsidRPr="00055DD8" w:rsidRDefault="00055DD8" w:rsidP="00DE4BE5">
            <w:pPr>
              <w:jc w:val="both"/>
              <w:rPr>
                <w:rFonts w:ascii="Cambria" w:hAnsi="Cambria"/>
              </w:rPr>
            </w:pPr>
            <w:r>
              <w:rPr>
                <w:rFonts w:ascii="Cambria" w:hAnsi="Cambria"/>
                <w:b/>
              </w:rPr>
              <w:t>– Društveni izvještaj o sastanku te podjela potvrda/slika</w:t>
            </w:r>
            <w:r>
              <w:rPr>
                <w:rFonts w:ascii="Cambria" w:hAnsi="Cambria"/>
              </w:rPr>
              <w:t>, Tajništvo PEMPAL-a</w:t>
            </w:r>
            <w:r>
              <w:rPr>
                <w:rFonts w:ascii="Cambria" w:hAnsi="Cambria"/>
                <w:b/>
                <w:bCs/>
              </w:rPr>
              <w:t xml:space="preserve"> </w:t>
            </w:r>
          </w:p>
        </w:tc>
      </w:tr>
      <w:tr w:rsidR="00055DD8" w:rsidRPr="00055DD8" w14:paraId="70250297" w14:textId="77777777" w:rsidTr="00DE4BE5">
        <w:trPr>
          <w:trHeight w:val="359"/>
        </w:trPr>
        <w:tc>
          <w:tcPr>
            <w:tcW w:w="1530" w:type="dxa"/>
            <w:shd w:val="clear" w:color="auto" w:fill="BFBFBF" w:themeFill="background1" w:themeFillShade="BF"/>
          </w:tcPr>
          <w:p w14:paraId="6BA0E4A4" w14:textId="77777777" w:rsidR="00055DD8" w:rsidRPr="00055DD8" w:rsidRDefault="00055DD8" w:rsidP="00DE4BE5">
            <w:pPr>
              <w:jc w:val="both"/>
              <w:rPr>
                <w:rFonts w:ascii="Cambria" w:hAnsi="Cambria"/>
              </w:rPr>
            </w:pPr>
            <w:r>
              <w:rPr>
                <w:rFonts w:ascii="Cambria" w:hAnsi="Cambria"/>
              </w:rPr>
              <w:t>19.00</w:t>
            </w:r>
          </w:p>
        </w:tc>
        <w:tc>
          <w:tcPr>
            <w:tcW w:w="8280" w:type="dxa"/>
            <w:shd w:val="clear" w:color="auto" w:fill="BFBFBF" w:themeFill="background1" w:themeFillShade="BF"/>
          </w:tcPr>
          <w:p w14:paraId="16706024" w14:textId="77777777" w:rsidR="00055DD8" w:rsidRPr="00055DD8" w:rsidRDefault="00055DD8" w:rsidP="00DE4BE5">
            <w:pPr>
              <w:jc w:val="both"/>
              <w:rPr>
                <w:rFonts w:ascii="Cambria" w:hAnsi="Cambria"/>
              </w:rPr>
            </w:pPr>
            <w:r>
              <w:rPr>
                <w:rFonts w:ascii="Cambria" w:hAnsi="Cambria"/>
              </w:rPr>
              <w:t xml:space="preserve">Večera u hotelu </w:t>
            </w:r>
          </w:p>
        </w:tc>
      </w:tr>
    </w:tbl>
    <w:p w14:paraId="56E15FED" w14:textId="77777777" w:rsidR="00055DD8" w:rsidRPr="00055DD8" w:rsidRDefault="00055DD8" w:rsidP="00055DD8">
      <w:pPr>
        <w:rPr>
          <w:rFonts w:ascii="Cambria" w:hAnsi="Cambria"/>
          <w:b/>
          <w:u w:val="single"/>
        </w:rPr>
      </w:pPr>
    </w:p>
    <w:p w14:paraId="1F29F7B8" w14:textId="77777777" w:rsidR="00055DD8" w:rsidRPr="00055DD8" w:rsidRDefault="00055DD8" w:rsidP="00055DD8">
      <w:pPr>
        <w:rPr>
          <w:rFonts w:ascii="Cambria" w:hAnsi="Cambria"/>
          <w:b/>
          <w:bCs/>
          <w:u w:val="single"/>
        </w:rPr>
      </w:pPr>
      <w:r>
        <w:rPr>
          <w:rFonts w:ascii="Cambria" w:hAnsi="Cambria"/>
          <w:b/>
          <w:bCs/>
          <w:u w:val="single"/>
        </w:rPr>
        <w:t>Subota, 17. ožujka, odlasci</w:t>
      </w:r>
    </w:p>
    <w:p w14:paraId="2811018C" w14:textId="77777777" w:rsidR="00055DD8" w:rsidRPr="00E402D1" w:rsidRDefault="00055DD8" w:rsidP="00055DD8">
      <w:pPr>
        <w:rPr>
          <w:rFonts w:ascii="Cambria" w:hAnsi="Cambria"/>
          <w:b/>
        </w:rPr>
      </w:pPr>
    </w:p>
    <w:p w14:paraId="3CC8C55E" w14:textId="77777777" w:rsidR="009B445F" w:rsidRDefault="009B445F" w:rsidP="009B445F">
      <w:pPr>
        <w:jc w:val="center"/>
        <w:rPr>
          <w:rFonts w:ascii="Times New Roman" w:hAnsi="Times New Roman" w:cs="Times New Roman"/>
          <w:b/>
          <w:color w:val="000000" w:themeColor="text1"/>
          <w:sz w:val="20"/>
          <w:szCs w:val="20"/>
        </w:rPr>
      </w:pPr>
    </w:p>
    <w:sectPr w:rsidR="009B445F" w:rsidSect="0012201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5F17B" w14:textId="77777777" w:rsidR="009105EE" w:rsidRDefault="009105EE" w:rsidP="00642AD0">
      <w:pPr>
        <w:spacing w:after="0" w:line="240" w:lineRule="auto"/>
      </w:pPr>
      <w:r>
        <w:separator/>
      </w:r>
    </w:p>
  </w:endnote>
  <w:endnote w:type="continuationSeparator" w:id="0">
    <w:p w14:paraId="432A03EF" w14:textId="77777777" w:rsidR="009105EE" w:rsidRDefault="009105EE"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968EE" w14:textId="77777777" w:rsidR="00C811EB" w:rsidRDefault="00C811EB" w:rsidP="00DE4B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1F474D">
      <w:rPr>
        <w:rStyle w:val="PageNumber"/>
      </w:rPr>
      <w:fldChar w:fldCharType="separate"/>
    </w:r>
    <w:r w:rsidR="001F474D">
      <w:rPr>
        <w:rStyle w:val="PageNumber"/>
        <w:noProof/>
      </w:rPr>
      <w:t>21</w:t>
    </w:r>
    <w:r>
      <w:rPr>
        <w:rStyle w:val="PageNumber"/>
      </w:rPr>
      <w:fldChar w:fldCharType="end"/>
    </w:r>
  </w:p>
  <w:p w14:paraId="6CC231B2" w14:textId="77777777" w:rsidR="00C811EB" w:rsidRDefault="00C811EB" w:rsidP="00066E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88DF" w14:textId="5660581C" w:rsidR="00C811EB" w:rsidRDefault="00C811EB" w:rsidP="00DE4BE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4169">
      <w:rPr>
        <w:rStyle w:val="PageNumber"/>
        <w:noProof/>
      </w:rPr>
      <w:t>21</w:t>
    </w:r>
    <w:r>
      <w:rPr>
        <w:rStyle w:val="PageNumber"/>
      </w:rPr>
      <w:fldChar w:fldCharType="end"/>
    </w:r>
  </w:p>
  <w:p w14:paraId="212986D6" w14:textId="77777777" w:rsidR="00C811EB" w:rsidRDefault="00C811EB" w:rsidP="00066E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73493" w14:textId="77777777" w:rsidR="009105EE" w:rsidRDefault="009105EE" w:rsidP="00642AD0">
      <w:pPr>
        <w:spacing w:after="0" w:line="240" w:lineRule="auto"/>
      </w:pPr>
      <w:r>
        <w:separator/>
      </w:r>
    </w:p>
  </w:footnote>
  <w:footnote w:type="continuationSeparator" w:id="0">
    <w:p w14:paraId="240AF8C8" w14:textId="77777777" w:rsidR="009105EE" w:rsidRDefault="009105EE" w:rsidP="00642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E6F8" w14:textId="65466B77" w:rsidR="00C811EB" w:rsidRPr="00224788" w:rsidRDefault="00C811EB" w:rsidP="00224788">
    <w:pPr>
      <w:pStyle w:val="Header"/>
    </w:pPr>
    <w:r w:rsidRPr="00DE4854">
      <w:rPr>
        <w:noProof/>
        <w:lang w:eastAsia="hr-HR"/>
      </w:rPr>
      <w:drawing>
        <wp:inline distT="0" distB="0" distL="0" distR="0" wp14:anchorId="5995A466" wp14:editId="50506185">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A3B9B" w14:textId="77777777" w:rsidR="00C811EB" w:rsidRPr="00224788" w:rsidRDefault="00C811EB">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8E1"/>
    <w:multiLevelType w:val="hybridMultilevel"/>
    <w:tmpl w:val="56CA0F3C"/>
    <w:lvl w:ilvl="0" w:tplc="C31468C0">
      <w:start w:val="1"/>
      <w:numFmt w:val="bullet"/>
      <w:lvlText w:val=""/>
      <w:lvlJc w:val="left"/>
      <w:pPr>
        <w:tabs>
          <w:tab w:val="num" w:pos="720"/>
        </w:tabs>
        <w:ind w:left="720" w:hanging="360"/>
      </w:pPr>
      <w:rPr>
        <w:rFonts w:ascii="Wingdings" w:hAnsi="Wingdings" w:hint="default"/>
      </w:rPr>
    </w:lvl>
    <w:lvl w:ilvl="1" w:tplc="23528904" w:tentative="1">
      <w:start w:val="1"/>
      <w:numFmt w:val="bullet"/>
      <w:lvlText w:val=""/>
      <w:lvlJc w:val="left"/>
      <w:pPr>
        <w:tabs>
          <w:tab w:val="num" w:pos="1440"/>
        </w:tabs>
        <w:ind w:left="1440" w:hanging="360"/>
      </w:pPr>
      <w:rPr>
        <w:rFonts w:ascii="Wingdings" w:hAnsi="Wingdings" w:hint="default"/>
      </w:rPr>
    </w:lvl>
    <w:lvl w:ilvl="2" w:tplc="F2BA52A6" w:tentative="1">
      <w:start w:val="1"/>
      <w:numFmt w:val="bullet"/>
      <w:lvlText w:val=""/>
      <w:lvlJc w:val="left"/>
      <w:pPr>
        <w:tabs>
          <w:tab w:val="num" w:pos="2160"/>
        </w:tabs>
        <w:ind w:left="2160" w:hanging="360"/>
      </w:pPr>
      <w:rPr>
        <w:rFonts w:ascii="Wingdings" w:hAnsi="Wingdings" w:hint="default"/>
      </w:rPr>
    </w:lvl>
    <w:lvl w:ilvl="3" w:tplc="04BE6FCC" w:tentative="1">
      <w:start w:val="1"/>
      <w:numFmt w:val="bullet"/>
      <w:lvlText w:val=""/>
      <w:lvlJc w:val="left"/>
      <w:pPr>
        <w:tabs>
          <w:tab w:val="num" w:pos="2880"/>
        </w:tabs>
        <w:ind w:left="2880" w:hanging="360"/>
      </w:pPr>
      <w:rPr>
        <w:rFonts w:ascii="Wingdings" w:hAnsi="Wingdings" w:hint="default"/>
      </w:rPr>
    </w:lvl>
    <w:lvl w:ilvl="4" w:tplc="575824E8" w:tentative="1">
      <w:start w:val="1"/>
      <w:numFmt w:val="bullet"/>
      <w:lvlText w:val=""/>
      <w:lvlJc w:val="left"/>
      <w:pPr>
        <w:tabs>
          <w:tab w:val="num" w:pos="3600"/>
        </w:tabs>
        <w:ind w:left="3600" w:hanging="360"/>
      </w:pPr>
      <w:rPr>
        <w:rFonts w:ascii="Wingdings" w:hAnsi="Wingdings" w:hint="default"/>
      </w:rPr>
    </w:lvl>
    <w:lvl w:ilvl="5" w:tplc="1AB4D6D0" w:tentative="1">
      <w:start w:val="1"/>
      <w:numFmt w:val="bullet"/>
      <w:lvlText w:val=""/>
      <w:lvlJc w:val="left"/>
      <w:pPr>
        <w:tabs>
          <w:tab w:val="num" w:pos="4320"/>
        </w:tabs>
        <w:ind w:left="4320" w:hanging="360"/>
      </w:pPr>
      <w:rPr>
        <w:rFonts w:ascii="Wingdings" w:hAnsi="Wingdings" w:hint="default"/>
      </w:rPr>
    </w:lvl>
    <w:lvl w:ilvl="6" w:tplc="9DC2A698" w:tentative="1">
      <w:start w:val="1"/>
      <w:numFmt w:val="bullet"/>
      <w:lvlText w:val=""/>
      <w:lvlJc w:val="left"/>
      <w:pPr>
        <w:tabs>
          <w:tab w:val="num" w:pos="5040"/>
        </w:tabs>
        <w:ind w:left="5040" w:hanging="360"/>
      </w:pPr>
      <w:rPr>
        <w:rFonts w:ascii="Wingdings" w:hAnsi="Wingdings" w:hint="default"/>
      </w:rPr>
    </w:lvl>
    <w:lvl w:ilvl="7" w:tplc="98DE2C86" w:tentative="1">
      <w:start w:val="1"/>
      <w:numFmt w:val="bullet"/>
      <w:lvlText w:val=""/>
      <w:lvlJc w:val="left"/>
      <w:pPr>
        <w:tabs>
          <w:tab w:val="num" w:pos="5760"/>
        </w:tabs>
        <w:ind w:left="5760" w:hanging="360"/>
      </w:pPr>
      <w:rPr>
        <w:rFonts w:ascii="Wingdings" w:hAnsi="Wingdings" w:hint="default"/>
      </w:rPr>
    </w:lvl>
    <w:lvl w:ilvl="8" w:tplc="5B6A65B8" w:tentative="1">
      <w:start w:val="1"/>
      <w:numFmt w:val="bullet"/>
      <w:lvlText w:val=""/>
      <w:lvlJc w:val="left"/>
      <w:pPr>
        <w:tabs>
          <w:tab w:val="num" w:pos="6480"/>
        </w:tabs>
        <w:ind w:left="6480" w:hanging="360"/>
      </w:pPr>
      <w:rPr>
        <w:rFonts w:ascii="Wingdings" w:hAnsi="Wingdings" w:hint="default"/>
      </w:rPr>
    </w:lvl>
  </w:abstractNum>
  <w:abstractNum w:abstractNumId="1">
    <w:nsid w:val="05BB78E5"/>
    <w:multiLevelType w:val="hybridMultilevel"/>
    <w:tmpl w:val="5DCA9BBA"/>
    <w:lvl w:ilvl="0" w:tplc="4E883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1E5F59"/>
    <w:multiLevelType w:val="hybridMultilevel"/>
    <w:tmpl w:val="44F6EA22"/>
    <w:lvl w:ilvl="0" w:tplc="A5C85F34">
      <w:start w:val="1"/>
      <w:numFmt w:val="bullet"/>
      <w:lvlText w:val="»"/>
      <w:lvlJc w:val="left"/>
      <w:pPr>
        <w:tabs>
          <w:tab w:val="num" w:pos="720"/>
        </w:tabs>
        <w:ind w:left="720" w:hanging="360"/>
      </w:pPr>
      <w:rPr>
        <w:rFonts w:ascii="Arial" w:hAnsi="Arial" w:hint="default"/>
      </w:rPr>
    </w:lvl>
    <w:lvl w:ilvl="1" w:tplc="ECB45AAC" w:tentative="1">
      <w:start w:val="1"/>
      <w:numFmt w:val="bullet"/>
      <w:lvlText w:val="»"/>
      <w:lvlJc w:val="left"/>
      <w:pPr>
        <w:tabs>
          <w:tab w:val="num" w:pos="1440"/>
        </w:tabs>
        <w:ind w:left="1440" w:hanging="360"/>
      </w:pPr>
      <w:rPr>
        <w:rFonts w:ascii="Arial" w:hAnsi="Arial" w:hint="default"/>
      </w:rPr>
    </w:lvl>
    <w:lvl w:ilvl="2" w:tplc="0C4C24F2" w:tentative="1">
      <w:start w:val="1"/>
      <w:numFmt w:val="bullet"/>
      <w:lvlText w:val="»"/>
      <w:lvlJc w:val="left"/>
      <w:pPr>
        <w:tabs>
          <w:tab w:val="num" w:pos="2160"/>
        </w:tabs>
        <w:ind w:left="2160" w:hanging="360"/>
      </w:pPr>
      <w:rPr>
        <w:rFonts w:ascii="Arial" w:hAnsi="Arial" w:hint="default"/>
      </w:rPr>
    </w:lvl>
    <w:lvl w:ilvl="3" w:tplc="B35435DE" w:tentative="1">
      <w:start w:val="1"/>
      <w:numFmt w:val="bullet"/>
      <w:lvlText w:val="»"/>
      <w:lvlJc w:val="left"/>
      <w:pPr>
        <w:tabs>
          <w:tab w:val="num" w:pos="2880"/>
        </w:tabs>
        <w:ind w:left="2880" w:hanging="360"/>
      </w:pPr>
      <w:rPr>
        <w:rFonts w:ascii="Arial" w:hAnsi="Arial" w:hint="default"/>
      </w:rPr>
    </w:lvl>
    <w:lvl w:ilvl="4" w:tplc="0C3A5AFA" w:tentative="1">
      <w:start w:val="1"/>
      <w:numFmt w:val="bullet"/>
      <w:lvlText w:val="»"/>
      <w:lvlJc w:val="left"/>
      <w:pPr>
        <w:tabs>
          <w:tab w:val="num" w:pos="3600"/>
        </w:tabs>
        <w:ind w:left="3600" w:hanging="360"/>
      </w:pPr>
      <w:rPr>
        <w:rFonts w:ascii="Arial" w:hAnsi="Arial" w:hint="default"/>
      </w:rPr>
    </w:lvl>
    <w:lvl w:ilvl="5" w:tplc="C672B084" w:tentative="1">
      <w:start w:val="1"/>
      <w:numFmt w:val="bullet"/>
      <w:lvlText w:val="»"/>
      <w:lvlJc w:val="left"/>
      <w:pPr>
        <w:tabs>
          <w:tab w:val="num" w:pos="4320"/>
        </w:tabs>
        <w:ind w:left="4320" w:hanging="360"/>
      </w:pPr>
      <w:rPr>
        <w:rFonts w:ascii="Arial" w:hAnsi="Arial" w:hint="default"/>
      </w:rPr>
    </w:lvl>
    <w:lvl w:ilvl="6" w:tplc="4FA03DEC" w:tentative="1">
      <w:start w:val="1"/>
      <w:numFmt w:val="bullet"/>
      <w:lvlText w:val="»"/>
      <w:lvlJc w:val="left"/>
      <w:pPr>
        <w:tabs>
          <w:tab w:val="num" w:pos="5040"/>
        </w:tabs>
        <w:ind w:left="5040" w:hanging="360"/>
      </w:pPr>
      <w:rPr>
        <w:rFonts w:ascii="Arial" w:hAnsi="Arial" w:hint="default"/>
      </w:rPr>
    </w:lvl>
    <w:lvl w:ilvl="7" w:tplc="FF589BC0" w:tentative="1">
      <w:start w:val="1"/>
      <w:numFmt w:val="bullet"/>
      <w:lvlText w:val="»"/>
      <w:lvlJc w:val="left"/>
      <w:pPr>
        <w:tabs>
          <w:tab w:val="num" w:pos="5760"/>
        </w:tabs>
        <w:ind w:left="5760" w:hanging="360"/>
      </w:pPr>
      <w:rPr>
        <w:rFonts w:ascii="Arial" w:hAnsi="Arial" w:hint="default"/>
      </w:rPr>
    </w:lvl>
    <w:lvl w:ilvl="8" w:tplc="910C03A4" w:tentative="1">
      <w:start w:val="1"/>
      <w:numFmt w:val="bullet"/>
      <w:lvlText w:val="»"/>
      <w:lvlJc w:val="left"/>
      <w:pPr>
        <w:tabs>
          <w:tab w:val="num" w:pos="6480"/>
        </w:tabs>
        <w:ind w:left="6480" w:hanging="360"/>
      </w:pPr>
      <w:rPr>
        <w:rFonts w:ascii="Arial" w:hAnsi="Arial" w:hint="default"/>
      </w:rPr>
    </w:lvl>
  </w:abstractNum>
  <w:abstractNum w:abstractNumId="3">
    <w:nsid w:val="084150F3"/>
    <w:multiLevelType w:val="hybridMultilevel"/>
    <w:tmpl w:val="5EC41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D2029"/>
    <w:multiLevelType w:val="hybridMultilevel"/>
    <w:tmpl w:val="D5F2535A"/>
    <w:lvl w:ilvl="0" w:tplc="0409001B">
      <w:start w:val="1"/>
      <w:numFmt w:val="lowerRoman"/>
      <w:lvlText w:val="%1."/>
      <w:lvlJc w:val="right"/>
      <w:pPr>
        <w:ind w:left="234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669EA"/>
    <w:multiLevelType w:val="hybridMultilevel"/>
    <w:tmpl w:val="0B80A408"/>
    <w:lvl w:ilvl="0" w:tplc="76CCF9CE">
      <w:start w:val="1"/>
      <w:numFmt w:val="bullet"/>
      <w:lvlText w:val="•"/>
      <w:lvlJc w:val="left"/>
      <w:pPr>
        <w:tabs>
          <w:tab w:val="num" w:pos="360"/>
        </w:tabs>
        <w:ind w:left="360" w:hanging="360"/>
      </w:pPr>
      <w:rPr>
        <w:rFonts w:ascii="Arial" w:hAnsi="Arial" w:hint="default"/>
      </w:rPr>
    </w:lvl>
    <w:lvl w:ilvl="1" w:tplc="EEEA2BB0">
      <w:numFmt w:val="bullet"/>
      <w:lvlText w:val="•"/>
      <w:lvlJc w:val="left"/>
      <w:pPr>
        <w:tabs>
          <w:tab w:val="num" w:pos="1080"/>
        </w:tabs>
        <w:ind w:left="1080" w:hanging="360"/>
      </w:pPr>
      <w:rPr>
        <w:rFonts w:ascii="Arial" w:hAnsi="Arial" w:hint="default"/>
      </w:rPr>
    </w:lvl>
    <w:lvl w:ilvl="2" w:tplc="5C3A9F6A" w:tentative="1">
      <w:start w:val="1"/>
      <w:numFmt w:val="bullet"/>
      <w:lvlText w:val="•"/>
      <w:lvlJc w:val="left"/>
      <w:pPr>
        <w:tabs>
          <w:tab w:val="num" w:pos="1800"/>
        </w:tabs>
        <w:ind w:left="1800" w:hanging="360"/>
      </w:pPr>
      <w:rPr>
        <w:rFonts w:ascii="Arial" w:hAnsi="Arial" w:hint="default"/>
      </w:rPr>
    </w:lvl>
    <w:lvl w:ilvl="3" w:tplc="19621650" w:tentative="1">
      <w:start w:val="1"/>
      <w:numFmt w:val="bullet"/>
      <w:lvlText w:val="•"/>
      <w:lvlJc w:val="left"/>
      <w:pPr>
        <w:tabs>
          <w:tab w:val="num" w:pos="2520"/>
        </w:tabs>
        <w:ind w:left="2520" w:hanging="360"/>
      </w:pPr>
      <w:rPr>
        <w:rFonts w:ascii="Arial" w:hAnsi="Arial" w:hint="default"/>
      </w:rPr>
    </w:lvl>
    <w:lvl w:ilvl="4" w:tplc="6E4A6526" w:tentative="1">
      <w:start w:val="1"/>
      <w:numFmt w:val="bullet"/>
      <w:lvlText w:val="•"/>
      <w:lvlJc w:val="left"/>
      <w:pPr>
        <w:tabs>
          <w:tab w:val="num" w:pos="3240"/>
        </w:tabs>
        <w:ind w:left="3240" w:hanging="360"/>
      </w:pPr>
      <w:rPr>
        <w:rFonts w:ascii="Arial" w:hAnsi="Arial" w:hint="default"/>
      </w:rPr>
    </w:lvl>
    <w:lvl w:ilvl="5" w:tplc="CB4CBE7C" w:tentative="1">
      <w:start w:val="1"/>
      <w:numFmt w:val="bullet"/>
      <w:lvlText w:val="•"/>
      <w:lvlJc w:val="left"/>
      <w:pPr>
        <w:tabs>
          <w:tab w:val="num" w:pos="3960"/>
        </w:tabs>
        <w:ind w:left="3960" w:hanging="360"/>
      </w:pPr>
      <w:rPr>
        <w:rFonts w:ascii="Arial" w:hAnsi="Arial" w:hint="default"/>
      </w:rPr>
    </w:lvl>
    <w:lvl w:ilvl="6" w:tplc="3CD2C8FE" w:tentative="1">
      <w:start w:val="1"/>
      <w:numFmt w:val="bullet"/>
      <w:lvlText w:val="•"/>
      <w:lvlJc w:val="left"/>
      <w:pPr>
        <w:tabs>
          <w:tab w:val="num" w:pos="4680"/>
        </w:tabs>
        <w:ind w:left="4680" w:hanging="360"/>
      </w:pPr>
      <w:rPr>
        <w:rFonts w:ascii="Arial" w:hAnsi="Arial" w:hint="default"/>
      </w:rPr>
    </w:lvl>
    <w:lvl w:ilvl="7" w:tplc="6F0A371E" w:tentative="1">
      <w:start w:val="1"/>
      <w:numFmt w:val="bullet"/>
      <w:lvlText w:val="•"/>
      <w:lvlJc w:val="left"/>
      <w:pPr>
        <w:tabs>
          <w:tab w:val="num" w:pos="5400"/>
        </w:tabs>
        <w:ind w:left="5400" w:hanging="360"/>
      </w:pPr>
      <w:rPr>
        <w:rFonts w:ascii="Arial" w:hAnsi="Arial" w:hint="default"/>
      </w:rPr>
    </w:lvl>
    <w:lvl w:ilvl="8" w:tplc="CEE01514" w:tentative="1">
      <w:start w:val="1"/>
      <w:numFmt w:val="bullet"/>
      <w:lvlText w:val="•"/>
      <w:lvlJc w:val="left"/>
      <w:pPr>
        <w:tabs>
          <w:tab w:val="num" w:pos="6120"/>
        </w:tabs>
        <w:ind w:left="6120" w:hanging="360"/>
      </w:pPr>
      <w:rPr>
        <w:rFonts w:ascii="Arial" w:hAnsi="Arial" w:hint="default"/>
      </w:rPr>
    </w:lvl>
  </w:abstractNum>
  <w:abstractNum w:abstractNumId="6">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00E14D3"/>
    <w:multiLevelType w:val="hybridMultilevel"/>
    <w:tmpl w:val="518C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A099C"/>
    <w:multiLevelType w:val="hybridMultilevel"/>
    <w:tmpl w:val="889E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5753DA"/>
    <w:multiLevelType w:val="hybridMultilevel"/>
    <w:tmpl w:val="287A200A"/>
    <w:lvl w:ilvl="0" w:tplc="91481F26">
      <w:start w:val="1"/>
      <w:numFmt w:val="bullet"/>
      <w:lvlText w:val=""/>
      <w:lvlJc w:val="left"/>
      <w:pPr>
        <w:tabs>
          <w:tab w:val="num" w:pos="720"/>
        </w:tabs>
        <w:ind w:left="720" w:hanging="360"/>
      </w:pPr>
      <w:rPr>
        <w:rFonts w:ascii="Wingdings" w:hAnsi="Wingdings" w:hint="default"/>
      </w:rPr>
    </w:lvl>
    <w:lvl w:ilvl="1" w:tplc="6F243C48">
      <w:start w:val="1"/>
      <w:numFmt w:val="bullet"/>
      <w:lvlText w:val=""/>
      <w:lvlJc w:val="left"/>
      <w:pPr>
        <w:tabs>
          <w:tab w:val="num" w:pos="1440"/>
        </w:tabs>
        <w:ind w:left="1440" w:hanging="360"/>
      </w:pPr>
      <w:rPr>
        <w:rFonts w:ascii="Wingdings" w:hAnsi="Wingdings" w:hint="default"/>
      </w:rPr>
    </w:lvl>
    <w:lvl w:ilvl="2" w:tplc="238AF178" w:tentative="1">
      <w:start w:val="1"/>
      <w:numFmt w:val="bullet"/>
      <w:lvlText w:val=""/>
      <w:lvlJc w:val="left"/>
      <w:pPr>
        <w:tabs>
          <w:tab w:val="num" w:pos="2160"/>
        </w:tabs>
        <w:ind w:left="2160" w:hanging="360"/>
      </w:pPr>
      <w:rPr>
        <w:rFonts w:ascii="Wingdings" w:hAnsi="Wingdings" w:hint="default"/>
      </w:rPr>
    </w:lvl>
    <w:lvl w:ilvl="3" w:tplc="43465E76" w:tentative="1">
      <w:start w:val="1"/>
      <w:numFmt w:val="bullet"/>
      <w:lvlText w:val=""/>
      <w:lvlJc w:val="left"/>
      <w:pPr>
        <w:tabs>
          <w:tab w:val="num" w:pos="2880"/>
        </w:tabs>
        <w:ind w:left="2880" w:hanging="360"/>
      </w:pPr>
      <w:rPr>
        <w:rFonts w:ascii="Wingdings" w:hAnsi="Wingdings" w:hint="default"/>
      </w:rPr>
    </w:lvl>
    <w:lvl w:ilvl="4" w:tplc="67C8CC2C" w:tentative="1">
      <w:start w:val="1"/>
      <w:numFmt w:val="bullet"/>
      <w:lvlText w:val=""/>
      <w:lvlJc w:val="left"/>
      <w:pPr>
        <w:tabs>
          <w:tab w:val="num" w:pos="3600"/>
        </w:tabs>
        <w:ind w:left="3600" w:hanging="360"/>
      </w:pPr>
      <w:rPr>
        <w:rFonts w:ascii="Wingdings" w:hAnsi="Wingdings" w:hint="default"/>
      </w:rPr>
    </w:lvl>
    <w:lvl w:ilvl="5" w:tplc="7296630A" w:tentative="1">
      <w:start w:val="1"/>
      <w:numFmt w:val="bullet"/>
      <w:lvlText w:val=""/>
      <w:lvlJc w:val="left"/>
      <w:pPr>
        <w:tabs>
          <w:tab w:val="num" w:pos="4320"/>
        </w:tabs>
        <w:ind w:left="4320" w:hanging="360"/>
      </w:pPr>
      <w:rPr>
        <w:rFonts w:ascii="Wingdings" w:hAnsi="Wingdings" w:hint="default"/>
      </w:rPr>
    </w:lvl>
    <w:lvl w:ilvl="6" w:tplc="0E02AD8A" w:tentative="1">
      <w:start w:val="1"/>
      <w:numFmt w:val="bullet"/>
      <w:lvlText w:val=""/>
      <w:lvlJc w:val="left"/>
      <w:pPr>
        <w:tabs>
          <w:tab w:val="num" w:pos="5040"/>
        </w:tabs>
        <w:ind w:left="5040" w:hanging="360"/>
      </w:pPr>
      <w:rPr>
        <w:rFonts w:ascii="Wingdings" w:hAnsi="Wingdings" w:hint="default"/>
      </w:rPr>
    </w:lvl>
    <w:lvl w:ilvl="7" w:tplc="28F6B476" w:tentative="1">
      <w:start w:val="1"/>
      <w:numFmt w:val="bullet"/>
      <w:lvlText w:val=""/>
      <w:lvlJc w:val="left"/>
      <w:pPr>
        <w:tabs>
          <w:tab w:val="num" w:pos="5760"/>
        </w:tabs>
        <w:ind w:left="5760" w:hanging="360"/>
      </w:pPr>
      <w:rPr>
        <w:rFonts w:ascii="Wingdings" w:hAnsi="Wingdings" w:hint="default"/>
      </w:rPr>
    </w:lvl>
    <w:lvl w:ilvl="8" w:tplc="C98CBD14" w:tentative="1">
      <w:start w:val="1"/>
      <w:numFmt w:val="bullet"/>
      <w:lvlText w:val=""/>
      <w:lvlJc w:val="left"/>
      <w:pPr>
        <w:tabs>
          <w:tab w:val="num" w:pos="6480"/>
        </w:tabs>
        <w:ind w:left="6480" w:hanging="360"/>
      </w:pPr>
      <w:rPr>
        <w:rFonts w:ascii="Wingdings" w:hAnsi="Wingdings" w:hint="default"/>
      </w:rPr>
    </w:lvl>
  </w:abstractNum>
  <w:abstractNum w:abstractNumId="12">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72405E"/>
    <w:multiLevelType w:val="hybridMultilevel"/>
    <w:tmpl w:val="457C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364995"/>
    <w:multiLevelType w:val="hybridMultilevel"/>
    <w:tmpl w:val="8D2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637DB"/>
    <w:multiLevelType w:val="hybridMultilevel"/>
    <w:tmpl w:val="23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718A4"/>
    <w:multiLevelType w:val="hybridMultilevel"/>
    <w:tmpl w:val="022E0C7A"/>
    <w:lvl w:ilvl="0" w:tplc="07F20E62">
      <w:start w:val="1"/>
      <w:numFmt w:val="bullet"/>
      <w:lvlText w:val=""/>
      <w:lvlJc w:val="left"/>
      <w:pPr>
        <w:tabs>
          <w:tab w:val="num" w:pos="720"/>
        </w:tabs>
        <w:ind w:left="720" w:hanging="360"/>
      </w:pPr>
      <w:rPr>
        <w:rFonts w:ascii="Wingdings" w:hAnsi="Wingdings" w:hint="default"/>
      </w:rPr>
    </w:lvl>
    <w:lvl w:ilvl="1" w:tplc="44607E42" w:tentative="1">
      <w:start w:val="1"/>
      <w:numFmt w:val="bullet"/>
      <w:lvlText w:val=""/>
      <w:lvlJc w:val="left"/>
      <w:pPr>
        <w:tabs>
          <w:tab w:val="num" w:pos="1440"/>
        </w:tabs>
        <w:ind w:left="1440" w:hanging="360"/>
      </w:pPr>
      <w:rPr>
        <w:rFonts w:ascii="Wingdings" w:hAnsi="Wingdings" w:hint="default"/>
      </w:rPr>
    </w:lvl>
    <w:lvl w:ilvl="2" w:tplc="41B0569A" w:tentative="1">
      <w:start w:val="1"/>
      <w:numFmt w:val="bullet"/>
      <w:lvlText w:val=""/>
      <w:lvlJc w:val="left"/>
      <w:pPr>
        <w:tabs>
          <w:tab w:val="num" w:pos="2160"/>
        </w:tabs>
        <w:ind w:left="2160" w:hanging="360"/>
      </w:pPr>
      <w:rPr>
        <w:rFonts w:ascii="Wingdings" w:hAnsi="Wingdings" w:hint="default"/>
      </w:rPr>
    </w:lvl>
    <w:lvl w:ilvl="3" w:tplc="D304EF0A" w:tentative="1">
      <w:start w:val="1"/>
      <w:numFmt w:val="bullet"/>
      <w:lvlText w:val=""/>
      <w:lvlJc w:val="left"/>
      <w:pPr>
        <w:tabs>
          <w:tab w:val="num" w:pos="2880"/>
        </w:tabs>
        <w:ind w:left="2880" w:hanging="360"/>
      </w:pPr>
      <w:rPr>
        <w:rFonts w:ascii="Wingdings" w:hAnsi="Wingdings" w:hint="default"/>
      </w:rPr>
    </w:lvl>
    <w:lvl w:ilvl="4" w:tplc="0F1861B4" w:tentative="1">
      <w:start w:val="1"/>
      <w:numFmt w:val="bullet"/>
      <w:lvlText w:val=""/>
      <w:lvlJc w:val="left"/>
      <w:pPr>
        <w:tabs>
          <w:tab w:val="num" w:pos="3600"/>
        </w:tabs>
        <w:ind w:left="3600" w:hanging="360"/>
      </w:pPr>
      <w:rPr>
        <w:rFonts w:ascii="Wingdings" w:hAnsi="Wingdings" w:hint="default"/>
      </w:rPr>
    </w:lvl>
    <w:lvl w:ilvl="5" w:tplc="91329AD2" w:tentative="1">
      <w:start w:val="1"/>
      <w:numFmt w:val="bullet"/>
      <w:lvlText w:val=""/>
      <w:lvlJc w:val="left"/>
      <w:pPr>
        <w:tabs>
          <w:tab w:val="num" w:pos="4320"/>
        </w:tabs>
        <w:ind w:left="4320" w:hanging="360"/>
      </w:pPr>
      <w:rPr>
        <w:rFonts w:ascii="Wingdings" w:hAnsi="Wingdings" w:hint="default"/>
      </w:rPr>
    </w:lvl>
    <w:lvl w:ilvl="6" w:tplc="EA94B560" w:tentative="1">
      <w:start w:val="1"/>
      <w:numFmt w:val="bullet"/>
      <w:lvlText w:val=""/>
      <w:lvlJc w:val="left"/>
      <w:pPr>
        <w:tabs>
          <w:tab w:val="num" w:pos="5040"/>
        </w:tabs>
        <w:ind w:left="5040" w:hanging="360"/>
      </w:pPr>
      <w:rPr>
        <w:rFonts w:ascii="Wingdings" w:hAnsi="Wingdings" w:hint="default"/>
      </w:rPr>
    </w:lvl>
    <w:lvl w:ilvl="7" w:tplc="9ED83C82" w:tentative="1">
      <w:start w:val="1"/>
      <w:numFmt w:val="bullet"/>
      <w:lvlText w:val=""/>
      <w:lvlJc w:val="left"/>
      <w:pPr>
        <w:tabs>
          <w:tab w:val="num" w:pos="5760"/>
        </w:tabs>
        <w:ind w:left="5760" w:hanging="360"/>
      </w:pPr>
      <w:rPr>
        <w:rFonts w:ascii="Wingdings" w:hAnsi="Wingdings" w:hint="default"/>
      </w:rPr>
    </w:lvl>
    <w:lvl w:ilvl="8" w:tplc="DBBEAE64" w:tentative="1">
      <w:start w:val="1"/>
      <w:numFmt w:val="bullet"/>
      <w:lvlText w:val=""/>
      <w:lvlJc w:val="left"/>
      <w:pPr>
        <w:tabs>
          <w:tab w:val="num" w:pos="6480"/>
        </w:tabs>
        <w:ind w:left="6480" w:hanging="360"/>
      </w:pPr>
      <w:rPr>
        <w:rFonts w:ascii="Wingdings" w:hAnsi="Wingdings" w:hint="default"/>
      </w:rPr>
    </w:lvl>
  </w:abstractNum>
  <w:abstractNum w:abstractNumId="17">
    <w:nsid w:val="2A3F70EE"/>
    <w:multiLevelType w:val="hybridMultilevel"/>
    <w:tmpl w:val="408215AC"/>
    <w:lvl w:ilvl="0" w:tplc="DD3624BE">
      <w:start w:val="1"/>
      <w:numFmt w:val="bullet"/>
      <w:lvlText w:val=""/>
      <w:lvlJc w:val="left"/>
      <w:pPr>
        <w:tabs>
          <w:tab w:val="num" w:pos="720"/>
        </w:tabs>
        <w:ind w:left="720" w:hanging="360"/>
      </w:pPr>
      <w:rPr>
        <w:rFonts w:ascii="Wingdings" w:hAnsi="Wingdings" w:hint="default"/>
      </w:rPr>
    </w:lvl>
    <w:lvl w:ilvl="1" w:tplc="EC52B424" w:tentative="1">
      <w:start w:val="1"/>
      <w:numFmt w:val="bullet"/>
      <w:lvlText w:val=""/>
      <w:lvlJc w:val="left"/>
      <w:pPr>
        <w:tabs>
          <w:tab w:val="num" w:pos="1440"/>
        </w:tabs>
        <w:ind w:left="1440" w:hanging="360"/>
      </w:pPr>
      <w:rPr>
        <w:rFonts w:ascii="Wingdings" w:hAnsi="Wingdings" w:hint="default"/>
      </w:rPr>
    </w:lvl>
    <w:lvl w:ilvl="2" w:tplc="4AB22620" w:tentative="1">
      <w:start w:val="1"/>
      <w:numFmt w:val="bullet"/>
      <w:lvlText w:val=""/>
      <w:lvlJc w:val="left"/>
      <w:pPr>
        <w:tabs>
          <w:tab w:val="num" w:pos="2160"/>
        </w:tabs>
        <w:ind w:left="2160" w:hanging="360"/>
      </w:pPr>
      <w:rPr>
        <w:rFonts w:ascii="Wingdings" w:hAnsi="Wingdings" w:hint="default"/>
      </w:rPr>
    </w:lvl>
    <w:lvl w:ilvl="3" w:tplc="18C21318" w:tentative="1">
      <w:start w:val="1"/>
      <w:numFmt w:val="bullet"/>
      <w:lvlText w:val=""/>
      <w:lvlJc w:val="left"/>
      <w:pPr>
        <w:tabs>
          <w:tab w:val="num" w:pos="2880"/>
        </w:tabs>
        <w:ind w:left="2880" w:hanging="360"/>
      </w:pPr>
      <w:rPr>
        <w:rFonts w:ascii="Wingdings" w:hAnsi="Wingdings" w:hint="default"/>
      </w:rPr>
    </w:lvl>
    <w:lvl w:ilvl="4" w:tplc="D00E6868" w:tentative="1">
      <w:start w:val="1"/>
      <w:numFmt w:val="bullet"/>
      <w:lvlText w:val=""/>
      <w:lvlJc w:val="left"/>
      <w:pPr>
        <w:tabs>
          <w:tab w:val="num" w:pos="3600"/>
        </w:tabs>
        <w:ind w:left="3600" w:hanging="360"/>
      </w:pPr>
      <w:rPr>
        <w:rFonts w:ascii="Wingdings" w:hAnsi="Wingdings" w:hint="default"/>
      </w:rPr>
    </w:lvl>
    <w:lvl w:ilvl="5" w:tplc="EADA4EAC" w:tentative="1">
      <w:start w:val="1"/>
      <w:numFmt w:val="bullet"/>
      <w:lvlText w:val=""/>
      <w:lvlJc w:val="left"/>
      <w:pPr>
        <w:tabs>
          <w:tab w:val="num" w:pos="4320"/>
        </w:tabs>
        <w:ind w:left="4320" w:hanging="360"/>
      </w:pPr>
      <w:rPr>
        <w:rFonts w:ascii="Wingdings" w:hAnsi="Wingdings" w:hint="default"/>
      </w:rPr>
    </w:lvl>
    <w:lvl w:ilvl="6" w:tplc="85CA2CDE" w:tentative="1">
      <w:start w:val="1"/>
      <w:numFmt w:val="bullet"/>
      <w:lvlText w:val=""/>
      <w:lvlJc w:val="left"/>
      <w:pPr>
        <w:tabs>
          <w:tab w:val="num" w:pos="5040"/>
        </w:tabs>
        <w:ind w:left="5040" w:hanging="360"/>
      </w:pPr>
      <w:rPr>
        <w:rFonts w:ascii="Wingdings" w:hAnsi="Wingdings" w:hint="default"/>
      </w:rPr>
    </w:lvl>
    <w:lvl w:ilvl="7" w:tplc="8B90A2D0" w:tentative="1">
      <w:start w:val="1"/>
      <w:numFmt w:val="bullet"/>
      <w:lvlText w:val=""/>
      <w:lvlJc w:val="left"/>
      <w:pPr>
        <w:tabs>
          <w:tab w:val="num" w:pos="5760"/>
        </w:tabs>
        <w:ind w:left="5760" w:hanging="360"/>
      </w:pPr>
      <w:rPr>
        <w:rFonts w:ascii="Wingdings" w:hAnsi="Wingdings" w:hint="default"/>
      </w:rPr>
    </w:lvl>
    <w:lvl w:ilvl="8" w:tplc="9F68E960" w:tentative="1">
      <w:start w:val="1"/>
      <w:numFmt w:val="bullet"/>
      <w:lvlText w:val=""/>
      <w:lvlJc w:val="left"/>
      <w:pPr>
        <w:tabs>
          <w:tab w:val="num" w:pos="6480"/>
        </w:tabs>
        <w:ind w:left="6480" w:hanging="360"/>
      </w:pPr>
      <w:rPr>
        <w:rFonts w:ascii="Wingdings" w:hAnsi="Wingdings" w:hint="default"/>
      </w:rPr>
    </w:lvl>
  </w:abstractNum>
  <w:abstractNum w:abstractNumId="18">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0B252C"/>
    <w:multiLevelType w:val="hybridMultilevel"/>
    <w:tmpl w:val="63A8ABCC"/>
    <w:lvl w:ilvl="0" w:tplc="36B636A2">
      <w:start w:val="1"/>
      <w:numFmt w:val="bullet"/>
      <w:lvlText w:val="o"/>
      <w:lvlJc w:val="left"/>
      <w:pPr>
        <w:tabs>
          <w:tab w:val="num" w:pos="720"/>
        </w:tabs>
        <w:ind w:left="720" w:hanging="360"/>
      </w:pPr>
      <w:rPr>
        <w:rFonts w:ascii="Courier New" w:hAnsi="Courier New" w:hint="default"/>
      </w:rPr>
    </w:lvl>
    <w:lvl w:ilvl="1" w:tplc="5420D2F4" w:tentative="1">
      <w:start w:val="1"/>
      <w:numFmt w:val="bullet"/>
      <w:lvlText w:val="o"/>
      <w:lvlJc w:val="left"/>
      <w:pPr>
        <w:tabs>
          <w:tab w:val="num" w:pos="1440"/>
        </w:tabs>
        <w:ind w:left="1440" w:hanging="360"/>
      </w:pPr>
      <w:rPr>
        <w:rFonts w:ascii="Courier New" w:hAnsi="Courier New" w:hint="default"/>
      </w:rPr>
    </w:lvl>
    <w:lvl w:ilvl="2" w:tplc="73D8988A" w:tentative="1">
      <w:start w:val="1"/>
      <w:numFmt w:val="bullet"/>
      <w:lvlText w:val="o"/>
      <w:lvlJc w:val="left"/>
      <w:pPr>
        <w:tabs>
          <w:tab w:val="num" w:pos="2160"/>
        </w:tabs>
        <w:ind w:left="2160" w:hanging="360"/>
      </w:pPr>
      <w:rPr>
        <w:rFonts w:ascii="Courier New" w:hAnsi="Courier New" w:hint="default"/>
      </w:rPr>
    </w:lvl>
    <w:lvl w:ilvl="3" w:tplc="683C3DEE" w:tentative="1">
      <w:start w:val="1"/>
      <w:numFmt w:val="bullet"/>
      <w:lvlText w:val="o"/>
      <w:lvlJc w:val="left"/>
      <w:pPr>
        <w:tabs>
          <w:tab w:val="num" w:pos="2880"/>
        </w:tabs>
        <w:ind w:left="2880" w:hanging="360"/>
      </w:pPr>
      <w:rPr>
        <w:rFonts w:ascii="Courier New" w:hAnsi="Courier New" w:hint="default"/>
      </w:rPr>
    </w:lvl>
    <w:lvl w:ilvl="4" w:tplc="27DEB49A" w:tentative="1">
      <w:start w:val="1"/>
      <w:numFmt w:val="bullet"/>
      <w:lvlText w:val="o"/>
      <w:lvlJc w:val="left"/>
      <w:pPr>
        <w:tabs>
          <w:tab w:val="num" w:pos="3600"/>
        </w:tabs>
        <w:ind w:left="3600" w:hanging="360"/>
      </w:pPr>
      <w:rPr>
        <w:rFonts w:ascii="Courier New" w:hAnsi="Courier New" w:hint="default"/>
      </w:rPr>
    </w:lvl>
    <w:lvl w:ilvl="5" w:tplc="2C146DA2" w:tentative="1">
      <w:start w:val="1"/>
      <w:numFmt w:val="bullet"/>
      <w:lvlText w:val="o"/>
      <w:lvlJc w:val="left"/>
      <w:pPr>
        <w:tabs>
          <w:tab w:val="num" w:pos="4320"/>
        </w:tabs>
        <w:ind w:left="4320" w:hanging="360"/>
      </w:pPr>
      <w:rPr>
        <w:rFonts w:ascii="Courier New" w:hAnsi="Courier New" w:hint="default"/>
      </w:rPr>
    </w:lvl>
    <w:lvl w:ilvl="6" w:tplc="4F8AD98C" w:tentative="1">
      <w:start w:val="1"/>
      <w:numFmt w:val="bullet"/>
      <w:lvlText w:val="o"/>
      <w:lvlJc w:val="left"/>
      <w:pPr>
        <w:tabs>
          <w:tab w:val="num" w:pos="5040"/>
        </w:tabs>
        <w:ind w:left="5040" w:hanging="360"/>
      </w:pPr>
      <w:rPr>
        <w:rFonts w:ascii="Courier New" w:hAnsi="Courier New" w:hint="default"/>
      </w:rPr>
    </w:lvl>
    <w:lvl w:ilvl="7" w:tplc="90C8C13E" w:tentative="1">
      <w:start w:val="1"/>
      <w:numFmt w:val="bullet"/>
      <w:lvlText w:val="o"/>
      <w:lvlJc w:val="left"/>
      <w:pPr>
        <w:tabs>
          <w:tab w:val="num" w:pos="5760"/>
        </w:tabs>
        <w:ind w:left="5760" w:hanging="360"/>
      </w:pPr>
      <w:rPr>
        <w:rFonts w:ascii="Courier New" w:hAnsi="Courier New" w:hint="default"/>
      </w:rPr>
    </w:lvl>
    <w:lvl w:ilvl="8" w:tplc="1CB83110" w:tentative="1">
      <w:start w:val="1"/>
      <w:numFmt w:val="bullet"/>
      <w:lvlText w:val="o"/>
      <w:lvlJc w:val="left"/>
      <w:pPr>
        <w:tabs>
          <w:tab w:val="num" w:pos="6480"/>
        </w:tabs>
        <w:ind w:left="6480" w:hanging="360"/>
      </w:pPr>
      <w:rPr>
        <w:rFonts w:ascii="Courier New" w:hAnsi="Courier New" w:hint="default"/>
      </w:rPr>
    </w:lvl>
  </w:abstractNum>
  <w:abstractNum w:abstractNumId="21">
    <w:nsid w:val="2E885F1A"/>
    <w:multiLevelType w:val="hybridMultilevel"/>
    <w:tmpl w:val="D9005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40630E"/>
    <w:multiLevelType w:val="hybridMultilevel"/>
    <w:tmpl w:val="92D44F7A"/>
    <w:lvl w:ilvl="0" w:tplc="57CE0466">
      <w:start w:val="1"/>
      <w:numFmt w:val="bullet"/>
      <w:lvlText w:val=""/>
      <w:lvlJc w:val="left"/>
      <w:pPr>
        <w:tabs>
          <w:tab w:val="num" w:pos="720"/>
        </w:tabs>
        <w:ind w:left="720" w:hanging="360"/>
      </w:pPr>
      <w:rPr>
        <w:rFonts w:ascii="Wingdings" w:hAnsi="Wingdings" w:hint="default"/>
      </w:rPr>
    </w:lvl>
    <w:lvl w:ilvl="1" w:tplc="11AE8E8A" w:tentative="1">
      <w:start w:val="1"/>
      <w:numFmt w:val="bullet"/>
      <w:lvlText w:val=""/>
      <w:lvlJc w:val="left"/>
      <w:pPr>
        <w:tabs>
          <w:tab w:val="num" w:pos="1440"/>
        </w:tabs>
        <w:ind w:left="1440" w:hanging="360"/>
      </w:pPr>
      <w:rPr>
        <w:rFonts w:ascii="Wingdings" w:hAnsi="Wingdings" w:hint="default"/>
      </w:rPr>
    </w:lvl>
    <w:lvl w:ilvl="2" w:tplc="BBC2745A" w:tentative="1">
      <w:start w:val="1"/>
      <w:numFmt w:val="bullet"/>
      <w:lvlText w:val=""/>
      <w:lvlJc w:val="left"/>
      <w:pPr>
        <w:tabs>
          <w:tab w:val="num" w:pos="2160"/>
        </w:tabs>
        <w:ind w:left="2160" w:hanging="360"/>
      </w:pPr>
      <w:rPr>
        <w:rFonts w:ascii="Wingdings" w:hAnsi="Wingdings" w:hint="default"/>
      </w:rPr>
    </w:lvl>
    <w:lvl w:ilvl="3" w:tplc="03F2AA4C" w:tentative="1">
      <w:start w:val="1"/>
      <w:numFmt w:val="bullet"/>
      <w:lvlText w:val=""/>
      <w:lvlJc w:val="left"/>
      <w:pPr>
        <w:tabs>
          <w:tab w:val="num" w:pos="2880"/>
        </w:tabs>
        <w:ind w:left="2880" w:hanging="360"/>
      </w:pPr>
      <w:rPr>
        <w:rFonts w:ascii="Wingdings" w:hAnsi="Wingdings" w:hint="default"/>
      </w:rPr>
    </w:lvl>
    <w:lvl w:ilvl="4" w:tplc="C682E390" w:tentative="1">
      <w:start w:val="1"/>
      <w:numFmt w:val="bullet"/>
      <w:lvlText w:val=""/>
      <w:lvlJc w:val="left"/>
      <w:pPr>
        <w:tabs>
          <w:tab w:val="num" w:pos="3600"/>
        </w:tabs>
        <w:ind w:left="3600" w:hanging="360"/>
      </w:pPr>
      <w:rPr>
        <w:rFonts w:ascii="Wingdings" w:hAnsi="Wingdings" w:hint="default"/>
      </w:rPr>
    </w:lvl>
    <w:lvl w:ilvl="5" w:tplc="AFA042FE" w:tentative="1">
      <w:start w:val="1"/>
      <w:numFmt w:val="bullet"/>
      <w:lvlText w:val=""/>
      <w:lvlJc w:val="left"/>
      <w:pPr>
        <w:tabs>
          <w:tab w:val="num" w:pos="4320"/>
        </w:tabs>
        <w:ind w:left="4320" w:hanging="360"/>
      </w:pPr>
      <w:rPr>
        <w:rFonts w:ascii="Wingdings" w:hAnsi="Wingdings" w:hint="default"/>
      </w:rPr>
    </w:lvl>
    <w:lvl w:ilvl="6" w:tplc="702CACE4" w:tentative="1">
      <w:start w:val="1"/>
      <w:numFmt w:val="bullet"/>
      <w:lvlText w:val=""/>
      <w:lvlJc w:val="left"/>
      <w:pPr>
        <w:tabs>
          <w:tab w:val="num" w:pos="5040"/>
        </w:tabs>
        <w:ind w:left="5040" w:hanging="360"/>
      </w:pPr>
      <w:rPr>
        <w:rFonts w:ascii="Wingdings" w:hAnsi="Wingdings" w:hint="default"/>
      </w:rPr>
    </w:lvl>
    <w:lvl w:ilvl="7" w:tplc="537E9F5C" w:tentative="1">
      <w:start w:val="1"/>
      <w:numFmt w:val="bullet"/>
      <w:lvlText w:val=""/>
      <w:lvlJc w:val="left"/>
      <w:pPr>
        <w:tabs>
          <w:tab w:val="num" w:pos="5760"/>
        </w:tabs>
        <w:ind w:left="5760" w:hanging="360"/>
      </w:pPr>
      <w:rPr>
        <w:rFonts w:ascii="Wingdings" w:hAnsi="Wingdings" w:hint="default"/>
      </w:rPr>
    </w:lvl>
    <w:lvl w:ilvl="8" w:tplc="17DEE150" w:tentative="1">
      <w:start w:val="1"/>
      <w:numFmt w:val="bullet"/>
      <w:lvlText w:val=""/>
      <w:lvlJc w:val="left"/>
      <w:pPr>
        <w:tabs>
          <w:tab w:val="num" w:pos="6480"/>
        </w:tabs>
        <w:ind w:left="6480" w:hanging="360"/>
      </w:pPr>
      <w:rPr>
        <w:rFonts w:ascii="Wingdings" w:hAnsi="Wingdings" w:hint="default"/>
      </w:rPr>
    </w:lvl>
  </w:abstractNum>
  <w:abstractNum w:abstractNumId="23">
    <w:nsid w:val="332540E4"/>
    <w:multiLevelType w:val="hybridMultilevel"/>
    <w:tmpl w:val="6E089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F31593"/>
    <w:multiLevelType w:val="hybridMultilevel"/>
    <w:tmpl w:val="B33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123293"/>
    <w:multiLevelType w:val="hybridMultilevel"/>
    <w:tmpl w:val="FD3CB554"/>
    <w:lvl w:ilvl="0" w:tplc="E03CE90C">
      <w:start w:val="1"/>
      <w:numFmt w:val="bullet"/>
      <w:lvlText w:val=""/>
      <w:lvlJc w:val="left"/>
      <w:pPr>
        <w:tabs>
          <w:tab w:val="num" w:pos="720"/>
        </w:tabs>
        <w:ind w:left="720" w:hanging="360"/>
      </w:pPr>
      <w:rPr>
        <w:rFonts w:ascii="Wingdings 3" w:hAnsi="Wingdings 3" w:hint="default"/>
      </w:rPr>
    </w:lvl>
    <w:lvl w:ilvl="1" w:tplc="F7C4C7DA" w:tentative="1">
      <w:start w:val="1"/>
      <w:numFmt w:val="bullet"/>
      <w:lvlText w:val=""/>
      <w:lvlJc w:val="left"/>
      <w:pPr>
        <w:tabs>
          <w:tab w:val="num" w:pos="1440"/>
        </w:tabs>
        <w:ind w:left="1440" w:hanging="360"/>
      </w:pPr>
      <w:rPr>
        <w:rFonts w:ascii="Wingdings 3" w:hAnsi="Wingdings 3" w:hint="default"/>
      </w:rPr>
    </w:lvl>
    <w:lvl w:ilvl="2" w:tplc="72B8740C" w:tentative="1">
      <w:start w:val="1"/>
      <w:numFmt w:val="bullet"/>
      <w:lvlText w:val=""/>
      <w:lvlJc w:val="left"/>
      <w:pPr>
        <w:tabs>
          <w:tab w:val="num" w:pos="2160"/>
        </w:tabs>
        <w:ind w:left="2160" w:hanging="360"/>
      </w:pPr>
      <w:rPr>
        <w:rFonts w:ascii="Wingdings 3" w:hAnsi="Wingdings 3" w:hint="default"/>
      </w:rPr>
    </w:lvl>
    <w:lvl w:ilvl="3" w:tplc="4EDA8C78" w:tentative="1">
      <w:start w:val="1"/>
      <w:numFmt w:val="bullet"/>
      <w:lvlText w:val=""/>
      <w:lvlJc w:val="left"/>
      <w:pPr>
        <w:tabs>
          <w:tab w:val="num" w:pos="2880"/>
        </w:tabs>
        <w:ind w:left="2880" w:hanging="360"/>
      </w:pPr>
      <w:rPr>
        <w:rFonts w:ascii="Wingdings 3" w:hAnsi="Wingdings 3" w:hint="default"/>
      </w:rPr>
    </w:lvl>
    <w:lvl w:ilvl="4" w:tplc="37F893A6" w:tentative="1">
      <w:start w:val="1"/>
      <w:numFmt w:val="bullet"/>
      <w:lvlText w:val=""/>
      <w:lvlJc w:val="left"/>
      <w:pPr>
        <w:tabs>
          <w:tab w:val="num" w:pos="3600"/>
        </w:tabs>
        <w:ind w:left="3600" w:hanging="360"/>
      </w:pPr>
      <w:rPr>
        <w:rFonts w:ascii="Wingdings 3" w:hAnsi="Wingdings 3" w:hint="default"/>
      </w:rPr>
    </w:lvl>
    <w:lvl w:ilvl="5" w:tplc="C8C016FC" w:tentative="1">
      <w:start w:val="1"/>
      <w:numFmt w:val="bullet"/>
      <w:lvlText w:val=""/>
      <w:lvlJc w:val="left"/>
      <w:pPr>
        <w:tabs>
          <w:tab w:val="num" w:pos="4320"/>
        </w:tabs>
        <w:ind w:left="4320" w:hanging="360"/>
      </w:pPr>
      <w:rPr>
        <w:rFonts w:ascii="Wingdings 3" w:hAnsi="Wingdings 3" w:hint="default"/>
      </w:rPr>
    </w:lvl>
    <w:lvl w:ilvl="6" w:tplc="0CAC80A0" w:tentative="1">
      <w:start w:val="1"/>
      <w:numFmt w:val="bullet"/>
      <w:lvlText w:val=""/>
      <w:lvlJc w:val="left"/>
      <w:pPr>
        <w:tabs>
          <w:tab w:val="num" w:pos="5040"/>
        </w:tabs>
        <w:ind w:left="5040" w:hanging="360"/>
      </w:pPr>
      <w:rPr>
        <w:rFonts w:ascii="Wingdings 3" w:hAnsi="Wingdings 3" w:hint="default"/>
      </w:rPr>
    </w:lvl>
    <w:lvl w:ilvl="7" w:tplc="DB166176" w:tentative="1">
      <w:start w:val="1"/>
      <w:numFmt w:val="bullet"/>
      <w:lvlText w:val=""/>
      <w:lvlJc w:val="left"/>
      <w:pPr>
        <w:tabs>
          <w:tab w:val="num" w:pos="5760"/>
        </w:tabs>
        <w:ind w:left="5760" w:hanging="360"/>
      </w:pPr>
      <w:rPr>
        <w:rFonts w:ascii="Wingdings 3" w:hAnsi="Wingdings 3" w:hint="default"/>
      </w:rPr>
    </w:lvl>
    <w:lvl w:ilvl="8" w:tplc="8172773C" w:tentative="1">
      <w:start w:val="1"/>
      <w:numFmt w:val="bullet"/>
      <w:lvlText w:val=""/>
      <w:lvlJc w:val="left"/>
      <w:pPr>
        <w:tabs>
          <w:tab w:val="num" w:pos="6480"/>
        </w:tabs>
        <w:ind w:left="6480" w:hanging="360"/>
      </w:pPr>
      <w:rPr>
        <w:rFonts w:ascii="Wingdings 3" w:hAnsi="Wingdings 3" w:hint="default"/>
      </w:rPr>
    </w:lvl>
  </w:abstractNum>
  <w:abstractNum w:abstractNumId="26">
    <w:nsid w:val="3825319D"/>
    <w:multiLevelType w:val="hybridMultilevel"/>
    <w:tmpl w:val="37866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F18413E"/>
    <w:multiLevelType w:val="hybridMultilevel"/>
    <w:tmpl w:val="7870DB9E"/>
    <w:lvl w:ilvl="0" w:tplc="D658A840">
      <w:start w:val="1"/>
      <w:numFmt w:val="bullet"/>
      <w:lvlText w:val="»"/>
      <w:lvlJc w:val="left"/>
      <w:pPr>
        <w:tabs>
          <w:tab w:val="num" w:pos="720"/>
        </w:tabs>
        <w:ind w:left="720" w:hanging="360"/>
      </w:pPr>
      <w:rPr>
        <w:rFonts w:ascii="Arial" w:hAnsi="Arial" w:hint="default"/>
      </w:rPr>
    </w:lvl>
    <w:lvl w:ilvl="1" w:tplc="1BE475DC" w:tentative="1">
      <w:start w:val="1"/>
      <w:numFmt w:val="bullet"/>
      <w:lvlText w:val="»"/>
      <w:lvlJc w:val="left"/>
      <w:pPr>
        <w:tabs>
          <w:tab w:val="num" w:pos="1440"/>
        </w:tabs>
        <w:ind w:left="1440" w:hanging="360"/>
      </w:pPr>
      <w:rPr>
        <w:rFonts w:ascii="Arial" w:hAnsi="Arial" w:hint="default"/>
      </w:rPr>
    </w:lvl>
    <w:lvl w:ilvl="2" w:tplc="D786D472" w:tentative="1">
      <w:start w:val="1"/>
      <w:numFmt w:val="bullet"/>
      <w:lvlText w:val="»"/>
      <w:lvlJc w:val="left"/>
      <w:pPr>
        <w:tabs>
          <w:tab w:val="num" w:pos="2160"/>
        </w:tabs>
        <w:ind w:left="2160" w:hanging="360"/>
      </w:pPr>
      <w:rPr>
        <w:rFonts w:ascii="Arial" w:hAnsi="Arial" w:hint="default"/>
      </w:rPr>
    </w:lvl>
    <w:lvl w:ilvl="3" w:tplc="DAA47910" w:tentative="1">
      <w:start w:val="1"/>
      <w:numFmt w:val="bullet"/>
      <w:lvlText w:val="»"/>
      <w:lvlJc w:val="left"/>
      <w:pPr>
        <w:tabs>
          <w:tab w:val="num" w:pos="2880"/>
        </w:tabs>
        <w:ind w:left="2880" w:hanging="360"/>
      </w:pPr>
      <w:rPr>
        <w:rFonts w:ascii="Arial" w:hAnsi="Arial" w:hint="default"/>
      </w:rPr>
    </w:lvl>
    <w:lvl w:ilvl="4" w:tplc="F22895B2" w:tentative="1">
      <w:start w:val="1"/>
      <w:numFmt w:val="bullet"/>
      <w:lvlText w:val="»"/>
      <w:lvlJc w:val="left"/>
      <w:pPr>
        <w:tabs>
          <w:tab w:val="num" w:pos="3600"/>
        </w:tabs>
        <w:ind w:left="3600" w:hanging="360"/>
      </w:pPr>
      <w:rPr>
        <w:rFonts w:ascii="Arial" w:hAnsi="Arial" w:hint="default"/>
      </w:rPr>
    </w:lvl>
    <w:lvl w:ilvl="5" w:tplc="4E3CCE86" w:tentative="1">
      <w:start w:val="1"/>
      <w:numFmt w:val="bullet"/>
      <w:lvlText w:val="»"/>
      <w:lvlJc w:val="left"/>
      <w:pPr>
        <w:tabs>
          <w:tab w:val="num" w:pos="4320"/>
        </w:tabs>
        <w:ind w:left="4320" w:hanging="360"/>
      </w:pPr>
      <w:rPr>
        <w:rFonts w:ascii="Arial" w:hAnsi="Arial" w:hint="default"/>
      </w:rPr>
    </w:lvl>
    <w:lvl w:ilvl="6" w:tplc="646CE550" w:tentative="1">
      <w:start w:val="1"/>
      <w:numFmt w:val="bullet"/>
      <w:lvlText w:val="»"/>
      <w:lvlJc w:val="left"/>
      <w:pPr>
        <w:tabs>
          <w:tab w:val="num" w:pos="5040"/>
        </w:tabs>
        <w:ind w:left="5040" w:hanging="360"/>
      </w:pPr>
      <w:rPr>
        <w:rFonts w:ascii="Arial" w:hAnsi="Arial" w:hint="default"/>
      </w:rPr>
    </w:lvl>
    <w:lvl w:ilvl="7" w:tplc="E70A0D5E" w:tentative="1">
      <w:start w:val="1"/>
      <w:numFmt w:val="bullet"/>
      <w:lvlText w:val="»"/>
      <w:lvlJc w:val="left"/>
      <w:pPr>
        <w:tabs>
          <w:tab w:val="num" w:pos="5760"/>
        </w:tabs>
        <w:ind w:left="5760" w:hanging="360"/>
      </w:pPr>
      <w:rPr>
        <w:rFonts w:ascii="Arial" w:hAnsi="Arial" w:hint="default"/>
      </w:rPr>
    </w:lvl>
    <w:lvl w:ilvl="8" w:tplc="424EF584" w:tentative="1">
      <w:start w:val="1"/>
      <w:numFmt w:val="bullet"/>
      <w:lvlText w:val="»"/>
      <w:lvlJc w:val="left"/>
      <w:pPr>
        <w:tabs>
          <w:tab w:val="num" w:pos="6480"/>
        </w:tabs>
        <w:ind w:left="6480" w:hanging="360"/>
      </w:pPr>
      <w:rPr>
        <w:rFonts w:ascii="Arial" w:hAnsi="Arial" w:hint="default"/>
      </w:rPr>
    </w:lvl>
  </w:abstractNum>
  <w:abstractNum w:abstractNumId="28">
    <w:nsid w:val="4C465611"/>
    <w:multiLevelType w:val="hybridMultilevel"/>
    <w:tmpl w:val="1EAE7150"/>
    <w:lvl w:ilvl="0" w:tplc="90881544">
      <w:start w:val="1"/>
      <w:numFmt w:val="bullet"/>
      <w:lvlText w:val="•"/>
      <w:lvlJc w:val="left"/>
      <w:pPr>
        <w:tabs>
          <w:tab w:val="num" w:pos="720"/>
        </w:tabs>
        <w:ind w:left="720" w:hanging="360"/>
      </w:pPr>
      <w:rPr>
        <w:rFonts w:ascii="Arial" w:hAnsi="Arial" w:hint="default"/>
      </w:rPr>
    </w:lvl>
    <w:lvl w:ilvl="1" w:tplc="4C70CDC0">
      <w:start w:val="1"/>
      <w:numFmt w:val="bullet"/>
      <w:lvlText w:val="•"/>
      <w:lvlJc w:val="left"/>
      <w:pPr>
        <w:tabs>
          <w:tab w:val="num" w:pos="1440"/>
        </w:tabs>
        <w:ind w:left="1440" w:hanging="360"/>
      </w:pPr>
      <w:rPr>
        <w:rFonts w:ascii="Arial" w:hAnsi="Arial" w:hint="default"/>
      </w:rPr>
    </w:lvl>
    <w:lvl w:ilvl="2" w:tplc="BF7682CE" w:tentative="1">
      <w:start w:val="1"/>
      <w:numFmt w:val="bullet"/>
      <w:lvlText w:val="•"/>
      <w:lvlJc w:val="left"/>
      <w:pPr>
        <w:tabs>
          <w:tab w:val="num" w:pos="2160"/>
        </w:tabs>
        <w:ind w:left="2160" w:hanging="360"/>
      </w:pPr>
      <w:rPr>
        <w:rFonts w:ascii="Arial" w:hAnsi="Arial" w:hint="default"/>
      </w:rPr>
    </w:lvl>
    <w:lvl w:ilvl="3" w:tplc="A7D8AA5C" w:tentative="1">
      <w:start w:val="1"/>
      <w:numFmt w:val="bullet"/>
      <w:lvlText w:val="•"/>
      <w:lvlJc w:val="left"/>
      <w:pPr>
        <w:tabs>
          <w:tab w:val="num" w:pos="2880"/>
        </w:tabs>
        <w:ind w:left="2880" w:hanging="360"/>
      </w:pPr>
      <w:rPr>
        <w:rFonts w:ascii="Arial" w:hAnsi="Arial" w:hint="default"/>
      </w:rPr>
    </w:lvl>
    <w:lvl w:ilvl="4" w:tplc="221866FE" w:tentative="1">
      <w:start w:val="1"/>
      <w:numFmt w:val="bullet"/>
      <w:lvlText w:val="•"/>
      <w:lvlJc w:val="left"/>
      <w:pPr>
        <w:tabs>
          <w:tab w:val="num" w:pos="3600"/>
        </w:tabs>
        <w:ind w:left="3600" w:hanging="360"/>
      </w:pPr>
      <w:rPr>
        <w:rFonts w:ascii="Arial" w:hAnsi="Arial" w:hint="default"/>
      </w:rPr>
    </w:lvl>
    <w:lvl w:ilvl="5" w:tplc="929879D0" w:tentative="1">
      <w:start w:val="1"/>
      <w:numFmt w:val="bullet"/>
      <w:lvlText w:val="•"/>
      <w:lvlJc w:val="left"/>
      <w:pPr>
        <w:tabs>
          <w:tab w:val="num" w:pos="4320"/>
        </w:tabs>
        <w:ind w:left="4320" w:hanging="360"/>
      </w:pPr>
      <w:rPr>
        <w:rFonts w:ascii="Arial" w:hAnsi="Arial" w:hint="default"/>
      </w:rPr>
    </w:lvl>
    <w:lvl w:ilvl="6" w:tplc="839678C2" w:tentative="1">
      <w:start w:val="1"/>
      <w:numFmt w:val="bullet"/>
      <w:lvlText w:val="•"/>
      <w:lvlJc w:val="left"/>
      <w:pPr>
        <w:tabs>
          <w:tab w:val="num" w:pos="5040"/>
        </w:tabs>
        <w:ind w:left="5040" w:hanging="360"/>
      </w:pPr>
      <w:rPr>
        <w:rFonts w:ascii="Arial" w:hAnsi="Arial" w:hint="default"/>
      </w:rPr>
    </w:lvl>
    <w:lvl w:ilvl="7" w:tplc="397840CE" w:tentative="1">
      <w:start w:val="1"/>
      <w:numFmt w:val="bullet"/>
      <w:lvlText w:val="•"/>
      <w:lvlJc w:val="left"/>
      <w:pPr>
        <w:tabs>
          <w:tab w:val="num" w:pos="5760"/>
        </w:tabs>
        <w:ind w:left="5760" w:hanging="360"/>
      </w:pPr>
      <w:rPr>
        <w:rFonts w:ascii="Arial" w:hAnsi="Arial" w:hint="default"/>
      </w:rPr>
    </w:lvl>
    <w:lvl w:ilvl="8" w:tplc="A8402A68" w:tentative="1">
      <w:start w:val="1"/>
      <w:numFmt w:val="bullet"/>
      <w:lvlText w:val="•"/>
      <w:lvlJc w:val="left"/>
      <w:pPr>
        <w:tabs>
          <w:tab w:val="num" w:pos="6480"/>
        </w:tabs>
        <w:ind w:left="6480" w:hanging="360"/>
      </w:pPr>
      <w:rPr>
        <w:rFonts w:ascii="Arial" w:hAnsi="Arial" w:hint="default"/>
      </w:rPr>
    </w:lvl>
  </w:abstractNum>
  <w:abstractNum w:abstractNumId="29">
    <w:nsid w:val="54701D19"/>
    <w:multiLevelType w:val="hybridMultilevel"/>
    <w:tmpl w:val="F3024746"/>
    <w:lvl w:ilvl="0" w:tplc="DFA07FB2">
      <w:start w:val="1"/>
      <w:numFmt w:val="bullet"/>
      <w:lvlText w:val="•"/>
      <w:lvlJc w:val="left"/>
      <w:pPr>
        <w:tabs>
          <w:tab w:val="num" w:pos="720"/>
        </w:tabs>
        <w:ind w:left="720" w:hanging="360"/>
      </w:pPr>
      <w:rPr>
        <w:rFonts w:ascii="Arial" w:hAnsi="Arial" w:hint="default"/>
      </w:rPr>
    </w:lvl>
    <w:lvl w:ilvl="1" w:tplc="63926174">
      <w:numFmt w:val="bullet"/>
      <w:lvlText w:val="–"/>
      <w:lvlJc w:val="left"/>
      <w:pPr>
        <w:tabs>
          <w:tab w:val="num" w:pos="1440"/>
        </w:tabs>
        <w:ind w:left="1440" w:hanging="360"/>
      </w:pPr>
      <w:rPr>
        <w:rFonts w:ascii="Arial" w:hAnsi="Arial" w:hint="default"/>
      </w:rPr>
    </w:lvl>
    <w:lvl w:ilvl="2" w:tplc="324AA75C">
      <w:numFmt w:val="bullet"/>
      <w:lvlText w:val="•"/>
      <w:lvlJc w:val="left"/>
      <w:pPr>
        <w:tabs>
          <w:tab w:val="num" w:pos="2160"/>
        </w:tabs>
        <w:ind w:left="2160" w:hanging="360"/>
      </w:pPr>
      <w:rPr>
        <w:rFonts w:ascii="Arial" w:hAnsi="Arial" w:hint="default"/>
      </w:rPr>
    </w:lvl>
    <w:lvl w:ilvl="3" w:tplc="0450AF36" w:tentative="1">
      <w:start w:val="1"/>
      <w:numFmt w:val="bullet"/>
      <w:lvlText w:val="•"/>
      <w:lvlJc w:val="left"/>
      <w:pPr>
        <w:tabs>
          <w:tab w:val="num" w:pos="2880"/>
        </w:tabs>
        <w:ind w:left="2880" w:hanging="360"/>
      </w:pPr>
      <w:rPr>
        <w:rFonts w:ascii="Arial" w:hAnsi="Arial" w:hint="default"/>
      </w:rPr>
    </w:lvl>
    <w:lvl w:ilvl="4" w:tplc="58FADF06" w:tentative="1">
      <w:start w:val="1"/>
      <w:numFmt w:val="bullet"/>
      <w:lvlText w:val="•"/>
      <w:lvlJc w:val="left"/>
      <w:pPr>
        <w:tabs>
          <w:tab w:val="num" w:pos="3600"/>
        </w:tabs>
        <w:ind w:left="3600" w:hanging="360"/>
      </w:pPr>
      <w:rPr>
        <w:rFonts w:ascii="Arial" w:hAnsi="Arial" w:hint="default"/>
      </w:rPr>
    </w:lvl>
    <w:lvl w:ilvl="5" w:tplc="644E7A56" w:tentative="1">
      <w:start w:val="1"/>
      <w:numFmt w:val="bullet"/>
      <w:lvlText w:val="•"/>
      <w:lvlJc w:val="left"/>
      <w:pPr>
        <w:tabs>
          <w:tab w:val="num" w:pos="4320"/>
        </w:tabs>
        <w:ind w:left="4320" w:hanging="360"/>
      </w:pPr>
      <w:rPr>
        <w:rFonts w:ascii="Arial" w:hAnsi="Arial" w:hint="default"/>
      </w:rPr>
    </w:lvl>
    <w:lvl w:ilvl="6" w:tplc="9BDA8522" w:tentative="1">
      <w:start w:val="1"/>
      <w:numFmt w:val="bullet"/>
      <w:lvlText w:val="•"/>
      <w:lvlJc w:val="left"/>
      <w:pPr>
        <w:tabs>
          <w:tab w:val="num" w:pos="5040"/>
        </w:tabs>
        <w:ind w:left="5040" w:hanging="360"/>
      </w:pPr>
      <w:rPr>
        <w:rFonts w:ascii="Arial" w:hAnsi="Arial" w:hint="default"/>
      </w:rPr>
    </w:lvl>
    <w:lvl w:ilvl="7" w:tplc="F5B6E3F4" w:tentative="1">
      <w:start w:val="1"/>
      <w:numFmt w:val="bullet"/>
      <w:lvlText w:val="•"/>
      <w:lvlJc w:val="left"/>
      <w:pPr>
        <w:tabs>
          <w:tab w:val="num" w:pos="5760"/>
        </w:tabs>
        <w:ind w:left="5760" w:hanging="360"/>
      </w:pPr>
      <w:rPr>
        <w:rFonts w:ascii="Arial" w:hAnsi="Arial" w:hint="default"/>
      </w:rPr>
    </w:lvl>
    <w:lvl w:ilvl="8" w:tplc="ADEE1988" w:tentative="1">
      <w:start w:val="1"/>
      <w:numFmt w:val="bullet"/>
      <w:lvlText w:val="•"/>
      <w:lvlJc w:val="left"/>
      <w:pPr>
        <w:tabs>
          <w:tab w:val="num" w:pos="6480"/>
        </w:tabs>
        <w:ind w:left="6480" w:hanging="360"/>
      </w:pPr>
      <w:rPr>
        <w:rFonts w:ascii="Arial" w:hAnsi="Arial" w:hint="default"/>
      </w:rPr>
    </w:lvl>
  </w:abstractNum>
  <w:abstractNum w:abstractNumId="30">
    <w:nsid w:val="56BE0C54"/>
    <w:multiLevelType w:val="hybridMultilevel"/>
    <w:tmpl w:val="41F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03A0E"/>
    <w:multiLevelType w:val="hybridMultilevel"/>
    <w:tmpl w:val="6EB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582A9B"/>
    <w:multiLevelType w:val="hybridMultilevel"/>
    <w:tmpl w:val="789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EA2070"/>
    <w:multiLevelType w:val="hybridMultilevel"/>
    <w:tmpl w:val="01A8C7F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6B40D3A2">
      <w:start w:val="1"/>
      <w:numFmt w:val="decimal"/>
      <w:lvlText w:val="%3."/>
      <w:lvlJc w:val="left"/>
      <w:pPr>
        <w:ind w:left="1800" w:hanging="360"/>
      </w:pPr>
      <w:rPr>
        <w:rFonts w:hint="default"/>
      </w:rPr>
    </w:lvl>
    <w:lvl w:ilvl="3" w:tplc="5A667E6A">
      <w:start w:val="1"/>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F5D376C"/>
    <w:multiLevelType w:val="hybridMultilevel"/>
    <w:tmpl w:val="F6C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36">
    <w:nsid w:val="602E051C"/>
    <w:multiLevelType w:val="hybridMultilevel"/>
    <w:tmpl w:val="19DEA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772420"/>
    <w:multiLevelType w:val="hybridMultilevel"/>
    <w:tmpl w:val="41EA1010"/>
    <w:lvl w:ilvl="0" w:tplc="751E75C2">
      <w:start w:val="1"/>
      <w:numFmt w:val="bullet"/>
      <w:lvlText w:val=""/>
      <w:lvlJc w:val="left"/>
      <w:pPr>
        <w:tabs>
          <w:tab w:val="num" w:pos="720"/>
        </w:tabs>
        <w:ind w:left="720" w:hanging="360"/>
      </w:pPr>
      <w:rPr>
        <w:rFonts w:ascii="Wingdings" w:hAnsi="Wingdings" w:hint="default"/>
      </w:rPr>
    </w:lvl>
    <w:lvl w:ilvl="1" w:tplc="12EC569E" w:tentative="1">
      <w:start w:val="1"/>
      <w:numFmt w:val="bullet"/>
      <w:lvlText w:val=""/>
      <w:lvlJc w:val="left"/>
      <w:pPr>
        <w:tabs>
          <w:tab w:val="num" w:pos="1440"/>
        </w:tabs>
        <w:ind w:left="1440" w:hanging="360"/>
      </w:pPr>
      <w:rPr>
        <w:rFonts w:ascii="Wingdings" w:hAnsi="Wingdings" w:hint="default"/>
      </w:rPr>
    </w:lvl>
    <w:lvl w:ilvl="2" w:tplc="435ED854" w:tentative="1">
      <w:start w:val="1"/>
      <w:numFmt w:val="bullet"/>
      <w:lvlText w:val=""/>
      <w:lvlJc w:val="left"/>
      <w:pPr>
        <w:tabs>
          <w:tab w:val="num" w:pos="2160"/>
        </w:tabs>
        <w:ind w:left="2160" w:hanging="360"/>
      </w:pPr>
      <w:rPr>
        <w:rFonts w:ascii="Wingdings" w:hAnsi="Wingdings" w:hint="default"/>
      </w:rPr>
    </w:lvl>
    <w:lvl w:ilvl="3" w:tplc="C9428604" w:tentative="1">
      <w:start w:val="1"/>
      <w:numFmt w:val="bullet"/>
      <w:lvlText w:val=""/>
      <w:lvlJc w:val="left"/>
      <w:pPr>
        <w:tabs>
          <w:tab w:val="num" w:pos="2880"/>
        </w:tabs>
        <w:ind w:left="2880" w:hanging="360"/>
      </w:pPr>
      <w:rPr>
        <w:rFonts w:ascii="Wingdings" w:hAnsi="Wingdings" w:hint="default"/>
      </w:rPr>
    </w:lvl>
    <w:lvl w:ilvl="4" w:tplc="AB80FF7C" w:tentative="1">
      <w:start w:val="1"/>
      <w:numFmt w:val="bullet"/>
      <w:lvlText w:val=""/>
      <w:lvlJc w:val="left"/>
      <w:pPr>
        <w:tabs>
          <w:tab w:val="num" w:pos="3600"/>
        </w:tabs>
        <w:ind w:left="3600" w:hanging="360"/>
      </w:pPr>
      <w:rPr>
        <w:rFonts w:ascii="Wingdings" w:hAnsi="Wingdings" w:hint="default"/>
      </w:rPr>
    </w:lvl>
    <w:lvl w:ilvl="5" w:tplc="EA9E41F2" w:tentative="1">
      <w:start w:val="1"/>
      <w:numFmt w:val="bullet"/>
      <w:lvlText w:val=""/>
      <w:lvlJc w:val="left"/>
      <w:pPr>
        <w:tabs>
          <w:tab w:val="num" w:pos="4320"/>
        </w:tabs>
        <w:ind w:left="4320" w:hanging="360"/>
      </w:pPr>
      <w:rPr>
        <w:rFonts w:ascii="Wingdings" w:hAnsi="Wingdings" w:hint="default"/>
      </w:rPr>
    </w:lvl>
    <w:lvl w:ilvl="6" w:tplc="6B82DDCA" w:tentative="1">
      <w:start w:val="1"/>
      <w:numFmt w:val="bullet"/>
      <w:lvlText w:val=""/>
      <w:lvlJc w:val="left"/>
      <w:pPr>
        <w:tabs>
          <w:tab w:val="num" w:pos="5040"/>
        </w:tabs>
        <w:ind w:left="5040" w:hanging="360"/>
      </w:pPr>
      <w:rPr>
        <w:rFonts w:ascii="Wingdings" w:hAnsi="Wingdings" w:hint="default"/>
      </w:rPr>
    </w:lvl>
    <w:lvl w:ilvl="7" w:tplc="49465F6E" w:tentative="1">
      <w:start w:val="1"/>
      <w:numFmt w:val="bullet"/>
      <w:lvlText w:val=""/>
      <w:lvlJc w:val="left"/>
      <w:pPr>
        <w:tabs>
          <w:tab w:val="num" w:pos="5760"/>
        </w:tabs>
        <w:ind w:left="5760" w:hanging="360"/>
      </w:pPr>
      <w:rPr>
        <w:rFonts w:ascii="Wingdings" w:hAnsi="Wingdings" w:hint="default"/>
      </w:rPr>
    </w:lvl>
    <w:lvl w:ilvl="8" w:tplc="949E193C" w:tentative="1">
      <w:start w:val="1"/>
      <w:numFmt w:val="bullet"/>
      <w:lvlText w:val=""/>
      <w:lvlJc w:val="left"/>
      <w:pPr>
        <w:tabs>
          <w:tab w:val="num" w:pos="6480"/>
        </w:tabs>
        <w:ind w:left="6480" w:hanging="360"/>
      </w:pPr>
      <w:rPr>
        <w:rFonts w:ascii="Wingdings" w:hAnsi="Wingdings" w:hint="default"/>
      </w:rPr>
    </w:lvl>
  </w:abstractNum>
  <w:abstractNum w:abstractNumId="38">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3382C"/>
    <w:multiLevelType w:val="hybridMultilevel"/>
    <w:tmpl w:val="CE26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CE6C14"/>
    <w:multiLevelType w:val="hybridMultilevel"/>
    <w:tmpl w:val="8316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95D72"/>
    <w:multiLevelType w:val="hybridMultilevel"/>
    <w:tmpl w:val="6E9CC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4">
    <w:nsid w:val="7BC3455C"/>
    <w:multiLevelType w:val="hybridMultilevel"/>
    <w:tmpl w:val="DA2C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42"/>
  </w:num>
  <w:num w:numId="4">
    <w:abstractNumId w:val="36"/>
  </w:num>
  <w:num w:numId="5">
    <w:abstractNumId w:val="12"/>
  </w:num>
  <w:num w:numId="6">
    <w:abstractNumId w:val="43"/>
  </w:num>
  <w:num w:numId="7">
    <w:abstractNumId w:val="45"/>
  </w:num>
  <w:num w:numId="8">
    <w:abstractNumId w:val="35"/>
  </w:num>
  <w:num w:numId="9">
    <w:abstractNumId w:val="6"/>
  </w:num>
  <w:num w:numId="10">
    <w:abstractNumId w:val="34"/>
  </w:num>
  <w:num w:numId="11">
    <w:abstractNumId w:val="19"/>
  </w:num>
  <w:num w:numId="12">
    <w:abstractNumId w:val="30"/>
  </w:num>
  <w:num w:numId="13">
    <w:abstractNumId w:val="21"/>
  </w:num>
  <w:num w:numId="14">
    <w:abstractNumId w:val="7"/>
  </w:num>
  <w:num w:numId="15">
    <w:abstractNumId w:val="31"/>
  </w:num>
  <w:num w:numId="16">
    <w:abstractNumId w:val="32"/>
  </w:num>
  <w:num w:numId="17">
    <w:abstractNumId w:val="24"/>
  </w:num>
  <w:num w:numId="18">
    <w:abstractNumId w:val="23"/>
  </w:num>
  <w:num w:numId="19">
    <w:abstractNumId w:val="13"/>
  </w:num>
  <w:num w:numId="20">
    <w:abstractNumId w:val="26"/>
  </w:num>
  <w:num w:numId="21">
    <w:abstractNumId w:val="41"/>
  </w:num>
  <w:num w:numId="22">
    <w:abstractNumId w:val="29"/>
  </w:num>
  <w:num w:numId="23">
    <w:abstractNumId w:val="28"/>
  </w:num>
  <w:num w:numId="24">
    <w:abstractNumId w:val="2"/>
  </w:num>
  <w:num w:numId="25">
    <w:abstractNumId w:val="27"/>
  </w:num>
  <w:num w:numId="26">
    <w:abstractNumId w:val="5"/>
  </w:num>
  <w:num w:numId="27">
    <w:abstractNumId w:val="11"/>
  </w:num>
  <w:num w:numId="28">
    <w:abstractNumId w:val="20"/>
  </w:num>
  <w:num w:numId="29">
    <w:abstractNumId w:val="15"/>
  </w:num>
  <w:num w:numId="30">
    <w:abstractNumId w:val="25"/>
  </w:num>
  <w:num w:numId="31">
    <w:abstractNumId w:val="22"/>
  </w:num>
  <w:num w:numId="32">
    <w:abstractNumId w:val="16"/>
  </w:num>
  <w:num w:numId="33">
    <w:abstractNumId w:val="37"/>
  </w:num>
  <w:num w:numId="34">
    <w:abstractNumId w:val="0"/>
  </w:num>
  <w:num w:numId="35">
    <w:abstractNumId w:val="17"/>
  </w:num>
  <w:num w:numId="36">
    <w:abstractNumId w:val="44"/>
  </w:num>
  <w:num w:numId="37">
    <w:abstractNumId w:val="40"/>
  </w:num>
  <w:num w:numId="38">
    <w:abstractNumId w:val="10"/>
  </w:num>
  <w:num w:numId="39">
    <w:abstractNumId w:val="14"/>
  </w:num>
  <w:num w:numId="40">
    <w:abstractNumId w:val="33"/>
  </w:num>
  <w:num w:numId="41">
    <w:abstractNumId w:val="1"/>
  </w:num>
  <w:num w:numId="42">
    <w:abstractNumId w:val="3"/>
  </w:num>
  <w:num w:numId="43">
    <w:abstractNumId w:val="39"/>
  </w:num>
  <w:num w:numId="44">
    <w:abstractNumId w:val="38"/>
  </w:num>
  <w:num w:numId="45">
    <w:abstractNumId w:val="8"/>
  </w:num>
  <w:num w:numId="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CF"/>
    <w:rsid w:val="0000184C"/>
    <w:rsid w:val="00005B46"/>
    <w:rsid w:val="0000736E"/>
    <w:rsid w:val="000166A3"/>
    <w:rsid w:val="000210B4"/>
    <w:rsid w:val="0002514C"/>
    <w:rsid w:val="00026C73"/>
    <w:rsid w:val="00032479"/>
    <w:rsid w:val="00032B5C"/>
    <w:rsid w:val="000331B6"/>
    <w:rsid w:val="00034595"/>
    <w:rsid w:val="00035C5A"/>
    <w:rsid w:val="00043BA1"/>
    <w:rsid w:val="00052942"/>
    <w:rsid w:val="00052F3D"/>
    <w:rsid w:val="00055DD8"/>
    <w:rsid w:val="00056BE0"/>
    <w:rsid w:val="000629C1"/>
    <w:rsid w:val="00066E97"/>
    <w:rsid w:val="0007089B"/>
    <w:rsid w:val="00070A31"/>
    <w:rsid w:val="0007671D"/>
    <w:rsid w:val="000838E3"/>
    <w:rsid w:val="00083A91"/>
    <w:rsid w:val="000840E1"/>
    <w:rsid w:val="0009202B"/>
    <w:rsid w:val="000A26E0"/>
    <w:rsid w:val="000A6BDC"/>
    <w:rsid w:val="000B1EC6"/>
    <w:rsid w:val="000B5DD5"/>
    <w:rsid w:val="000B5F00"/>
    <w:rsid w:val="000C2C74"/>
    <w:rsid w:val="000C6C9F"/>
    <w:rsid w:val="000C7768"/>
    <w:rsid w:val="000D275A"/>
    <w:rsid w:val="000D61FB"/>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6E1A"/>
    <w:rsid w:val="00127C59"/>
    <w:rsid w:val="00130790"/>
    <w:rsid w:val="00135A9A"/>
    <w:rsid w:val="00136532"/>
    <w:rsid w:val="00136F63"/>
    <w:rsid w:val="001375DE"/>
    <w:rsid w:val="00140520"/>
    <w:rsid w:val="00151AB9"/>
    <w:rsid w:val="00152B07"/>
    <w:rsid w:val="001532A8"/>
    <w:rsid w:val="001577B3"/>
    <w:rsid w:val="00161AAC"/>
    <w:rsid w:val="00174634"/>
    <w:rsid w:val="00176D9D"/>
    <w:rsid w:val="00177F3E"/>
    <w:rsid w:val="00183BAB"/>
    <w:rsid w:val="00187FF3"/>
    <w:rsid w:val="00193EB3"/>
    <w:rsid w:val="0019593A"/>
    <w:rsid w:val="001978F0"/>
    <w:rsid w:val="00197E22"/>
    <w:rsid w:val="001C0C6D"/>
    <w:rsid w:val="001C1A7E"/>
    <w:rsid w:val="001D6AF0"/>
    <w:rsid w:val="001D6D43"/>
    <w:rsid w:val="001E0C90"/>
    <w:rsid w:val="001E33E9"/>
    <w:rsid w:val="001E3D0F"/>
    <w:rsid w:val="001E6EF5"/>
    <w:rsid w:val="001E78AE"/>
    <w:rsid w:val="001E7AB4"/>
    <w:rsid w:val="001E7C34"/>
    <w:rsid w:val="001F27C5"/>
    <w:rsid w:val="001F474D"/>
    <w:rsid w:val="00203C3F"/>
    <w:rsid w:val="00205313"/>
    <w:rsid w:val="002106AB"/>
    <w:rsid w:val="002132D6"/>
    <w:rsid w:val="00224788"/>
    <w:rsid w:val="00225203"/>
    <w:rsid w:val="002279CC"/>
    <w:rsid w:val="00230F04"/>
    <w:rsid w:val="00233CEA"/>
    <w:rsid w:val="00233FB9"/>
    <w:rsid w:val="002341FD"/>
    <w:rsid w:val="002344DD"/>
    <w:rsid w:val="002414FD"/>
    <w:rsid w:val="00242F1F"/>
    <w:rsid w:val="00244647"/>
    <w:rsid w:val="002531F2"/>
    <w:rsid w:val="00257C9F"/>
    <w:rsid w:val="002600A9"/>
    <w:rsid w:val="00261C86"/>
    <w:rsid w:val="002623BF"/>
    <w:rsid w:val="00263A98"/>
    <w:rsid w:val="00263C7A"/>
    <w:rsid w:val="00264A4A"/>
    <w:rsid w:val="00264C51"/>
    <w:rsid w:val="002671B6"/>
    <w:rsid w:val="00271418"/>
    <w:rsid w:val="00272414"/>
    <w:rsid w:val="002727A6"/>
    <w:rsid w:val="00274D52"/>
    <w:rsid w:val="00283A66"/>
    <w:rsid w:val="00292286"/>
    <w:rsid w:val="00297554"/>
    <w:rsid w:val="002B02F1"/>
    <w:rsid w:val="002B139F"/>
    <w:rsid w:val="002B583E"/>
    <w:rsid w:val="002C3A23"/>
    <w:rsid w:val="002C5AE8"/>
    <w:rsid w:val="002C64AF"/>
    <w:rsid w:val="002D1A35"/>
    <w:rsid w:val="002D4A90"/>
    <w:rsid w:val="002D4B7F"/>
    <w:rsid w:val="002E3D7D"/>
    <w:rsid w:val="002F7AA0"/>
    <w:rsid w:val="00301F96"/>
    <w:rsid w:val="00304158"/>
    <w:rsid w:val="0030419B"/>
    <w:rsid w:val="00304E13"/>
    <w:rsid w:val="00306A70"/>
    <w:rsid w:val="0031239A"/>
    <w:rsid w:val="00313A8E"/>
    <w:rsid w:val="00314013"/>
    <w:rsid w:val="00317311"/>
    <w:rsid w:val="0033328B"/>
    <w:rsid w:val="00335202"/>
    <w:rsid w:val="0033579C"/>
    <w:rsid w:val="00336B9D"/>
    <w:rsid w:val="00337A0C"/>
    <w:rsid w:val="0035175D"/>
    <w:rsid w:val="003609AC"/>
    <w:rsid w:val="00370C23"/>
    <w:rsid w:val="00370D5B"/>
    <w:rsid w:val="0037189A"/>
    <w:rsid w:val="0037228F"/>
    <w:rsid w:val="0037309B"/>
    <w:rsid w:val="003732C2"/>
    <w:rsid w:val="00384434"/>
    <w:rsid w:val="00387935"/>
    <w:rsid w:val="00390454"/>
    <w:rsid w:val="00391987"/>
    <w:rsid w:val="0039606E"/>
    <w:rsid w:val="0039769D"/>
    <w:rsid w:val="00397A5D"/>
    <w:rsid w:val="003A0FD5"/>
    <w:rsid w:val="003B23D6"/>
    <w:rsid w:val="003B4FB8"/>
    <w:rsid w:val="003C2ACD"/>
    <w:rsid w:val="003C5D88"/>
    <w:rsid w:val="003C6ADF"/>
    <w:rsid w:val="003C71B7"/>
    <w:rsid w:val="003D6D48"/>
    <w:rsid w:val="003D793D"/>
    <w:rsid w:val="003E336E"/>
    <w:rsid w:val="003E4F83"/>
    <w:rsid w:val="003E651A"/>
    <w:rsid w:val="003F2616"/>
    <w:rsid w:val="003F7282"/>
    <w:rsid w:val="00407C7B"/>
    <w:rsid w:val="00414891"/>
    <w:rsid w:val="004158DF"/>
    <w:rsid w:val="004214D5"/>
    <w:rsid w:val="00424E6B"/>
    <w:rsid w:val="00425044"/>
    <w:rsid w:val="00426835"/>
    <w:rsid w:val="00426867"/>
    <w:rsid w:val="004325B4"/>
    <w:rsid w:val="00436F38"/>
    <w:rsid w:val="0044374A"/>
    <w:rsid w:val="00445615"/>
    <w:rsid w:val="00450643"/>
    <w:rsid w:val="00456201"/>
    <w:rsid w:val="00460E36"/>
    <w:rsid w:val="00463329"/>
    <w:rsid w:val="004644C6"/>
    <w:rsid w:val="004707FE"/>
    <w:rsid w:val="00471CE5"/>
    <w:rsid w:val="00474326"/>
    <w:rsid w:val="0047651B"/>
    <w:rsid w:val="004810FB"/>
    <w:rsid w:val="004815AA"/>
    <w:rsid w:val="004835C2"/>
    <w:rsid w:val="00483FE8"/>
    <w:rsid w:val="00490BB7"/>
    <w:rsid w:val="00491ACE"/>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713D"/>
    <w:rsid w:val="00526BF0"/>
    <w:rsid w:val="005270C8"/>
    <w:rsid w:val="00534E3D"/>
    <w:rsid w:val="00536DCC"/>
    <w:rsid w:val="00540D27"/>
    <w:rsid w:val="005416B6"/>
    <w:rsid w:val="0054313C"/>
    <w:rsid w:val="00544F85"/>
    <w:rsid w:val="005454F0"/>
    <w:rsid w:val="00550618"/>
    <w:rsid w:val="00551A2D"/>
    <w:rsid w:val="00556A43"/>
    <w:rsid w:val="005607DF"/>
    <w:rsid w:val="00564B7B"/>
    <w:rsid w:val="00565F1E"/>
    <w:rsid w:val="00566381"/>
    <w:rsid w:val="00570521"/>
    <w:rsid w:val="00570BC0"/>
    <w:rsid w:val="0057175E"/>
    <w:rsid w:val="00573A7E"/>
    <w:rsid w:val="00575201"/>
    <w:rsid w:val="0057684B"/>
    <w:rsid w:val="00577F0C"/>
    <w:rsid w:val="00587954"/>
    <w:rsid w:val="005906B2"/>
    <w:rsid w:val="0059642D"/>
    <w:rsid w:val="00596CC6"/>
    <w:rsid w:val="005A1208"/>
    <w:rsid w:val="005A274F"/>
    <w:rsid w:val="005A3DE2"/>
    <w:rsid w:val="005A7B95"/>
    <w:rsid w:val="005B05B8"/>
    <w:rsid w:val="005B45A8"/>
    <w:rsid w:val="005C54F5"/>
    <w:rsid w:val="005C7601"/>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301A6"/>
    <w:rsid w:val="00630B31"/>
    <w:rsid w:val="006312AF"/>
    <w:rsid w:val="00632CD1"/>
    <w:rsid w:val="006337AA"/>
    <w:rsid w:val="006414AE"/>
    <w:rsid w:val="00642528"/>
    <w:rsid w:val="00642AD0"/>
    <w:rsid w:val="006438A5"/>
    <w:rsid w:val="00645E64"/>
    <w:rsid w:val="00646713"/>
    <w:rsid w:val="00646743"/>
    <w:rsid w:val="00647F42"/>
    <w:rsid w:val="00652138"/>
    <w:rsid w:val="00652E09"/>
    <w:rsid w:val="00655EF6"/>
    <w:rsid w:val="006575C0"/>
    <w:rsid w:val="00660E91"/>
    <w:rsid w:val="00663EB1"/>
    <w:rsid w:val="006641E6"/>
    <w:rsid w:val="006673D7"/>
    <w:rsid w:val="006677F4"/>
    <w:rsid w:val="00674D96"/>
    <w:rsid w:val="00676888"/>
    <w:rsid w:val="006818E1"/>
    <w:rsid w:val="00685D22"/>
    <w:rsid w:val="00686F80"/>
    <w:rsid w:val="00693DDE"/>
    <w:rsid w:val="006941D4"/>
    <w:rsid w:val="006A183A"/>
    <w:rsid w:val="006A456D"/>
    <w:rsid w:val="006A556A"/>
    <w:rsid w:val="006A7997"/>
    <w:rsid w:val="006B1983"/>
    <w:rsid w:val="006B2219"/>
    <w:rsid w:val="006B2594"/>
    <w:rsid w:val="006B45C9"/>
    <w:rsid w:val="006B6752"/>
    <w:rsid w:val="006C16DB"/>
    <w:rsid w:val="006C3DE1"/>
    <w:rsid w:val="006D6955"/>
    <w:rsid w:val="006D69CC"/>
    <w:rsid w:val="006F08F6"/>
    <w:rsid w:val="006F515C"/>
    <w:rsid w:val="00703271"/>
    <w:rsid w:val="007033A3"/>
    <w:rsid w:val="007134DB"/>
    <w:rsid w:val="00715124"/>
    <w:rsid w:val="00717144"/>
    <w:rsid w:val="007177BC"/>
    <w:rsid w:val="0072014F"/>
    <w:rsid w:val="00721281"/>
    <w:rsid w:val="00731594"/>
    <w:rsid w:val="00732577"/>
    <w:rsid w:val="00734BC0"/>
    <w:rsid w:val="00734CF2"/>
    <w:rsid w:val="00735165"/>
    <w:rsid w:val="00736AE5"/>
    <w:rsid w:val="00736B66"/>
    <w:rsid w:val="00736F34"/>
    <w:rsid w:val="00741A90"/>
    <w:rsid w:val="00745EFC"/>
    <w:rsid w:val="00754C25"/>
    <w:rsid w:val="00762C32"/>
    <w:rsid w:val="00763053"/>
    <w:rsid w:val="00764079"/>
    <w:rsid w:val="00771460"/>
    <w:rsid w:val="00775412"/>
    <w:rsid w:val="007776F2"/>
    <w:rsid w:val="00781586"/>
    <w:rsid w:val="00787739"/>
    <w:rsid w:val="0078787D"/>
    <w:rsid w:val="00790CF2"/>
    <w:rsid w:val="00793244"/>
    <w:rsid w:val="00794537"/>
    <w:rsid w:val="0079565B"/>
    <w:rsid w:val="007A12FB"/>
    <w:rsid w:val="007A2B56"/>
    <w:rsid w:val="007A3833"/>
    <w:rsid w:val="007A50FC"/>
    <w:rsid w:val="007A53E5"/>
    <w:rsid w:val="007A5DC8"/>
    <w:rsid w:val="007B3FA5"/>
    <w:rsid w:val="007B4F7E"/>
    <w:rsid w:val="007B7AAA"/>
    <w:rsid w:val="007C042B"/>
    <w:rsid w:val="007C0B93"/>
    <w:rsid w:val="007C304E"/>
    <w:rsid w:val="007D0700"/>
    <w:rsid w:val="007D5D54"/>
    <w:rsid w:val="007D6736"/>
    <w:rsid w:val="007D6DDC"/>
    <w:rsid w:val="007D6EB1"/>
    <w:rsid w:val="007D72D6"/>
    <w:rsid w:val="007E031B"/>
    <w:rsid w:val="007E2D90"/>
    <w:rsid w:val="007E70E8"/>
    <w:rsid w:val="007F072F"/>
    <w:rsid w:val="007F0ED4"/>
    <w:rsid w:val="007F18B7"/>
    <w:rsid w:val="007F5925"/>
    <w:rsid w:val="00800ABE"/>
    <w:rsid w:val="008044F6"/>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61602"/>
    <w:rsid w:val="008630EA"/>
    <w:rsid w:val="00864FAA"/>
    <w:rsid w:val="008650EA"/>
    <w:rsid w:val="0087285E"/>
    <w:rsid w:val="00882CD2"/>
    <w:rsid w:val="00885B08"/>
    <w:rsid w:val="00887A05"/>
    <w:rsid w:val="00887C81"/>
    <w:rsid w:val="00891316"/>
    <w:rsid w:val="00895021"/>
    <w:rsid w:val="0089702C"/>
    <w:rsid w:val="008A00A4"/>
    <w:rsid w:val="008A0CFA"/>
    <w:rsid w:val="008A18F8"/>
    <w:rsid w:val="008A411A"/>
    <w:rsid w:val="008B6ACD"/>
    <w:rsid w:val="008C03C7"/>
    <w:rsid w:val="008D0207"/>
    <w:rsid w:val="008D13DC"/>
    <w:rsid w:val="008D4169"/>
    <w:rsid w:val="008D5A56"/>
    <w:rsid w:val="008E4C88"/>
    <w:rsid w:val="008F0C40"/>
    <w:rsid w:val="008F191F"/>
    <w:rsid w:val="008F3DD8"/>
    <w:rsid w:val="008F4DAA"/>
    <w:rsid w:val="008F6B3D"/>
    <w:rsid w:val="009034EA"/>
    <w:rsid w:val="00903B65"/>
    <w:rsid w:val="009105EE"/>
    <w:rsid w:val="00916A9D"/>
    <w:rsid w:val="0092414D"/>
    <w:rsid w:val="00925443"/>
    <w:rsid w:val="00925D32"/>
    <w:rsid w:val="00926B88"/>
    <w:rsid w:val="00931659"/>
    <w:rsid w:val="00933D39"/>
    <w:rsid w:val="009372C7"/>
    <w:rsid w:val="00941437"/>
    <w:rsid w:val="009423B8"/>
    <w:rsid w:val="009469CA"/>
    <w:rsid w:val="009517B2"/>
    <w:rsid w:val="00952650"/>
    <w:rsid w:val="009544F3"/>
    <w:rsid w:val="00961137"/>
    <w:rsid w:val="00961F3E"/>
    <w:rsid w:val="00971A17"/>
    <w:rsid w:val="00980870"/>
    <w:rsid w:val="00985767"/>
    <w:rsid w:val="009A0FFE"/>
    <w:rsid w:val="009A57E8"/>
    <w:rsid w:val="009A7CA4"/>
    <w:rsid w:val="009B0BF5"/>
    <w:rsid w:val="009B24B7"/>
    <w:rsid w:val="009B445F"/>
    <w:rsid w:val="009B4EEB"/>
    <w:rsid w:val="009B50BB"/>
    <w:rsid w:val="009C0DFE"/>
    <w:rsid w:val="009C20C3"/>
    <w:rsid w:val="009C2546"/>
    <w:rsid w:val="009C3270"/>
    <w:rsid w:val="009C40FB"/>
    <w:rsid w:val="009C5C5D"/>
    <w:rsid w:val="009C5F94"/>
    <w:rsid w:val="009D723B"/>
    <w:rsid w:val="009F14A3"/>
    <w:rsid w:val="009F67BA"/>
    <w:rsid w:val="009F71BB"/>
    <w:rsid w:val="009F7E36"/>
    <w:rsid w:val="00A031F5"/>
    <w:rsid w:val="00A07747"/>
    <w:rsid w:val="00A14983"/>
    <w:rsid w:val="00A16961"/>
    <w:rsid w:val="00A17A3D"/>
    <w:rsid w:val="00A20A59"/>
    <w:rsid w:val="00A231F4"/>
    <w:rsid w:val="00A3453C"/>
    <w:rsid w:val="00A36370"/>
    <w:rsid w:val="00A40733"/>
    <w:rsid w:val="00A42133"/>
    <w:rsid w:val="00A43024"/>
    <w:rsid w:val="00A43261"/>
    <w:rsid w:val="00A43351"/>
    <w:rsid w:val="00A504AF"/>
    <w:rsid w:val="00A52A19"/>
    <w:rsid w:val="00A7036C"/>
    <w:rsid w:val="00A704C0"/>
    <w:rsid w:val="00A737AA"/>
    <w:rsid w:val="00A84843"/>
    <w:rsid w:val="00A90A3B"/>
    <w:rsid w:val="00A93AEA"/>
    <w:rsid w:val="00A97835"/>
    <w:rsid w:val="00AA26A7"/>
    <w:rsid w:val="00AA74AD"/>
    <w:rsid w:val="00AA75CD"/>
    <w:rsid w:val="00AA7738"/>
    <w:rsid w:val="00AA797F"/>
    <w:rsid w:val="00AB2C3F"/>
    <w:rsid w:val="00AB3A46"/>
    <w:rsid w:val="00AB4033"/>
    <w:rsid w:val="00AB43C1"/>
    <w:rsid w:val="00AB5AF1"/>
    <w:rsid w:val="00AB5BD2"/>
    <w:rsid w:val="00AC1729"/>
    <w:rsid w:val="00AC2858"/>
    <w:rsid w:val="00AC3BD9"/>
    <w:rsid w:val="00AC5D9F"/>
    <w:rsid w:val="00AC5E6A"/>
    <w:rsid w:val="00AC5EF1"/>
    <w:rsid w:val="00AC795B"/>
    <w:rsid w:val="00AD36DD"/>
    <w:rsid w:val="00AD77D6"/>
    <w:rsid w:val="00AE083A"/>
    <w:rsid w:val="00AE2825"/>
    <w:rsid w:val="00AE5AB4"/>
    <w:rsid w:val="00AE667E"/>
    <w:rsid w:val="00AF2FBB"/>
    <w:rsid w:val="00AF3907"/>
    <w:rsid w:val="00AF68A1"/>
    <w:rsid w:val="00B01071"/>
    <w:rsid w:val="00B013D8"/>
    <w:rsid w:val="00B10C35"/>
    <w:rsid w:val="00B11834"/>
    <w:rsid w:val="00B12DE2"/>
    <w:rsid w:val="00B13A49"/>
    <w:rsid w:val="00B1781F"/>
    <w:rsid w:val="00B17C1C"/>
    <w:rsid w:val="00B20A42"/>
    <w:rsid w:val="00B22F93"/>
    <w:rsid w:val="00B27AAE"/>
    <w:rsid w:val="00B3140E"/>
    <w:rsid w:val="00B34424"/>
    <w:rsid w:val="00B35C17"/>
    <w:rsid w:val="00B37CAD"/>
    <w:rsid w:val="00B420CA"/>
    <w:rsid w:val="00B52D3E"/>
    <w:rsid w:val="00B53047"/>
    <w:rsid w:val="00B5342E"/>
    <w:rsid w:val="00B55DB7"/>
    <w:rsid w:val="00B657CF"/>
    <w:rsid w:val="00B66CE9"/>
    <w:rsid w:val="00B6784F"/>
    <w:rsid w:val="00B6795C"/>
    <w:rsid w:val="00B72242"/>
    <w:rsid w:val="00B760C2"/>
    <w:rsid w:val="00B77EBF"/>
    <w:rsid w:val="00B8060E"/>
    <w:rsid w:val="00B80AFE"/>
    <w:rsid w:val="00B84472"/>
    <w:rsid w:val="00B855AB"/>
    <w:rsid w:val="00B85915"/>
    <w:rsid w:val="00B92768"/>
    <w:rsid w:val="00B93565"/>
    <w:rsid w:val="00BA0CAD"/>
    <w:rsid w:val="00BA144C"/>
    <w:rsid w:val="00BA1CCE"/>
    <w:rsid w:val="00BA60F1"/>
    <w:rsid w:val="00BB31DA"/>
    <w:rsid w:val="00BB7555"/>
    <w:rsid w:val="00BB7F48"/>
    <w:rsid w:val="00BC0AC5"/>
    <w:rsid w:val="00BC0D1C"/>
    <w:rsid w:val="00BC0FAF"/>
    <w:rsid w:val="00BC5357"/>
    <w:rsid w:val="00BC72AA"/>
    <w:rsid w:val="00BD16B8"/>
    <w:rsid w:val="00BD38FA"/>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67D8"/>
    <w:rsid w:val="00C24861"/>
    <w:rsid w:val="00C33364"/>
    <w:rsid w:val="00C427ED"/>
    <w:rsid w:val="00C51606"/>
    <w:rsid w:val="00C55A6D"/>
    <w:rsid w:val="00C6077F"/>
    <w:rsid w:val="00C61C4D"/>
    <w:rsid w:val="00C63772"/>
    <w:rsid w:val="00C64D51"/>
    <w:rsid w:val="00C660DB"/>
    <w:rsid w:val="00C675D4"/>
    <w:rsid w:val="00C74AD9"/>
    <w:rsid w:val="00C76AC2"/>
    <w:rsid w:val="00C772C3"/>
    <w:rsid w:val="00C811EB"/>
    <w:rsid w:val="00C845B4"/>
    <w:rsid w:val="00C9121F"/>
    <w:rsid w:val="00C95F26"/>
    <w:rsid w:val="00CA508E"/>
    <w:rsid w:val="00CB01B0"/>
    <w:rsid w:val="00CB02C7"/>
    <w:rsid w:val="00CB1181"/>
    <w:rsid w:val="00CB2CF0"/>
    <w:rsid w:val="00CB4445"/>
    <w:rsid w:val="00CB5777"/>
    <w:rsid w:val="00CC6F5F"/>
    <w:rsid w:val="00CC72E6"/>
    <w:rsid w:val="00CC79AE"/>
    <w:rsid w:val="00CC7BE0"/>
    <w:rsid w:val="00CD38C8"/>
    <w:rsid w:val="00CD78BD"/>
    <w:rsid w:val="00CE1E2E"/>
    <w:rsid w:val="00CE2F49"/>
    <w:rsid w:val="00CE3306"/>
    <w:rsid w:val="00CE41AC"/>
    <w:rsid w:val="00CF682A"/>
    <w:rsid w:val="00CF6FC7"/>
    <w:rsid w:val="00D00EAB"/>
    <w:rsid w:val="00D04F89"/>
    <w:rsid w:val="00D0532E"/>
    <w:rsid w:val="00D10539"/>
    <w:rsid w:val="00D12913"/>
    <w:rsid w:val="00D16714"/>
    <w:rsid w:val="00D16E98"/>
    <w:rsid w:val="00D16EE5"/>
    <w:rsid w:val="00D17340"/>
    <w:rsid w:val="00D175DE"/>
    <w:rsid w:val="00D179A6"/>
    <w:rsid w:val="00D30862"/>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3415"/>
    <w:rsid w:val="00D82615"/>
    <w:rsid w:val="00D84608"/>
    <w:rsid w:val="00D8694B"/>
    <w:rsid w:val="00D87A07"/>
    <w:rsid w:val="00D907DD"/>
    <w:rsid w:val="00D94176"/>
    <w:rsid w:val="00D956F3"/>
    <w:rsid w:val="00D97BA5"/>
    <w:rsid w:val="00DB2216"/>
    <w:rsid w:val="00DB4C5E"/>
    <w:rsid w:val="00DB698C"/>
    <w:rsid w:val="00DC270D"/>
    <w:rsid w:val="00DC2F35"/>
    <w:rsid w:val="00DC4AB6"/>
    <w:rsid w:val="00DD3471"/>
    <w:rsid w:val="00DD687C"/>
    <w:rsid w:val="00DE1010"/>
    <w:rsid w:val="00DE11F5"/>
    <w:rsid w:val="00DE3B6A"/>
    <w:rsid w:val="00DE4BE5"/>
    <w:rsid w:val="00DF11F0"/>
    <w:rsid w:val="00DF135F"/>
    <w:rsid w:val="00DF7081"/>
    <w:rsid w:val="00E00478"/>
    <w:rsid w:val="00E007B0"/>
    <w:rsid w:val="00E131F6"/>
    <w:rsid w:val="00E13909"/>
    <w:rsid w:val="00E15411"/>
    <w:rsid w:val="00E3036F"/>
    <w:rsid w:val="00E31EBE"/>
    <w:rsid w:val="00E3234F"/>
    <w:rsid w:val="00E331B7"/>
    <w:rsid w:val="00E35D0B"/>
    <w:rsid w:val="00E43B56"/>
    <w:rsid w:val="00E50302"/>
    <w:rsid w:val="00E5424C"/>
    <w:rsid w:val="00E61081"/>
    <w:rsid w:val="00E65DB8"/>
    <w:rsid w:val="00E67304"/>
    <w:rsid w:val="00E721C2"/>
    <w:rsid w:val="00E72A0A"/>
    <w:rsid w:val="00E7406A"/>
    <w:rsid w:val="00E804DE"/>
    <w:rsid w:val="00E80664"/>
    <w:rsid w:val="00E82AFE"/>
    <w:rsid w:val="00E86486"/>
    <w:rsid w:val="00E92135"/>
    <w:rsid w:val="00E942D7"/>
    <w:rsid w:val="00E96CBA"/>
    <w:rsid w:val="00EA5323"/>
    <w:rsid w:val="00EA5A86"/>
    <w:rsid w:val="00EA7620"/>
    <w:rsid w:val="00EA7CD8"/>
    <w:rsid w:val="00EB54CD"/>
    <w:rsid w:val="00EC1DE9"/>
    <w:rsid w:val="00EC25E7"/>
    <w:rsid w:val="00EC604A"/>
    <w:rsid w:val="00EC6606"/>
    <w:rsid w:val="00ED1659"/>
    <w:rsid w:val="00ED21D0"/>
    <w:rsid w:val="00ED3AC4"/>
    <w:rsid w:val="00ED513B"/>
    <w:rsid w:val="00ED5752"/>
    <w:rsid w:val="00ED7E65"/>
    <w:rsid w:val="00EE1D26"/>
    <w:rsid w:val="00EE65A2"/>
    <w:rsid w:val="00EF3351"/>
    <w:rsid w:val="00EF5D9C"/>
    <w:rsid w:val="00EF65C3"/>
    <w:rsid w:val="00EF6941"/>
    <w:rsid w:val="00EF74F8"/>
    <w:rsid w:val="00F0600F"/>
    <w:rsid w:val="00F07222"/>
    <w:rsid w:val="00F07A07"/>
    <w:rsid w:val="00F10487"/>
    <w:rsid w:val="00F10A2B"/>
    <w:rsid w:val="00F10B38"/>
    <w:rsid w:val="00F10CCD"/>
    <w:rsid w:val="00F13E35"/>
    <w:rsid w:val="00F26349"/>
    <w:rsid w:val="00F30B63"/>
    <w:rsid w:val="00F32A42"/>
    <w:rsid w:val="00F34FCA"/>
    <w:rsid w:val="00F40A81"/>
    <w:rsid w:val="00F42BAF"/>
    <w:rsid w:val="00F43F75"/>
    <w:rsid w:val="00F5183E"/>
    <w:rsid w:val="00F528EF"/>
    <w:rsid w:val="00F53913"/>
    <w:rsid w:val="00F54DD6"/>
    <w:rsid w:val="00F57F02"/>
    <w:rsid w:val="00F62D35"/>
    <w:rsid w:val="00F652EE"/>
    <w:rsid w:val="00F6610A"/>
    <w:rsid w:val="00F70899"/>
    <w:rsid w:val="00F71597"/>
    <w:rsid w:val="00F72140"/>
    <w:rsid w:val="00F748B0"/>
    <w:rsid w:val="00F75BA0"/>
    <w:rsid w:val="00F83826"/>
    <w:rsid w:val="00F921CD"/>
    <w:rsid w:val="00FA2B9D"/>
    <w:rsid w:val="00FA67F7"/>
    <w:rsid w:val="00FB79BD"/>
    <w:rsid w:val="00FD518E"/>
    <w:rsid w:val="00FE2F24"/>
    <w:rsid w:val="00FE398D"/>
    <w:rsid w:val="00FF13B8"/>
    <w:rsid w:val="00FF397A"/>
    <w:rsid w:val="00FF7ED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4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hr-HR"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nhideWhenUsed/>
    <w:qFormat/>
    <w:rsid w:val="007C0B93"/>
    <w:pPr>
      <w:spacing w:before="240" w:after="60" w:line="240" w:lineRule="auto"/>
      <w:outlineLvl w:val="4"/>
    </w:pPr>
    <w:rPr>
      <w:rFonts w:ascii="Calibri" w:eastAsia="Times New Roman" w:hAnsi="Calibri" w:cs="Times New Roman"/>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
    <w:basedOn w:val="Normal"/>
    <w:link w:val="ListParagraphChar"/>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384434"/>
    <w:rPr>
      <w:rFonts w:ascii="Lucida Grande" w:hAnsi="Lucida Grande" w:cs="Lucida Grande"/>
      <w:sz w:val="18"/>
      <w:szCs w:val="18"/>
    </w:rPr>
  </w:style>
  <w:style w:type="character" w:styleId="CommentReference">
    <w:name w:val="annotation reference"/>
    <w:basedOn w:val="DefaultParagraphFont"/>
    <w:uiPriority w:val="99"/>
    <w:unhideWhenUsed/>
    <w:rsid w:val="004644C6"/>
    <w:rPr>
      <w:sz w:val="18"/>
      <w:szCs w:val="18"/>
    </w:rPr>
  </w:style>
  <w:style w:type="paragraph" w:styleId="CommentText">
    <w:name w:val="annotation text"/>
    <w:basedOn w:val="Normal"/>
    <w:link w:val="CommentTextChar"/>
    <w:uiPriority w:val="99"/>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rsid w:val="004644C6"/>
    <w:rPr>
      <w:sz w:val="24"/>
      <w:szCs w:val="24"/>
    </w:rPr>
  </w:style>
  <w:style w:type="paragraph" w:styleId="CommentSubject">
    <w:name w:val="annotation subject"/>
    <w:basedOn w:val="CommentText"/>
    <w:next w:val="CommentText"/>
    <w:link w:val="CommentSubjectChar"/>
    <w:uiPriority w:val="99"/>
    <w:unhideWhenUsed/>
    <w:rsid w:val="004644C6"/>
    <w:rPr>
      <w:b/>
      <w:bCs/>
      <w:sz w:val="20"/>
      <w:szCs w:val="20"/>
    </w:rPr>
  </w:style>
  <w:style w:type="character" w:customStyle="1" w:styleId="CommentSubjectChar">
    <w:name w:val="Comment Subject Char"/>
    <w:basedOn w:val="CommentTextChar"/>
    <w:link w:val="CommentSubject"/>
    <w:uiPriority w:val="99"/>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B80AFE"/>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B80AFE"/>
    <w:rPr>
      <w:sz w:val="20"/>
      <w:szCs w:val="20"/>
    </w:rPr>
  </w:style>
  <w:style w:type="character" w:styleId="FootnoteReference">
    <w:name w:val="footnote reference"/>
    <w:basedOn w:val="DefaultParagraphFont"/>
    <w:uiPriority w:val="99"/>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nhideWhenUsed/>
    <w:rsid w:val="00EC6606"/>
  </w:style>
  <w:style w:type="paragraph" w:styleId="Revision">
    <w:name w:val="Revision"/>
    <w:hidden/>
    <w:uiPriority w:val="99"/>
    <w:semiHidden/>
    <w:rsid w:val="00203C3F"/>
    <w:pPr>
      <w:spacing w:after="0" w:line="240" w:lineRule="auto"/>
    </w:pPr>
  </w:style>
  <w:style w:type="character" w:customStyle="1" w:styleId="Heading5Char">
    <w:name w:val="Heading 5 Char"/>
    <w:basedOn w:val="DefaultParagraphFont"/>
    <w:link w:val="Heading5"/>
    <w:rsid w:val="007C0B93"/>
    <w:rPr>
      <w:rFonts w:ascii="Calibri" w:eastAsia="Times New Roman" w:hAnsi="Calibri" w:cs="Times New Roman"/>
      <w:b/>
      <w:bCs/>
      <w:i/>
      <w:iCs/>
      <w:sz w:val="26"/>
      <w:szCs w:val="26"/>
      <w:lang w:eastAsia="sl-SI"/>
    </w:rPr>
  </w:style>
  <w:style w:type="character" w:styleId="Strong">
    <w:name w:val="Strong"/>
    <w:uiPriority w:val="22"/>
    <w:qFormat/>
    <w:rsid w:val="007C0B93"/>
    <w:rPr>
      <w:b/>
      <w:bCs/>
    </w:rPr>
  </w:style>
  <w:style w:type="character" w:customStyle="1" w:styleId="schriftnorm">
    <w:name w:val="schriftnorm"/>
    <w:basedOn w:val="DefaultParagraphFont"/>
    <w:rsid w:val="007C0B93"/>
  </w:style>
  <w:style w:type="paragraph" w:customStyle="1" w:styleId="bodytext">
    <w:name w:val="bodytext"/>
    <w:basedOn w:val="Normal"/>
    <w:rsid w:val="007C0B9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ecxmsonormal">
    <w:name w:val="ecxmsonormal"/>
    <w:basedOn w:val="Normal"/>
    <w:rsid w:val="007C0B93"/>
    <w:pPr>
      <w:spacing w:after="32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rsid w:val="007C0B93"/>
  </w:style>
  <w:style w:type="character" w:styleId="Emphasis">
    <w:name w:val="Emphasis"/>
    <w:uiPriority w:val="20"/>
    <w:qFormat/>
    <w:rsid w:val="007C0B93"/>
    <w:rPr>
      <w:i/>
      <w:iCs/>
    </w:rPr>
  </w:style>
  <w:style w:type="character" w:styleId="HTMLCite">
    <w:name w:val="HTML Cite"/>
    <w:uiPriority w:val="99"/>
    <w:unhideWhenUsed/>
    <w:rsid w:val="007C0B93"/>
    <w:rPr>
      <w:i/>
      <w:iCs/>
    </w:rPr>
  </w:style>
  <w:style w:type="character" w:styleId="FollowedHyperlink">
    <w:name w:val="FollowedHyperlink"/>
    <w:rsid w:val="007C0B93"/>
    <w:rPr>
      <w:color w:val="954F72"/>
      <w:u w:val="single"/>
    </w:rPr>
  </w:style>
  <w:style w:type="character" w:customStyle="1" w:styleId="st">
    <w:name w:val="st"/>
    <w:rsid w:val="007C0B93"/>
  </w:style>
  <w:style w:type="character" w:customStyle="1" w:styleId="linkcolor">
    <w:name w:val="linkcolor"/>
    <w:rsid w:val="007C0B93"/>
  </w:style>
  <w:style w:type="character" w:customStyle="1" w:styleId="bookabs">
    <w:name w:val="bookabs"/>
    <w:rsid w:val="007C0B93"/>
  </w:style>
  <w:style w:type="character" w:customStyle="1" w:styleId="moreabs">
    <w:name w:val="moreabs"/>
    <w:rsid w:val="007C0B93"/>
  </w:style>
  <w:style w:type="character" w:customStyle="1" w:styleId="hlfld-title">
    <w:name w:val="hlfld-title"/>
    <w:rsid w:val="007C0B93"/>
  </w:style>
  <w:style w:type="character" w:customStyle="1" w:styleId="singlehighlightclass">
    <w:name w:val="single_highlight_class"/>
    <w:rsid w:val="007C0B93"/>
  </w:style>
  <w:style w:type="character" w:customStyle="1" w:styleId="articleentryauthorlabel">
    <w:name w:val="articleentryauthorlabel"/>
    <w:rsid w:val="007C0B93"/>
  </w:style>
  <w:style w:type="character" w:customStyle="1" w:styleId="articleentryauthorslinks">
    <w:name w:val="articleentryauthorslinks"/>
    <w:rsid w:val="007C0B93"/>
  </w:style>
  <w:style w:type="character" w:customStyle="1" w:styleId="hlfld-contrib">
    <w:name w:val="hlfld-contrib"/>
    <w:rsid w:val="007C0B93"/>
  </w:style>
  <w:style w:type="character" w:customStyle="1" w:styleId="boldfont">
    <w:name w:val="boldfont"/>
    <w:rsid w:val="007C0B93"/>
  </w:style>
  <w:style w:type="character" w:customStyle="1" w:styleId="articleentrypagerangelabel">
    <w:name w:val="articleentrypagerangelabel"/>
    <w:rsid w:val="007C0B93"/>
  </w:style>
  <w:style w:type="paragraph" w:styleId="EndnoteText">
    <w:name w:val="endnote text"/>
    <w:basedOn w:val="Normal"/>
    <w:link w:val="EndnoteTextChar"/>
    <w:rsid w:val="007C0B93"/>
    <w:pPr>
      <w:spacing w:after="0" w:line="240" w:lineRule="auto"/>
    </w:pPr>
    <w:rPr>
      <w:rFonts w:ascii="Times New Roman" w:eastAsia="Times New Roman" w:hAnsi="Times New Roman" w:cs="Times New Roman"/>
      <w:sz w:val="20"/>
      <w:szCs w:val="20"/>
      <w:lang w:eastAsia="sl-SI"/>
    </w:rPr>
  </w:style>
  <w:style w:type="character" w:customStyle="1" w:styleId="EndnoteTextChar">
    <w:name w:val="Endnote Text Char"/>
    <w:basedOn w:val="DefaultParagraphFont"/>
    <w:link w:val="EndnoteText"/>
    <w:rsid w:val="007C0B93"/>
    <w:rPr>
      <w:rFonts w:ascii="Times New Roman" w:eastAsia="Times New Roman" w:hAnsi="Times New Roman" w:cs="Times New Roman"/>
      <w:sz w:val="20"/>
      <w:szCs w:val="20"/>
      <w:lang w:eastAsia="sl-SI"/>
    </w:rPr>
  </w:style>
  <w:style w:type="character" w:styleId="EndnoteReference">
    <w:name w:val="endnote reference"/>
    <w:rsid w:val="007C0B93"/>
    <w:rPr>
      <w:vertAlign w:val="superscript"/>
    </w:rPr>
  </w:style>
  <w:style w:type="character" w:customStyle="1" w:styleId="tgc">
    <w:name w:val="_tgc"/>
    <w:rsid w:val="007C0B93"/>
  </w:style>
  <w:style w:type="paragraph" w:styleId="Title">
    <w:name w:val="Title"/>
    <w:basedOn w:val="Normal"/>
    <w:link w:val="TitleChar"/>
    <w:uiPriority w:val="10"/>
    <w:qFormat/>
    <w:rsid w:val="007C0B93"/>
    <w:pPr>
      <w:tabs>
        <w:tab w:val="left" w:pos="850"/>
        <w:tab w:val="left" w:pos="1191"/>
        <w:tab w:val="left" w:pos="1531"/>
      </w:tabs>
      <w:spacing w:before="240" w:after="60" w:line="240" w:lineRule="auto"/>
      <w:jc w:val="center"/>
      <w:outlineLvl w:val="0"/>
    </w:pPr>
    <w:rPr>
      <w:rFonts w:ascii="Arial" w:eastAsia="Times New Roman" w:hAnsi="Arial" w:cs="Arial"/>
      <w:b/>
      <w:bCs/>
      <w:kern w:val="28"/>
      <w:sz w:val="32"/>
      <w:szCs w:val="32"/>
      <w:lang w:eastAsia="zh-CN"/>
    </w:rPr>
  </w:style>
  <w:style w:type="character" w:customStyle="1" w:styleId="TitleChar">
    <w:name w:val="Title Char"/>
    <w:basedOn w:val="DefaultParagraphFont"/>
    <w:link w:val="Title"/>
    <w:uiPriority w:val="10"/>
    <w:rsid w:val="007C0B93"/>
    <w:rPr>
      <w:rFonts w:ascii="Arial" w:eastAsia="Times New Roman" w:hAnsi="Arial" w:cs="Arial"/>
      <w:b/>
      <w:bCs/>
      <w:kern w:val="28"/>
      <w:sz w:val="32"/>
      <w:szCs w:val="32"/>
      <w:lang w:val="hr-HR" w:eastAsia="zh-CN"/>
    </w:rPr>
  </w:style>
  <w:style w:type="paragraph" w:styleId="BodyText0">
    <w:name w:val="Body Text"/>
    <w:basedOn w:val="Normal"/>
    <w:link w:val="BodyTextChar"/>
    <w:uiPriority w:val="99"/>
    <w:unhideWhenUsed/>
    <w:rsid w:val="007C0B93"/>
    <w:pPr>
      <w:widowControl w:val="0"/>
      <w:spacing w:after="120" w:line="276" w:lineRule="auto"/>
    </w:pPr>
    <w:rPr>
      <w:rFonts w:ascii="Calibri" w:eastAsia="Calibri" w:hAnsi="Calibri" w:cs="Arial"/>
    </w:rPr>
  </w:style>
  <w:style w:type="character" w:customStyle="1" w:styleId="BodyTextChar">
    <w:name w:val="Body Text Char"/>
    <w:basedOn w:val="DefaultParagraphFont"/>
    <w:link w:val="BodyText0"/>
    <w:uiPriority w:val="99"/>
    <w:rsid w:val="007C0B93"/>
    <w:rPr>
      <w:rFonts w:ascii="Calibri" w:eastAsia="Calibri" w:hAnsi="Calibri" w:cs="Arial"/>
    </w:rPr>
  </w:style>
  <w:style w:type="character" w:styleId="PlaceholderText">
    <w:name w:val="Placeholder Text"/>
    <w:uiPriority w:val="99"/>
    <w:semiHidden/>
    <w:rsid w:val="007C0B93"/>
    <w:rPr>
      <w:color w:val="808080"/>
    </w:rPr>
  </w:style>
  <w:style w:type="paragraph" w:customStyle="1" w:styleId="Table">
    <w:name w:val="Table"/>
    <w:basedOn w:val="Normal"/>
    <w:next w:val="BodyText0"/>
    <w:rsid w:val="007C0B93"/>
    <w:pPr>
      <w:tabs>
        <w:tab w:val="left" w:pos="850"/>
        <w:tab w:val="left" w:pos="1191"/>
        <w:tab w:val="left" w:pos="1531"/>
      </w:tabs>
      <w:spacing w:after="240" w:line="240" w:lineRule="auto"/>
      <w:jc w:val="center"/>
    </w:pPr>
    <w:rPr>
      <w:rFonts w:ascii="Times New Roman" w:eastAsia="Times New Roman" w:hAnsi="Times New Roman" w:cs="Times New Roman"/>
      <w:lang w:eastAsia="zh-CN"/>
    </w:rPr>
  </w:style>
  <w:style w:type="paragraph" w:customStyle="1" w:styleId="TableTitle">
    <w:name w:val="Table Title"/>
    <w:basedOn w:val="Normal"/>
    <w:rsid w:val="007C0B93"/>
    <w:pPr>
      <w:keepNext/>
      <w:tabs>
        <w:tab w:val="left" w:pos="850"/>
        <w:tab w:val="left" w:pos="1191"/>
        <w:tab w:val="left" w:pos="1531"/>
      </w:tabs>
      <w:spacing w:after="240" w:line="240" w:lineRule="auto"/>
      <w:jc w:val="center"/>
    </w:pPr>
    <w:rPr>
      <w:rFonts w:ascii="Arial" w:eastAsia="Times New Roman" w:hAnsi="Arial" w:cs="Arial"/>
      <w:b/>
      <w:bCs/>
      <w:sz w:val="18"/>
      <w:lang w:eastAsia="zh-CN"/>
    </w:rPr>
  </w:style>
  <w:style w:type="paragraph" w:customStyle="1" w:styleId="TableSub-title">
    <w:name w:val="Table Sub-title"/>
    <w:basedOn w:val="Normal"/>
    <w:rsid w:val="007C0B93"/>
    <w:pPr>
      <w:keepNext/>
      <w:tabs>
        <w:tab w:val="left" w:pos="850"/>
        <w:tab w:val="left" w:pos="1191"/>
        <w:tab w:val="left" w:pos="1531"/>
      </w:tabs>
      <w:spacing w:after="240" w:line="240" w:lineRule="auto"/>
      <w:jc w:val="center"/>
    </w:pPr>
    <w:rPr>
      <w:rFonts w:ascii="Arial" w:eastAsia="Times New Roman" w:hAnsi="Arial" w:cs="Arial"/>
      <w:sz w:val="18"/>
      <w:lang w:eastAsia="zh-CN"/>
    </w:rPr>
  </w:style>
  <w:style w:type="paragraph" w:customStyle="1" w:styleId="TableNote">
    <w:name w:val="Table Note"/>
    <w:basedOn w:val="Normal"/>
    <w:rsid w:val="007C0B93"/>
    <w:pPr>
      <w:tabs>
        <w:tab w:val="left" w:pos="850"/>
        <w:tab w:val="left" w:pos="1191"/>
        <w:tab w:val="left" w:pos="1531"/>
      </w:tabs>
      <w:spacing w:after="120" w:line="240" w:lineRule="auto"/>
    </w:pPr>
    <w:rPr>
      <w:rFonts w:ascii="Arial" w:eastAsia="Times New Roman" w:hAnsi="Arial" w:cs="Arial"/>
      <w:sz w:val="16"/>
      <w:szCs w:val="18"/>
      <w:lang w:eastAsia="zh-CN"/>
    </w:rPr>
  </w:style>
  <w:style w:type="paragraph" w:customStyle="1" w:styleId="SourceDescription">
    <w:name w:val="Source Description"/>
    <w:basedOn w:val="Normal"/>
    <w:next w:val="BodyText0"/>
    <w:rsid w:val="007C0B93"/>
    <w:pPr>
      <w:tabs>
        <w:tab w:val="left" w:pos="850"/>
        <w:tab w:val="left" w:pos="1191"/>
        <w:tab w:val="left" w:pos="1531"/>
      </w:tabs>
      <w:spacing w:after="360" w:line="240" w:lineRule="auto"/>
      <w:jc w:val="both"/>
    </w:pPr>
    <w:rPr>
      <w:rFonts w:ascii="Arial" w:eastAsia="Times New Roman" w:hAnsi="Arial" w:cs="Arial"/>
      <w:sz w:val="16"/>
      <w:szCs w:val="18"/>
      <w:lang w:eastAsia="zh-CN"/>
    </w:rPr>
  </w:style>
  <w:style w:type="character" w:customStyle="1" w:styleId="ListParagraphChar">
    <w:name w:val="List Paragraph Char"/>
    <w:aliases w:val="List_Paragraph Char,Multilevel para_II Char,List Paragraph1 Char"/>
    <w:link w:val="ListParagraph"/>
    <w:uiPriority w:val="34"/>
    <w:rsid w:val="007C0B93"/>
  </w:style>
  <w:style w:type="paragraph" w:styleId="NoSpacing">
    <w:name w:val="No Spacing"/>
    <w:uiPriority w:val="1"/>
    <w:qFormat/>
    <w:rsid w:val="007C0B93"/>
    <w:pPr>
      <w:spacing w:after="0" w:line="240" w:lineRule="auto"/>
    </w:pPr>
  </w:style>
  <w:style w:type="paragraph" w:customStyle="1" w:styleId="p1">
    <w:name w:val="p1"/>
    <w:basedOn w:val="Normal"/>
    <w:rsid w:val="007C0B93"/>
    <w:pPr>
      <w:spacing w:after="0" w:line="240" w:lineRule="auto"/>
    </w:pPr>
    <w:rPr>
      <w:rFonts w:ascii="Courier New" w:eastAsia="Times New Roman" w:hAnsi="Courier New" w:cs="Courier New"/>
      <w:color w:val="000080"/>
      <w:sz w:val="20"/>
      <w:szCs w:val="20"/>
    </w:rPr>
  </w:style>
  <w:style w:type="paragraph" w:customStyle="1" w:styleId="p2">
    <w:name w:val="p2"/>
    <w:basedOn w:val="Normal"/>
    <w:rsid w:val="007C0B93"/>
    <w:pPr>
      <w:spacing w:after="0" w:line="240" w:lineRule="auto"/>
    </w:pPr>
    <w:rPr>
      <w:rFonts w:ascii="Courier New" w:eastAsia="Times New Roman" w:hAnsi="Courier New" w:cs="Courier New"/>
      <w:color w:val="1F497D"/>
      <w:sz w:val="16"/>
      <w:szCs w:val="16"/>
    </w:rPr>
  </w:style>
  <w:style w:type="character" w:customStyle="1" w:styleId="s1">
    <w:name w:val="s1"/>
    <w:basedOn w:val="DefaultParagraphFont"/>
    <w:rsid w:val="007C0B93"/>
  </w:style>
  <w:style w:type="paragraph" w:customStyle="1" w:styleId="xmsonormal">
    <w:name w:val="x_msonormal"/>
    <w:basedOn w:val="Normal"/>
    <w:rsid w:val="007C0B93"/>
    <w:pPr>
      <w:spacing w:before="100" w:beforeAutospacing="1" w:after="100" w:afterAutospacing="1" w:line="240" w:lineRule="auto"/>
    </w:pPr>
    <w:rPr>
      <w:rFonts w:ascii="Times New Roman" w:hAnsi="Times New Roman" w:cs="Times New Roman"/>
      <w:sz w:val="24"/>
      <w:szCs w:val="24"/>
    </w:rPr>
  </w:style>
  <w:style w:type="paragraph" w:customStyle="1" w:styleId="xaddress">
    <w:name w:val="x_address"/>
    <w:basedOn w:val="Normal"/>
    <w:rsid w:val="007C0B93"/>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7C0B93"/>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C0B9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0C40"/>
    <w:pPr>
      <w:spacing w:before="480"/>
      <w:outlineLvl w:val="9"/>
    </w:pPr>
    <w:rPr>
      <w:b/>
      <w:bCs/>
      <w:sz w:val="28"/>
      <w:szCs w:val="28"/>
    </w:rPr>
  </w:style>
  <w:style w:type="paragraph" w:styleId="TOC1">
    <w:name w:val="toc 1"/>
    <w:basedOn w:val="Normal"/>
    <w:next w:val="Normal"/>
    <w:autoRedefine/>
    <w:uiPriority w:val="39"/>
    <w:unhideWhenUsed/>
    <w:rsid w:val="00AA75CD"/>
    <w:pPr>
      <w:tabs>
        <w:tab w:val="left" w:pos="180"/>
        <w:tab w:val="left" w:pos="440"/>
        <w:tab w:val="left" w:pos="540"/>
        <w:tab w:val="right" w:leader="dot" w:pos="9782"/>
      </w:tabs>
      <w:spacing w:before="120" w:after="0"/>
    </w:pPr>
    <w:rPr>
      <w:b/>
      <w:bCs/>
      <w:sz w:val="24"/>
      <w:szCs w:val="24"/>
    </w:rPr>
  </w:style>
  <w:style w:type="paragraph" w:styleId="TOC2">
    <w:name w:val="toc 2"/>
    <w:basedOn w:val="Normal"/>
    <w:next w:val="Normal"/>
    <w:autoRedefine/>
    <w:uiPriority w:val="39"/>
    <w:unhideWhenUsed/>
    <w:rsid w:val="00D40C40"/>
    <w:pPr>
      <w:spacing w:after="0"/>
      <w:ind w:left="220"/>
    </w:pPr>
    <w:rPr>
      <w:b/>
      <w:bCs/>
    </w:rPr>
  </w:style>
  <w:style w:type="paragraph" w:styleId="TOC3">
    <w:name w:val="toc 3"/>
    <w:basedOn w:val="Normal"/>
    <w:next w:val="Normal"/>
    <w:autoRedefine/>
    <w:uiPriority w:val="39"/>
    <w:unhideWhenUsed/>
    <w:rsid w:val="00BA0CAD"/>
    <w:pPr>
      <w:tabs>
        <w:tab w:val="right" w:leader="dot" w:pos="9782"/>
      </w:tabs>
      <w:spacing w:after="0"/>
      <w:ind w:left="440"/>
    </w:pPr>
    <w:rPr>
      <w:rFonts w:ascii="Times New Roman" w:hAnsi="Times New Roman" w:cs="Times New Roman"/>
      <w:noProof/>
      <w:color w:val="5B9BD5" w:themeColor="accent1"/>
    </w:rPr>
  </w:style>
  <w:style w:type="paragraph" w:styleId="TOC4">
    <w:name w:val="toc 4"/>
    <w:basedOn w:val="Normal"/>
    <w:next w:val="Normal"/>
    <w:autoRedefine/>
    <w:uiPriority w:val="39"/>
    <w:semiHidden/>
    <w:unhideWhenUsed/>
    <w:rsid w:val="00D40C40"/>
    <w:pPr>
      <w:spacing w:after="0"/>
      <w:ind w:left="660"/>
    </w:pPr>
    <w:rPr>
      <w:sz w:val="20"/>
      <w:szCs w:val="20"/>
    </w:rPr>
  </w:style>
  <w:style w:type="paragraph" w:styleId="TOC5">
    <w:name w:val="toc 5"/>
    <w:basedOn w:val="Normal"/>
    <w:next w:val="Normal"/>
    <w:autoRedefine/>
    <w:uiPriority w:val="39"/>
    <w:semiHidden/>
    <w:unhideWhenUsed/>
    <w:rsid w:val="00D40C40"/>
    <w:pPr>
      <w:spacing w:after="0"/>
      <w:ind w:left="880"/>
    </w:pPr>
    <w:rPr>
      <w:sz w:val="20"/>
      <w:szCs w:val="20"/>
    </w:rPr>
  </w:style>
  <w:style w:type="paragraph" w:styleId="TOC6">
    <w:name w:val="toc 6"/>
    <w:basedOn w:val="Normal"/>
    <w:next w:val="Normal"/>
    <w:autoRedefine/>
    <w:uiPriority w:val="39"/>
    <w:semiHidden/>
    <w:unhideWhenUsed/>
    <w:rsid w:val="00D40C40"/>
    <w:pPr>
      <w:spacing w:after="0"/>
      <w:ind w:left="1100"/>
    </w:pPr>
    <w:rPr>
      <w:sz w:val="20"/>
      <w:szCs w:val="20"/>
    </w:rPr>
  </w:style>
  <w:style w:type="paragraph" w:styleId="TOC7">
    <w:name w:val="toc 7"/>
    <w:basedOn w:val="Normal"/>
    <w:next w:val="Normal"/>
    <w:autoRedefine/>
    <w:uiPriority w:val="39"/>
    <w:semiHidden/>
    <w:unhideWhenUsed/>
    <w:rsid w:val="00D40C40"/>
    <w:pPr>
      <w:spacing w:after="0"/>
      <w:ind w:left="1320"/>
    </w:pPr>
    <w:rPr>
      <w:sz w:val="20"/>
      <w:szCs w:val="20"/>
    </w:rPr>
  </w:style>
  <w:style w:type="paragraph" w:styleId="TOC8">
    <w:name w:val="toc 8"/>
    <w:basedOn w:val="Normal"/>
    <w:next w:val="Normal"/>
    <w:autoRedefine/>
    <w:uiPriority w:val="39"/>
    <w:semiHidden/>
    <w:unhideWhenUsed/>
    <w:rsid w:val="00D40C40"/>
    <w:pPr>
      <w:spacing w:after="0"/>
      <w:ind w:left="1540"/>
    </w:pPr>
    <w:rPr>
      <w:sz w:val="20"/>
      <w:szCs w:val="20"/>
    </w:rPr>
  </w:style>
  <w:style w:type="paragraph" w:styleId="TOC9">
    <w:name w:val="toc 9"/>
    <w:basedOn w:val="Normal"/>
    <w:next w:val="Normal"/>
    <w:autoRedefine/>
    <w:uiPriority w:val="39"/>
    <w:semiHidden/>
    <w:unhideWhenUsed/>
    <w:rsid w:val="00D40C40"/>
    <w:pPr>
      <w:spacing w:after="0"/>
      <w:ind w:left="1760"/>
    </w:pPr>
    <w:rPr>
      <w:sz w:val="20"/>
      <w:szCs w:val="20"/>
    </w:rPr>
  </w:style>
  <w:style w:type="character" w:customStyle="1" w:styleId="il">
    <w:name w:val="il"/>
    <w:basedOn w:val="DefaultParagraphFont"/>
    <w:rsid w:val="00526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163907007">
      <w:bodyDiv w:val="1"/>
      <w:marLeft w:val="0"/>
      <w:marRight w:val="0"/>
      <w:marTop w:val="0"/>
      <w:marBottom w:val="0"/>
      <w:divBdr>
        <w:top w:val="none" w:sz="0" w:space="0" w:color="auto"/>
        <w:left w:val="none" w:sz="0" w:space="0" w:color="auto"/>
        <w:bottom w:val="none" w:sz="0" w:space="0" w:color="auto"/>
        <w:right w:val="none" w:sz="0" w:space="0" w:color="auto"/>
      </w:divBdr>
    </w:div>
    <w:div w:id="184559344">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59091696">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402528712">
      <w:bodyDiv w:val="1"/>
      <w:marLeft w:val="0"/>
      <w:marRight w:val="0"/>
      <w:marTop w:val="0"/>
      <w:marBottom w:val="0"/>
      <w:divBdr>
        <w:top w:val="none" w:sz="0" w:space="0" w:color="auto"/>
        <w:left w:val="none" w:sz="0" w:space="0" w:color="auto"/>
        <w:bottom w:val="none" w:sz="0" w:space="0" w:color="auto"/>
        <w:right w:val="none" w:sz="0" w:space="0" w:color="auto"/>
      </w:divBdr>
    </w:div>
    <w:div w:id="408158216">
      <w:bodyDiv w:val="1"/>
      <w:marLeft w:val="0"/>
      <w:marRight w:val="0"/>
      <w:marTop w:val="0"/>
      <w:marBottom w:val="0"/>
      <w:divBdr>
        <w:top w:val="none" w:sz="0" w:space="0" w:color="auto"/>
        <w:left w:val="none" w:sz="0" w:space="0" w:color="auto"/>
        <w:bottom w:val="none" w:sz="0" w:space="0" w:color="auto"/>
        <w:right w:val="none" w:sz="0" w:space="0" w:color="auto"/>
      </w:divBdr>
      <w:divsChild>
        <w:div w:id="733354911">
          <w:marLeft w:val="1080"/>
          <w:marRight w:val="0"/>
          <w:marTop w:val="100"/>
          <w:marBottom w:val="0"/>
          <w:divBdr>
            <w:top w:val="none" w:sz="0" w:space="0" w:color="auto"/>
            <w:left w:val="none" w:sz="0" w:space="0" w:color="auto"/>
            <w:bottom w:val="none" w:sz="0" w:space="0" w:color="auto"/>
            <w:right w:val="none" w:sz="0" w:space="0" w:color="auto"/>
          </w:divBdr>
        </w:div>
        <w:div w:id="1183862084">
          <w:marLeft w:val="1080"/>
          <w:marRight w:val="0"/>
          <w:marTop w:val="100"/>
          <w:marBottom w:val="0"/>
          <w:divBdr>
            <w:top w:val="none" w:sz="0" w:space="0" w:color="auto"/>
            <w:left w:val="none" w:sz="0" w:space="0" w:color="auto"/>
            <w:bottom w:val="none" w:sz="0" w:space="0" w:color="auto"/>
            <w:right w:val="none" w:sz="0" w:space="0" w:color="auto"/>
          </w:divBdr>
        </w:div>
        <w:div w:id="501090226">
          <w:marLeft w:val="1080"/>
          <w:marRight w:val="0"/>
          <w:marTop w:val="100"/>
          <w:marBottom w:val="0"/>
          <w:divBdr>
            <w:top w:val="none" w:sz="0" w:space="0" w:color="auto"/>
            <w:left w:val="none" w:sz="0" w:space="0" w:color="auto"/>
            <w:bottom w:val="none" w:sz="0" w:space="0" w:color="auto"/>
            <w:right w:val="none" w:sz="0" w:space="0" w:color="auto"/>
          </w:divBdr>
        </w:div>
        <w:div w:id="1306469631">
          <w:marLeft w:val="1080"/>
          <w:marRight w:val="0"/>
          <w:marTop w:val="100"/>
          <w:marBottom w:val="0"/>
          <w:divBdr>
            <w:top w:val="none" w:sz="0" w:space="0" w:color="auto"/>
            <w:left w:val="none" w:sz="0" w:space="0" w:color="auto"/>
            <w:bottom w:val="none" w:sz="0" w:space="0" w:color="auto"/>
            <w:right w:val="none" w:sz="0" w:space="0" w:color="auto"/>
          </w:divBdr>
        </w:div>
        <w:div w:id="1518956716">
          <w:marLeft w:val="1080"/>
          <w:marRight w:val="0"/>
          <w:marTop w:val="100"/>
          <w:marBottom w:val="0"/>
          <w:divBdr>
            <w:top w:val="none" w:sz="0" w:space="0" w:color="auto"/>
            <w:left w:val="none" w:sz="0" w:space="0" w:color="auto"/>
            <w:bottom w:val="none" w:sz="0" w:space="0" w:color="auto"/>
            <w:right w:val="none" w:sz="0" w:space="0" w:color="auto"/>
          </w:divBdr>
        </w:div>
      </w:divsChild>
    </w:div>
    <w:div w:id="476262309">
      <w:bodyDiv w:val="1"/>
      <w:marLeft w:val="0"/>
      <w:marRight w:val="0"/>
      <w:marTop w:val="0"/>
      <w:marBottom w:val="0"/>
      <w:divBdr>
        <w:top w:val="none" w:sz="0" w:space="0" w:color="auto"/>
        <w:left w:val="none" w:sz="0" w:space="0" w:color="auto"/>
        <w:bottom w:val="none" w:sz="0" w:space="0" w:color="auto"/>
        <w:right w:val="none" w:sz="0" w:space="0" w:color="auto"/>
      </w:divBdr>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567112533">
      <w:bodyDiv w:val="1"/>
      <w:marLeft w:val="0"/>
      <w:marRight w:val="0"/>
      <w:marTop w:val="0"/>
      <w:marBottom w:val="0"/>
      <w:divBdr>
        <w:top w:val="none" w:sz="0" w:space="0" w:color="auto"/>
        <w:left w:val="none" w:sz="0" w:space="0" w:color="auto"/>
        <w:bottom w:val="none" w:sz="0" w:space="0" w:color="auto"/>
        <w:right w:val="none" w:sz="0" w:space="0" w:color="auto"/>
      </w:divBdr>
    </w:div>
    <w:div w:id="579102091">
      <w:bodyDiv w:val="1"/>
      <w:marLeft w:val="0"/>
      <w:marRight w:val="0"/>
      <w:marTop w:val="0"/>
      <w:marBottom w:val="0"/>
      <w:divBdr>
        <w:top w:val="none" w:sz="0" w:space="0" w:color="auto"/>
        <w:left w:val="none" w:sz="0" w:space="0" w:color="auto"/>
        <w:bottom w:val="none" w:sz="0" w:space="0" w:color="auto"/>
        <w:right w:val="none" w:sz="0" w:space="0" w:color="auto"/>
      </w:divBdr>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680739469">
      <w:bodyDiv w:val="1"/>
      <w:marLeft w:val="0"/>
      <w:marRight w:val="0"/>
      <w:marTop w:val="0"/>
      <w:marBottom w:val="0"/>
      <w:divBdr>
        <w:top w:val="none" w:sz="0" w:space="0" w:color="auto"/>
        <w:left w:val="none" w:sz="0" w:space="0" w:color="auto"/>
        <w:bottom w:val="none" w:sz="0" w:space="0" w:color="auto"/>
        <w:right w:val="none" w:sz="0" w:space="0" w:color="auto"/>
      </w:divBdr>
    </w:div>
    <w:div w:id="711883035">
      <w:bodyDiv w:val="1"/>
      <w:marLeft w:val="0"/>
      <w:marRight w:val="0"/>
      <w:marTop w:val="0"/>
      <w:marBottom w:val="0"/>
      <w:divBdr>
        <w:top w:val="none" w:sz="0" w:space="0" w:color="auto"/>
        <w:left w:val="none" w:sz="0" w:space="0" w:color="auto"/>
        <w:bottom w:val="none" w:sz="0" w:space="0" w:color="auto"/>
        <w:right w:val="none" w:sz="0" w:space="0" w:color="auto"/>
      </w:divBdr>
      <w:divsChild>
        <w:div w:id="755059076">
          <w:marLeft w:val="576"/>
          <w:marRight w:val="0"/>
          <w:marTop w:val="80"/>
          <w:marBottom w:val="0"/>
          <w:divBdr>
            <w:top w:val="none" w:sz="0" w:space="0" w:color="auto"/>
            <w:left w:val="none" w:sz="0" w:space="0" w:color="auto"/>
            <w:bottom w:val="none" w:sz="0" w:space="0" w:color="auto"/>
            <w:right w:val="none" w:sz="0" w:space="0" w:color="auto"/>
          </w:divBdr>
        </w:div>
        <w:div w:id="1821574701">
          <w:marLeft w:val="576"/>
          <w:marRight w:val="0"/>
          <w:marTop w:val="80"/>
          <w:marBottom w:val="0"/>
          <w:divBdr>
            <w:top w:val="none" w:sz="0" w:space="0" w:color="auto"/>
            <w:left w:val="none" w:sz="0" w:space="0" w:color="auto"/>
            <w:bottom w:val="none" w:sz="0" w:space="0" w:color="auto"/>
            <w:right w:val="none" w:sz="0" w:space="0" w:color="auto"/>
          </w:divBdr>
        </w:div>
        <w:div w:id="204678189">
          <w:marLeft w:val="576"/>
          <w:marRight w:val="0"/>
          <w:marTop w:val="80"/>
          <w:marBottom w:val="0"/>
          <w:divBdr>
            <w:top w:val="none" w:sz="0" w:space="0" w:color="auto"/>
            <w:left w:val="none" w:sz="0" w:space="0" w:color="auto"/>
            <w:bottom w:val="none" w:sz="0" w:space="0" w:color="auto"/>
            <w:right w:val="none" w:sz="0" w:space="0" w:color="auto"/>
          </w:divBdr>
        </w:div>
        <w:div w:id="1715999799">
          <w:marLeft w:val="576"/>
          <w:marRight w:val="0"/>
          <w:marTop w:val="80"/>
          <w:marBottom w:val="0"/>
          <w:divBdr>
            <w:top w:val="none" w:sz="0" w:space="0" w:color="auto"/>
            <w:left w:val="none" w:sz="0" w:space="0" w:color="auto"/>
            <w:bottom w:val="none" w:sz="0" w:space="0" w:color="auto"/>
            <w:right w:val="none" w:sz="0" w:space="0" w:color="auto"/>
          </w:divBdr>
        </w:div>
        <w:div w:id="58485969">
          <w:marLeft w:val="576"/>
          <w:marRight w:val="0"/>
          <w:marTop w:val="80"/>
          <w:marBottom w:val="0"/>
          <w:divBdr>
            <w:top w:val="none" w:sz="0" w:space="0" w:color="auto"/>
            <w:left w:val="none" w:sz="0" w:space="0" w:color="auto"/>
            <w:bottom w:val="none" w:sz="0" w:space="0" w:color="auto"/>
            <w:right w:val="none" w:sz="0" w:space="0" w:color="auto"/>
          </w:divBdr>
        </w:div>
      </w:divsChild>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24131950">
      <w:bodyDiv w:val="1"/>
      <w:marLeft w:val="0"/>
      <w:marRight w:val="0"/>
      <w:marTop w:val="0"/>
      <w:marBottom w:val="0"/>
      <w:divBdr>
        <w:top w:val="none" w:sz="0" w:space="0" w:color="auto"/>
        <w:left w:val="none" w:sz="0" w:space="0" w:color="auto"/>
        <w:bottom w:val="none" w:sz="0" w:space="0" w:color="auto"/>
        <w:right w:val="none" w:sz="0" w:space="0" w:color="auto"/>
      </w:divBdr>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874393701">
      <w:bodyDiv w:val="1"/>
      <w:marLeft w:val="0"/>
      <w:marRight w:val="0"/>
      <w:marTop w:val="0"/>
      <w:marBottom w:val="0"/>
      <w:divBdr>
        <w:top w:val="none" w:sz="0" w:space="0" w:color="auto"/>
        <w:left w:val="none" w:sz="0" w:space="0" w:color="auto"/>
        <w:bottom w:val="none" w:sz="0" w:space="0" w:color="auto"/>
        <w:right w:val="none" w:sz="0" w:space="0" w:color="auto"/>
      </w:divBdr>
    </w:div>
    <w:div w:id="879560764">
      <w:bodyDiv w:val="1"/>
      <w:marLeft w:val="0"/>
      <w:marRight w:val="0"/>
      <w:marTop w:val="0"/>
      <w:marBottom w:val="0"/>
      <w:divBdr>
        <w:top w:val="none" w:sz="0" w:space="0" w:color="auto"/>
        <w:left w:val="none" w:sz="0" w:space="0" w:color="auto"/>
        <w:bottom w:val="none" w:sz="0" w:space="0" w:color="auto"/>
        <w:right w:val="none" w:sz="0" w:space="0" w:color="auto"/>
      </w:divBdr>
      <w:divsChild>
        <w:div w:id="241843366">
          <w:marLeft w:val="360"/>
          <w:marRight w:val="0"/>
          <w:marTop w:val="200"/>
          <w:marBottom w:val="0"/>
          <w:divBdr>
            <w:top w:val="none" w:sz="0" w:space="0" w:color="auto"/>
            <w:left w:val="none" w:sz="0" w:space="0" w:color="auto"/>
            <w:bottom w:val="none" w:sz="0" w:space="0" w:color="auto"/>
            <w:right w:val="none" w:sz="0" w:space="0" w:color="auto"/>
          </w:divBdr>
        </w:div>
      </w:divsChild>
    </w:div>
    <w:div w:id="911504881">
      <w:bodyDiv w:val="1"/>
      <w:marLeft w:val="0"/>
      <w:marRight w:val="0"/>
      <w:marTop w:val="0"/>
      <w:marBottom w:val="0"/>
      <w:divBdr>
        <w:top w:val="none" w:sz="0" w:space="0" w:color="auto"/>
        <w:left w:val="none" w:sz="0" w:space="0" w:color="auto"/>
        <w:bottom w:val="none" w:sz="0" w:space="0" w:color="auto"/>
        <w:right w:val="none" w:sz="0" w:space="0" w:color="auto"/>
      </w:divBdr>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8594487">
      <w:bodyDiv w:val="1"/>
      <w:marLeft w:val="0"/>
      <w:marRight w:val="0"/>
      <w:marTop w:val="0"/>
      <w:marBottom w:val="0"/>
      <w:divBdr>
        <w:top w:val="none" w:sz="0" w:space="0" w:color="auto"/>
        <w:left w:val="none" w:sz="0" w:space="0" w:color="auto"/>
        <w:bottom w:val="none" w:sz="0" w:space="0" w:color="auto"/>
        <w:right w:val="none" w:sz="0" w:space="0" w:color="auto"/>
      </w:divBdr>
      <w:divsChild>
        <w:div w:id="253824567">
          <w:marLeft w:val="360"/>
          <w:marRight w:val="0"/>
          <w:marTop w:val="200"/>
          <w:marBottom w:val="0"/>
          <w:divBdr>
            <w:top w:val="none" w:sz="0" w:space="0" w:color="auto"/>
            <w:left w:val="none" w:sz="0" w:space="0" w:color="auto"/>
            <w:bottom w:val="none" w:sz="0" w:space="0" w:color="auto"/>
            <w:right w:val="none" w:sz="0" w:space="0" w:color="auto"/>
          </w:divBdr>
        </w:div>
        <w:div w:id="2072581584">
          <w:marLeft w:val="360"/>
          <w:marRight w:val="0"/>
          <w:marTop w:val="200"/>
          <w:marBottom w:val="0"/>
          <w:divBdr>
            <w:top w:val="none" w:sz="0" w:space="0" w:color="auto"/>
            <w:left w:val="none" w:sz="0" w:space="0" w:color="auto"/>
            <w:bottom w:val="none" w:sz="0" w:space="0" w:color="auto"/>
            <w:right w:val="none" w:sz="0" w:space="0" w:color="auto"/>
          </w:divBdr>
        </w:div>
        <w:div w:id="1646277496">
          <w:marLeft w:val="360"/>
          <w:marRight w:val="0"/>
          <w:marTop w:val="200"/>
          <w:marBottom w:val="0"/>
          <w:divBdr>
            <w:top w:val="none" w:sz="0" w:space="0" w:color="auto"/>
            <w:left w:val="none" w:sz="0" w:space="0" w:color="auto"/>
            <w:bottom w:val="none" w:sz="0" w:space="0" w:color="auto"/>
            <w:right w:val="none" w:sz="0" w:space="0" w:color="auto"/>
          </w:divBdr>
        </w:div>
        <w:div w:id="1183939826">
          <w:marLeft w:val="360"/>
          <w:marRight w:val="0"/>
          <w:marTop w:val="200"/>
          <w:marBottom w:val="0"/>
          <w:divBdr>
            <w:top w:val="none" w:sz="0" w:space="0" w:color="auto"/>
            <w:left w:val="none" w:sz="0" w:space="0" w:color="auto"/>
            <w:bottom w:val="none" w:sz="0" w:space="0" w:color="auto"/>
            <w:right w:val="none" w:sz="0" w:space="0" w:color="auto"/>
          </w:divBdr>
        </w:div>
        <w:div w:id="786581507">
          <w:marLeft w:val="360"/>
          <w:marRight w:val="0"/>
          <w:marTop w:val="200"/>
          <w:marBottom w:val="0"/>
          <w:divBdr>
            <w:top w:val="none" w:sz="0" w:space="0" w:color="auto"/>
            <w:left w:val="none" w:sz="0" w:space="0" w:color="auto"/>
            <w:bottom w:val="none" w:sz="0" w:space="0" w:color="auto"/>
            <w:right w:val="none" w:sz="0" w:space="0" w:color="auto"/>
          </w:divBdr>
        </w:div>
      </w:divsChild>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40077557">
      <w:bodyDiv w:val="1"/>
      <w:marLeft w:val="0"/>
      <w:marRight w:val="0"/>
      <w:marTop w:val="0"/>
      <w:marBottom w:val="0"/>
      <w:divBdr>
        <w:top w:val="none" w:sz="0" w:space="0" w:color="auto"/>
        <w:left w:val="none" w:sz="0" w:space="0" w:color="auto"/>
        <w:bottom w:val="none" w:sz="0" w:space="0" w:color="auto"/>
        <w:right w:val="none" w:sz="0" w:space="0" w:color="auto"/>
      </w:divBdr>
    </w:div>
    <w:div w:id="1148329165">
      <w:bodyDiv w:val="1"/>
      <w:marLeft w:val="0"/>
      <w:marRight w:val="0"/>
      <w:marTop w:val="0"/>
      <w:marBottom w:val="0"/>
      <w:divBdr>
        <w:top w:val="none" w:sz="0" w:space="0" w:color="auto"/>
        <w:left w:val="none" w:sz="0" w:space="0" w:color="auto"/>
        <w:bottom w:val="none" w:sz="0" w:space="0" w:color="auto"/>
        <w:right w:val="none" w:sz="0" w:space="0" w:color="auto"/>
      </w:divBdr>
      <w:divsChild>
        <w:div w:id="1229926531">
          <w:marLeft w:val="446"/>
          <w:marRight w:val="0"/>
          <w:marTop w:val="0"/>
          <w:marBottom w:val="0"/>
          <w:divBdr>
            <w:top w:val="none" w:sz="0" w:space="0" w:color="auto"/>
            <w:left w:val="none" w:sz="0" w:space="0" w:color="auto"/>
            <w:bottom w:val="none" w:sz="0" w:space="0" w:color="auto"/>
            <w:right w:val="none" w:sz="0" w:space="0" w:color="auto"/>
          </w:divBdr>
        </w:div>
        <w:div w:id="431122666">
          <w:marLeft w:val="446"/>
          <w:marRight w:val="0"/>
          <w:marTop w:val="0"/>
          <w:marBottom w:val="0"/>
          <w:divBdr>
            <w:top w:val="none" w:sz="0" w:space="0" w:color="auto"/>
            <w:left w:val="none" w:sz="0" w:space="0" w:color="auto"/>
            <w:bottom w:val="none" w:sz="0" w:space="0" w:color="auto"/>
            <w:right w:val="none" w:sz="0" w:space="0" w:color="auto"/>
          </w:divBdr>
        </w:div>
        <w:div w:id="300891950">
          <w:marLeft w:val="446"/>
          <w:marRight w:val="0"/>
          <w:marTop w:val="0"/>
          <w:marBottom w:val="0"/>
          <w:divBdr>
            <w:top w:val="none" w:sz="0" w:space="0" w:color="auto"/>
            <w:left w:val="none" w:sz="0" w:space="0" w:color="auto"/>
            <w:bottom w:val="none" w:sz="0" w:space="0" w:color="auto"/>
            <w:right w:val="none" w:sz="0" w:space="0" w:color="auto"/>
          </w:divBdr>
        </w:div>
        <w:div w:id="1614436921">
          <w:marLeft w:val="446"/>
          <w:marRight w:val="0"/>
          <w:marTop w:val="0"/>
          <w:marBottom w:val="0"/>
          <w:divBdr>
            <w:top w:val="none" w:sz="0" w:space="0" w:color="auto"/>
            <w:left w:val="none" w:sz="0" w:space="0" w:color="auto"/>
            <w:bottom w:val="none" w:sz="0" w:space="0" w:color="auto"/>
            <w:right w:val="none" w:sz="0" w:space="0" w:color="auto"/>
          </w:divBdr>
        </w:div>
        <w:div w:id="1370035580">
          <w:marLeft w:val="446"/>
          <w:marRight w:val="0"/>
          <w:marTop w:val="0"/>
          <w:marBottom w:val="0"/>
          <w:divBdr>
            <w:top w:val="none" w:sz="0" w:space="0" w:color="auto"/>
            <w:left w:val="none" w:sz="0" w:space="0" w:color="auto"/>
            <w:bottom w:val="none" w:sz="0" w:space="0" w:color="auto"/>
            <w:right w:val="none" w:sz="0" w:space="0" w:color="auto"/>
          </w:divBdr>
        </w:div>
      </w:divsChild>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276014630">
      <w:bodyDiv w:val="1"/>
      <w:marLeft w:val="0"/>
      <w:marRight w:val="0"/>
      <w:marTop w:val="0"/>
      <w:marBottom w:val="0"/>
      <w:divBdr>
        <w:top w:val="none" w:sz="0" w:space="0" w:color="auto"/>
        <w:left w:val="none" w:sz="0" w:space="0" w:color="auto"/>
        <w:bottom w:val="none" w:sz="0" w:space="0" w:color="auto"/>
        <w:right w:val="none" w:sz="0" w:space="0" w:color="auto"/>
      </w:divBdr>
      <w:divsChild>
        <w:div w:id="977536756">
          <w:marLeft w:val="547"/>
          <w:marRight w:val="0"/>
          <w:marTop w:val="96"/>
          <w:marBottom w:val="0"/>
          <w:divBdr>
            <w:top w:val="none" w:sz="0" w:space="0" w:color="auto"/>
            <w:left w:val="none" w:sz="0" w:space="0" w:color="auto"/>
            <w:bottom w:val="none" w:sz="0" w:space="0" w:color="auto"/>
            <w:right w:val="none" w:sz="0" w:space="0" w:color="auto"/>
          </w:divBdr>
        </w:div>
        <w:div w:id="643395215">
          <w:marLeft w:val="547"/>
          <w:marRight w:val="0"/>
          <w:marTop w:val="96"/>
          <w:marBottom w:val="0"/>
          <w:divBdr>
            <w:top w:val="none" w:sz="0" w:space="0" w:color="auto"/>
            <w:left w:val="none" w:sz="0" w:space="0" w:color="auto"/>
            <w:bottom w:val="none" w:sz="0" w:space="0" w:color="auto"/>
            <w:right w:val="none" w:sz="0" w:space="0" w:color="auto"/>
          </w:divBdr>
        </w:div>
        <w:div w:id="668867068">
          <w:marLeft w:val="547"/>
          <w:marRight w:val="0"/>
          <w:marTop w:val="96"/>
          <w:marBottom w:val="0"/>
          <w:divBdr>
            <w:top w:val="none" w:sz="0" w:space="0" w:color="auto"/>
            <w:left w:val="none" w:sz="0" w:space="0" w:color="auto"/>
            <w:bottom w:val="none" w:sz="0" w:space="0" w:color="auto"/>
            <w:right w:val="none" w:sz="0" w:space="0" w:color="auto"/>
          </w:divBdr>
        </w:div>
        <w:div w:id="2093969434">
          <w:marLeft w:val="547"/>
          <w:marRight w:val="0"/>
          <w:marTop w:val="96"/>
          <w:marBottom w:val="0"/>
          <w:divBdr>
            <w:top w:val="none" w:sz="0" w:space="0" w:color="auto"/>
            <w:left w:val="none" w:sz="0" w:space="0" w:color="auto"/>
            <w:bottom w:val="none" w:sz="0" w:space="0" w:color="auto"/>
            <w:right w:val="none" w:sz="0" w:space="0" w:color="auto"/>
          </w:divBdr>
        </w:div>
      </w:divsChild>
    </w:div>
    <w:div w:id="1276250603">
      <w:bodyDiv w:val="1"/>
      <w:marLeft w:val="0"/>
      <w:marRight w:val="0"/>
      <w:marTop w:val="0"/>
      <w:marBottom w:val="0"/>
      <w:divBdr>
        <w:top w:val="none" w:sz="0" w:space="0" w:color="auto"/>
        <w:left w:val="none" w:sz="0" w:space="0" w:color="auto"/>
        <w:bottom w:val="none" w:sz="0" w:space="0" w:color="auto"/>
        <w:right w:val="none" w:sz="0" w:space="0" w:color="auto"/>
      </w:divBdr>
      <w:divsChild>
        <w:div w:id="494496147">
          <w:marLeft w:val="547"/>
          <w:marRight w:val="0"/>
          <w:marTop w:val="96"/>
          <w:marBottom w:val="0"/>
          <w:divBdr>
            <w:top w:val="none" w:sz="0" w:space="0" w:color="auto"/>
            <w:left w:val="none" w:sz="0" w:space="0" w:color="auto"/>
            <w:bottom w:val="none" w:sz="0" w:space="0" w:color="auto"/>
            <w:right w:val="none" w:sz="0" w:space="0" w:color="auto"/>
          </w:divBdr>
        </w:div>
      </w:divsChild>
    </w:div>
    <w:div w:id="1308129681">
      <w:bodyDiv w:val="1"/>
      <w:marLeft w:val="0"/>
      <w:marRight w:val="0"/>
      <w:marTop w:val="0"/>
      <w:marBottom w:val="0"/>
      <w:divBdr>
        <w:top w:val="none" w:sz="0" w:space="0" w:color="auto"/>
        <w:left w:val="none" w:sz="0" w:space="0" w:color="auto"/>
        <w:bottom w:val="none" w:sz="0" w:space="0" w:color="auto"/>
        <w:right w:val="none" w:sz="0" w:space="0" w:color="auto"/>
      </w:divBdr>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13963150">
      <w:bodyDiv w:val="1"/>
      <w:marLeft w:val="0"/>
      <w:marRight w:val="0"/>
      <w:marTop w:val="0"/>
      <w:marBottom w:val="0"/>
      <w:divBdr>
        <w:top w:val="none" w:sz="0" w:space="0" w:color="auto"/>
        <w:left w:val="none" w:sz="0" w:space="0" w:color="auto"/>
        <w:bottom w:val="none" w:sz="0" w:space="0" w:color="auto"/>
        <w:right w:val="none" w:sz="0" w:space="0" w:color="auto"/>
      </w:divBdr>
      <w:divsChild>
        <w:div w:id="1510872662">
          <w:marLeft w:val="547"/>
          <w:marRight w:val="0"/>
          <w:marTop w:val="106"/>
          <w:marBottom w:val="0"/>
          <w:divBdr>
            <w:top w:val="none" w:sz="0" w:space="0" w:color="auto"/>
            <w:left w:val="none" w:sz="0" w:space="0" w:color="auto"/>
            <w:bottom w:val="none" w:sz="0" w:space="0" w:color="auto"/>
            <w:right w:val="none" w:sz="0" w:space="0" w:color="auto"/>
          </w:divBdr>
        </w:div>
        <w:div w:id="1840191228">
          <w:marLeft w:val="547"/>
          <w:marRight w:val="0"/>
          <w:marTop w:val="106"/>
          <w:marBottom w:val="0"/>
          <w:divBdr>
            <w:top w:val="none" w:sz="0" w:space="0" w:color="auto"/>
            <w:left w:val="none" w:sz="0" w:space="0" w:color="auto"/>
            <w:bottom w:val="none" w:sz="0" w:space="0" w:color="auto"/>
            <w:right w:val="none" w:sz="0" w:space="0" w:color="auto"/>
          </w:divBdr>
        </w:div>
        <w:div w:id="130831742">
          <w:marLeft w:val="547"/>
          <w:marRight w:val="0"/>
          <w:marTop w:val="106"/>
          <w:marBottom w:val="0"/>
          <w:divBdr>
            <w:top w:val="none" w:sz="0" w:space="0" w:color="auto"/>
            <w:left w:val="none" w:sz="0" w:space="0" w:color="auto"/>
            <w:bottom w:val="none" w:sz="0" w:space="0" w:color="auto"/>
            <w:right w:val="none" w:sz="0" w:space="0" w:color="auto"/>
          </w:divBdr>
        </w:div>
        <w:div w:id="737705219">
          <w:marLeft w:val="547"/>
          <w:marRight w:val="0"/>
          <w:marTop w:val="106"/>
          <w:marBottom w:val="0"/>
          <w:divBdr>
            <w:top w:val="none" w:sz="0" w:space="0" w:color="auto"/>
            <w:left w:val="none" w:sz="0" w:space="0" w:color="auto"/>
            <w:bottom w:val="none" w:sz="0" w:space="0" w:color="auto"/>
            <w:right w:val="none" w:sz="0" w:space="0" w:color="auto"/>
          </w:divBdr>
        </w:div>
        <w:div w:id="1236821278">
          <w:marLeft w:val="547"/>
          <w:marRight w:val="0"/>
          <w:marTop w:val="106"/>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51381516">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07033152">
      <w:bodyDiv w:val="1"/>
      <w:marLeft w:val="0"/>
      <w:marRight w:val="0"/>
      <w:marTop w:val="0"/>
      <w:marBottom w:val="0"/>
      <w:divBdr>
        <w:top w:val="none" w:sz="0" w:space="0" w:color="auto"/>
        <w:left w:val="none" w:sz="0" w:space="0" w:color="auto"/>
        <w:bottom w:val="none" w:sz="0" w:space="0" w:color="auto"/>
        <w:right w:val="none" w:sz="0" w:space="0" w:color="auto"/>
      </w:divBdr>
      <w:divsChild>
        <w:div w:id="1943370328">
          <w:marLeft w:val="1267"/>
          <w:marRight w:val="0"/>
          <w:marTop w:val="0"/>
          <w:marBottom w:val="0"/>
          <w:divBdr>
            <w:top w:val="none" w:sz="0" w:space="0" w:color="auto"/>
            <w:left w:val="none" w:sz="0" w:space="0" w:color="auto"/>
            <w:bottom w:val="none" w:sz="0" w:space="0" w:color="auto"/>
            <w:right w:val="none" w:sz="0" w:space="0" w:color="auto"/>
          </w:divBdr>
        </w:div>
        <w:div w:id="1071660833">
          <w:marLeft w:val="1267"/>
          <w:marRight w:val="0"/>
          <w:marTop w:val="0"/>
          <w:marBottom w:val="0"/>
          <w:divBdr>
            <w:top w:val="none" w:sz="0" w:space="0" w:color="auto"/>
            <w:left w:val="none" w:sz="0" w:space="0" w:color="auto"/>
            <w:bottom w:val="none" w:sz="0" w:space="0" w:color="auto"/>
            <w:right w:val="none" w:sz="0" w:space="0" w:color="auto"/>
          </w:divBdr>
        </w:div>
        <w:div w:id="1730111759">
          <w:marLeft w:val="1267"/>
          <w:marRight w:val="0"/>
          <w:marTop w:val="0"/>
          <w:marBottom w:val="0"/>
          <w:divBdr>
            <w:top w:val="none" w:sz="0" w:space="0" w:color="auto"/>
            <w:left w:val="none" w:sz="0" w:space="0" w:color="auto"/>
            <w:bottom w:val="none" w:sz="0" w:space="0" w:color="auto"/>
            <w:right w:val="none" w:sz="0" w:space="0" w:color="auto"/>
          </w:divBdr>
        </w:div>
        <w:div w:id="1161657624">
          <w:marLeft w:val="1267"/>
          <w:marRight w:val="0"/>
          <w:marTop w:val="0"/>
          <w:marBottom w:val="0"/>
          <w:divBdr>
            <w:top w:val="none" w:sz="0" w:space="0" w:color="auto"/>
            <w:left w:val="none" w:sz="0" w:space="0" w:color="auto"/>
            <w:bottom w:val="none" w:sz="0" w:space="0" w:color="auto"/>
            <w:right w:val="none" w:sz="0" w:space="0" w:color="auto"/>
          </w:divBdr>
        </w:div>
        <w:div w:id="818763040">
          <w:marLeft w:val="1267"/>
          <w:marRight w:val="0"/>
          <w:marTop w:val="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652556520">
      <w:bodyDiv w:val="1"/>
      <w:marLeft w:val="0"/>
      <w:marRight w:val="0"/>
      <w:marTop w:val="0"/>
      <w:marBottom w:val="0"/>
      <w:divBdr>
        <w:top w:val="none" w:sz="0" w:space="0" w:color="auto"/>
        <w:left w:val="none" w:sz="0" w:space="0" w:color="auto"/>
        <w:bottom w:val="none" w:sz="0" w:space="0" w:color="auto"/>
        <w:right w:val="none" w:sz="0" w:space="0" w:color="auto"/>
      </w:divBdr>
      <w:divsChild>
        <w:div w:id="992635894">
          <w:marLeft w:val="0"/>
          <w:marRight w:val="0"/>
          <w:marTop w:val="0"/>
          <w:marBottom w:val="0"/>
          <w:divBdr>
            <w:top w:val="none" w:sz="0" w:space="0" w:color="auto"/>
            <w:left w:val="none" w:sz="0" w:space="0" w:color="auto"/>
            <w:bottom w:val="none" w:sz="0" w:space="0" w:color="auto"/>
            <w:right w:val="none" w:sz="0" w:space="0" w:color="auto"/>
          </w:divBdr>
          <w:divsChild>
            <w:div w:id="1677491477">
              <w:marLeft w:val="0"/>
              <w:marRight w:val="0"/>
              <w:marTop w:val="0"/>
              <w:marBottom w:val="0"/>
              <w:divBdr>
                <w:top w:val="none" w:sz="0" w:space="0" w:color="auto"/>
                <w:left w:val="none" w:sz="0" w:space="0" w:color="auto"/>
                <w:bottom w:val="none" w:sz="0" w:space="0" w:color="auto"/>
                <w:right w:val="none" w:sz="0" w:space="0" w:color="auto"/>
              </w:divBdr>
              <w:divsChild>
                <w:div w:id="5981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4401">
      <w:bodyDiv w:val="1"/>
      <w:marLeft w:val="0"/>
      <w:marRight w:val="0"/>
      <w:marTop w:val="0"/>
      <w:marBottom w:val="0"/>
      <w:divBdr>
        <w:top w:val="none" w:sz="0" w:space="0" w:color="auto"/>
        <w:left w:val="none" w:sz="0" w:space="0" w:color="auto"/>
        <w:bottom w:val="none" w:sz="0" w:space="0" w:color="auto"/>
        <w:right w:val="none" w:sz="0" w:space="0" w:color="auto"/>
      </w:divBdr>
    </w:div>
    <w:div w:id="1685209492">
      <w:bodyDiv w:val="1"/>
      <w:marLeft w:val="0"/>
      <w:marRight w:val="0"/>
      <w:marTop w:val="0"/>
      <w:marBottom w:val="0"/>
      <w:divBdr>
        <w:top w:val="none" w:sz="0" w:space="0" w:color="auto"/>
        <w:left w:val="none" w:sz="0" w:space="0" w:color="auto"/>
        <w:bottom w:val="none" w:sz="0" w:space="0" w:color="auto"/>
        <w:right w:val="none" w:sz="0" w:space="0" w:color="auto"/>
      </w:divBdr>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13979721">
      <w:bodyDiv w:val="1"/>
      <w:marLeft w:val="0"/>
      <w:marRight w:val="0"/>
      <w:marTop w:val="0"/>
      <w:marBottom w:val="0"/>
      <w:divBdr>
        <w:top w:val="none" w:sz="0" w:space="0" w:color="auto"/>
        <w:left w:val="none" w:sz="0" w:space="0" w:color="auto"/>
        <w:bottom w:val="none" w:sz="0" w:space="0" w:color="auto"/>
        <w:right w:val="none" w:sz="0" w:space="0" w:color="auto"/>
      </w:divBdr>
    </w:div>
    <w:div w:id="1820875164">
      <w:bodyDiv w:val="1"/>
      <w:marLeft w:val="0"/>
      <w:marRight w:val="0"/>
      <w:marTop w:val="0"/>
      <w:marBottom w:val="0"/>
      <w:divBdr>
        <w:top w:val="none" w:sz="0" w:space="0" w:color="auto"/>
        <w:left w:val="none" w:sz="0" w:space="0" w:color="auto"/>
        <w:bottom w:val="none" w:sz="0" w:space="0" w:color="auto"/>
        <w:right w:val="none" w:sz="0" w:space="0" w:color="auto"/>
      </w:divBdr>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30309107">
      <w:bodyDiv w:val="1"/>
      <w:marLeft w:val="0"/>
      <w:marRight w:val="0"/>
      <w:marTop w:val="0"/>
      <w:marBottom w:val="0"/>
      <w:divBdr>
        <w:top w:val="none" w:sz="0" w:space="0" w:color="auto"/>
        <w:left w:val="none" w:sz="0" w:space="0" w:color="auto"/>
        <w:bottom w:val="none" w:sz="0" w:space="0" w:color="auto"/>
        <w:right w:val="none" w:sz="0" w:space="0" w:color="auto"/>
      </w:divBdr>
      <w:divsChild>
        <w:div w:id="1818914691">
          <w:marLeft w:val="720"/>
          <w:marRight w:val="0"/>
          <w:marTop w:val="86"/>
          <w:marBottom w:val="0"/>
          <w:divBdr>
            <w:top w:val="none" w:sz="0" w:space="0" w:color="auto"/>
            <w:left w:val="none" w:sz="0" w:space="0" w:color="auto"/>
            <w:bottom w:val="none" w:sz="0" w:space="0" w:color="auto"/>
            <w:right w:val="none" w:sz="0" w:space="0" w:color="auto"/>
          </w:divBdr>
        </w:div>
        <w:div w:id="2066220403">
          <w:marLeft w:val="720"/>
          <w:marRight w:val="0"/>
          <w:marTop w:val="86"/>
          <w:marBottom w:val="0"/>
          <w:divBdr>
            <w:top w:val="none" w:sz="0" w:space="0" w:color="auto"/>
            <w:left w:val="none" w:sz="0" w:space="0" w:color="auto"/>
            <w:bottom w:val="none" w:sz="0" w:space="0" w:color="auto"/>
            <w:right w:val="none" w:sz="0" w:space="0" w:color="auto"/>
          </w:divBdr>
        </w:div>
        <w:div w:id="1265504917">
          <w:marLeft w:val="720"/>
          <w:marRight w:val="0"/>
          <w:marTop w:val="86"/>
          <w:marBottom w:val="0"/>
          <w:divBdr>
            <w:top w:val="none" w:sz="0" w:space="0" w:color="auto"/>
            <w:left w:val="none" w:sz="0" w:space="0" w:color="auto"/>
            <w:bottom w:val="none" w:sz="0" w:space="0" w:color="auto"/>
            <w:right w:val="none" w:sz="0" w:space="0" w:color="auto"/>
          </w:divBdr>
        </w:div>
        <w:div w:id="136191174">
          <w:marLeft w:val="720"/>
          <w:marRight w:val="0"/>
          <w:marTop w:val="86"/>
          <w:marBottom w:val="0"/>
          <w:divBdr>
            <w:top w:val="none" w:sz="0" w:space="0" w:color="auto"/>
            <w:left w:val="none" w:sz="0" w:space="0" w:color="auto"/>
            <w:bottom w:val="none" w:sz="0" w:space="0" w:color="auto"/>
            <w:right w:val="none" w:sz="0" w:space="0" w:color="auto"/>
          </w:divBdr>
        </w:div>
      </w:divsChild>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1996302910">
      <w:bodyDiv w:val="1"/>
      <w:marLeft w:val="0"/>
      <w:marRight w:val="0"/>
      <w:marTop w:val="0"/>
      <w:marBottom w:val="0"/>
      <w:divBdr>
        <w:top w:val="none" w:sz="0" w:space="0" w:color="auto"/>
        <w:left w:val="none" w:sz="0" w:space="0" w:color="auto"/>
        <w:bottom w:val="none" w:sz="0" w:space="0" w:color="auto"/>
        <w:right w:val="none" w:sz="0" w:space="0" w:color="auto"/>
      </w:divBdr>
      <w:divsChild>
        <w:div w:id="468327551">
          <w:marLeft w:val="547"/>
          <w:marRight w:val="0"/>
          <w:marTop w:val="240"/>
          <w:marBottom w:val="0"/>
          <w:divBdr>
            <w:top w:val="none" w:sz="0" w:space="0" w:color="auto"/>
            <w:left w:val="none" w:sz="0" w:space="0" w:color="auto"/>
            <w:bottom w:val="none" w:sz="0" w:space="0" w:color="auto"/>
            <w:right w:val="none" w:sz="0" w:space="0" w:color="auto"/>
          </w:divBdr>
        </w:div>
        <w:div w:id="1278180851">
          <w:marLeft w:val="547"/>
          <w:marRight w:val="0"/>
          <w:marTop w:val="240"/>
          <w:marBottom w:val="0"/>
          <w:divBdr>
            <w:top w:val="none" w:sz="0" w:space="0" w:color="auto"/>
            <w:left w:val="none" w:sz="0" w:space="0" w:color="auto"/>
            <w:bottom w:val="none" w:sz="0" w:space="0" w:color="auto"/>
            <w:right w:val="none" w:sz="0" w:space="0" w:color="auto"/>
          </w:divBdr>
        </w:div>
        <w:div w:id="358970733">
          <w:marLeft w:val="547"/>
          <w:marRight w:val="0"/>
          <w:marTop w:val="240"/>
          <w:marBottom w:val="0"/>
          <w:divBdr>
            <w:top w:val="none" w:sz="0" w:space="0" w:color="auto"/>
            <w:left w:val="none" w:sz="0" w:space="0" w:color="auto"/>
            <w:bottom w:val="none" w:sz="0" w:space="0" w:color="auto"/>
            <w:right w:val="none" w:sz="0" w:space="0" w:color="auto"/>
          </w:divBdr>
        </w:div>
        <w:div w:id="1166283323">
          <w:marLeft w:val="547"/>
          <w:marRight w:val="0"/>
          <w:marTop w:val="240"/>
          <w:marBottom w:val="0"/>
          <w:divBdr>
            <w:top w:val="none" w:sz="0" w:space="0" w:color="auto"/>
            <w:left w:val="none" w:sz="0" w:space="0" w:color="auto"/>
            <w:bottom w:val="none" w:sz="0" w:space="0" w:color="auto"/>
            <w:right w:val="none" w:sz="0" w:space="0" w:color="auto"/>
          </w:divBdr>
        </w:div>
      </w:divsChild>
    </w:div>
    <w:div w:id="2027749829">
      <w:bodyDiv w:val="1"/>
      <w:marLeft w:val="0"/>
      <w:marRight w:val="0"/>
      <w:marTop w:val="0"/>
      <w:marBottom w:val="0"/>
      <w:divBdr>
        <w:top w:val="none" w:sz="0" w:space="0" w:color="auto"/>
        <w:left w:val="none" w:sz="0" w:space="0" w:color="auto"/>
        <w:bottom w:val="none" w:sz="0" w:space="0" w:color="auto"/>
        <w:right w:val="none" w:sz="0" w:space="0" w:color="auto"/>
      </w:divBdr>
      <w:divsChild>
        <w:div w:id="787427855">
          <w:marLeft w:val="806"/>
          <w:marRight w:val="0"/>
          <w:marTop w:val="120"/>
          <w:marBottom w:val="120"/>
          <w:divBdr>
            <w:top w:val="none" w:sz="0" w:space="0" w:color="auto"/>
            <w:left w:val="none" w:sz="0" w:space="0" w:color="auto"/>
            <w:bottom w:val="none" w:sz="0" w:space="0" w:color="auto"/>
            <w:right w:val="none" w:sz="0" w:space="0" w:color="auto"/>
          </w:divBdr>
        </w:div>
        <w:div w:id="1852599665">
          <w:marLeft w:val="806"/>
          <w:marRight w:val="0"/>
          <w:marTop w:val="120"/>
          <w:marBottom w:val="120"/>
          <w:divBdr>
            <w:top w:val="none" w:sz="0" w:space="0" w:color="auto"/>
            <w:left w:val="none" w:sz="0" w:space="0" w:color="auto"/>
            <w:bottom w:val="none" w:sz="0" w:space="0" w:color="auto"/>
            <w:right w:val="none" w:sz="0" w:space="0" w:color="auto"/>
          </w:divBdr>
        </w:div>
        <w:div w:id="800417283">
          <w:marLeft w:val="806"/>
          <w:marRight w:val="0"/>
          <w:marTop w:val="120"/>
          <w:marBottom w:val="120"/>
          <w:divBdr>
            <w:top w:val="none" w:sz="0" w:space="0" w:color="auto"/>
            <w:left w:val="none" w:sz="0" w:space="0" w:color="auto"/>
            <w:bottom w:val="none" w:sz="0" w:space="0" w:color="auto"/>
            <w:right w:val="none" w:sz="0" w:space="0" w:color="auto"/>
          </w:divBdr>
        </w:div>
        <w:div w:id="419527121">
          <w:marLeft w:val="806"/>
          <w:marRight w:val="0"/>
          <w:marTop w:val="120"/>
          <w:marBottom w:val="120"/>
          <w:divBdr>
            <w:top w:val="none" w:sz="0" w:space="0" w:color="auto"/>
            <w:left w:val="none" w:sz="0" w:space="0" w:color="auto"/>
            <w:bottom w:val="none" w:sz="0" w:space="0" w:color="auto"/>
            <w:right w:val="none" w:sz="0" w:space="0" w:color="auto"/>
          </w:divBdr>
        </w:div>
      </w:divsChild>
    </w:div>
    <w:div w:id="2101827157">
      <w:bodyDiv w:val="1"/>
      <w:marLeft w:val="0"/>
      <w:marRight w:val="0"/>
      <w:marTop w:val="0"/>
      <w:marBottom w:val="0"/>
      <w:divBdr>
        <w:top w:val="none" w:sz="0" w:space="0" w:color="auto"/>
        <w:left w:val="none" w:sz="0" w:space="0" w:color="auto"/>
        <w:bottom w:val="none" w:sz="0" w:space="0" w:color="auto"/>
        <w:right w:val="none" w:sz="0" w:space="0" w:color="auto"/>
      </w:divBdr>
      <w:divsChild>
        <w:div w:id="1254818623">
          <w:marLeft w:val="547"/>
          <w:marRight w:val="0"/>
          <w:marTop w:val="134"/>
          <w:marBottom w:val="0"/>
          <w:divBdr>
            <w:top w:val="none" w:sz="0" w:space="0" w:color="auto"/>
            <w:left w:val="none" w:sz="0" w:space="0" w:color="auto"/>
            <w:bottom w:val="none" w:sz="0" w:space="0" w:color="auto"/>
            <w:right w:val="none" w:sz="0" w:space="0" w:color="auto"/>
          </w:divBdr>
        </w:div>
        <w:div w:id="1213419818">
          <w:marLeft w:val="547"/>
          <w:marRight w:val="0"/>
          <w:marTop w:val="134"/>
          <w:marBottom w:val="0"/>
          <w:divBdr>
            <w:top w:val="none" w:sz="0" w:space="0" w:color="auto"/>
            <w:left w:val="none" w:sz="0" w:space="0" w:color="auto"/>
            <w:bottom w:val="none" w:sz="0" w:space="0" w:color="auto"/>
            <w:right w:val="none" w:sz="0" w:space="0" w:color="auto"/>
          </w:divBdr>
        </w:div>
        <w:div w:id="148789355">
          <w:marLeft w:val="1166"/>
          <w:marRight w:val="0"/>
          <w:marTop w:val="115"/>
          <w:marBottom w:val="0"/>
          <w:divBdr>
            <w:top w:val="none" w:sz="0" w:space="0" w:color="auto"/>
            <w:left w:val="none" w:sz="0" w:space="0" w:color="auto"/>
            <w:bottom w:val="none" w:sz="0" w:space="0" w:color="auto"/>
            <w:right w:val="none" w:sz="0" w:space="0" w:color="auto"/>
          </w:divBdr>
        </w:div>
        <w:div w:id="2085760803">
          <w:marLeft w:val="1166"/>
          <w:marRight w:val="0"/>
          <w:marTop w:val="115"/>
          <w:marBottom w:val="0"/>
          <w:divBdr>
            <w:top w:val="none" w:sz="0" w:space="0" w:color="auto"/>
            <w:left w:val="none" w:sz="0" w:space="0" w:color="auto"/>
            <w:bottom w:val="none" w:sz="0" w:space="0" w:color="auto"/>
            <w:right w:val="none" w:sz="0" w:space="0" w:color="auto"/>
          </w:divBdr>
        </w:div>
        <w:div w:id="1489201931">
          <w:marLeft w:val="1800"/>
          <w:marRight w:val="0"/>
          <w:marTop w:val="96"/>
          <w:marBottom w:val="0"/>
          <w:divBdr>
            <w:top w:val="none" w:sz="0" w:space="0" w:color="auto"/>
            <w:left w:val="none" w:sz="0" w:space="0" w:color="auto"/>
            <w:bottom w:val="none" w:sz="0" w:space="0" w:color="auto"/>
            <w:right w:val="none" w:sz="0" w:space="0" w:color="auto"/>
          </w:divBdr>
        </w:div>
        <w:div w:id="77333640">
          <w:marLeft w:val="1800"/>
          <w:marRight w:val="0"/>
          <w:marTop w:val="96"/>
          <w:marBottom w:val="0"/>
          <w:divBdr>
            <w:top w:val="none" w:sz="0" w:space="0" w:color="auto"/>
            <w:left w:val="none" w:sz="0" w:space="0" w:color="auto"/>
            <w:bottom w:val="none" w:sz="0" w:space="0" w:color="auto"/>
            <w:right w:val="none" w:sz="0" w:space="0" w:color="auto"/>
          </w:divBdr>
        </w:div>
        <w:div w:id="1207379380">
          <w:marLeft w:val="1166"/>
          <w:marRight w:val="0"/>
          <w:marTop w:val="115"/>
          <w:marBottom w:val="0"/>
          <w:divBdr>
            <w:top w:val="none" w:sz="0" w:space="0" w:color="auto"/>
            <w:left w:val="none" w:sz="0" w:space="0" w:color="auto"/>
            <w:bottom w:val="none" w:sz="0" w:space="0" w:color="auto"/>
            <w:right w:val="none" w:sz="0" w:space="0" w:color="auto"/>
          </w:divBdr>
        </w:div>
      </w:divsChild>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earch.worldbank.org/skillfinder/ppl_profile_new/00002255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empal.org/events/bcop-plenary-meet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779278-B60F-49F9-9486-F3E7A3A4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10272</Words>
  <Characters>58554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Manager/>
  <Company>World Bank</Company>
  <LinksUpToDate>false</LinksUpToDate>
  <CharactersWithSpaces>68689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keywords/>
  <dc:description/>
  <cp:lastModifiedBy>Assia Barić</cp:lastModifiedBy>
  <cp:revision>5</cp:revision>
  <cp:lastPrinted>2017-04-23T16:21:00Z</cp:lastPrinted>
  <dcterms:created xsi:type="dcterms:W3CDTF">2018-05-08T12:06:00Z</dcterms:created>
  <dcterms:modified xsi:type="dcterms:W3CDTF">2018-05-16T07:34:00Z</dcterms:modified>
  <cp:category/>
</cp:coreProperties>
</file>